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d1eceab2dd636afcd2126c2ca42940500c908bc"/>
    <w:p>
      <w:pPr>
        <w:pStyle w:val="Heading1"/>
      </w:pPr>
      <w:r>
        <w:rPr>
          <w:iCs/>
          <w:i/>
        </w:rPr>
        <w:t xml:space="preserve">Metalclad Corporation v The United Mexican States</w:t>
      </w:r>
      <w:r>
        <w:t xml:space="preserve">, ICSID ARB(AF)/97/1</w:t>
      </w:r>
    </w:p>
    <w:p>
      <w:pPr>
        <w:pStyle w:val="FirstParagraph"/>
      </w:pPr>
      <w:r>
        <w:t xml:space="preserve">The Tribunal:—</w:t>
      </w:r>
    </w:p>
    <w:p>
      <w:pPr>
        <w:pStyle w:val="BodyText"/>
      </w:pPr>
      <w:r>
        <w:rPr>
          <w:bCs/>
          <w:b/>
        </w:rPr>
        <w:t xml:space="preserve">C. NAFTA, Article 1110: Expropriation</w:t>
      </w:r>
    </w:p>
    <w:p>
      <w:pPr>
        <w:pStyle w:val="BodyText"/>
      </w:pPr>
      <w:r>
        <w:t xml:space="preserve">[1] NAFTA Article 1110 provides that</w:t>
      </w:r>
      <w:r>
        <w:t xml:space="preserve"> </w:t>
      </w:r>
      <w:r>
        <w:t xml:space="preserve">“</w:t>
      </w:r>
      <w:r>
        <w:t xml:space="preserve">[n]o party shall directly or indirectly … expropriate an investment … or take a measure tantamount to … expropriation … except: (a) for a public purpose; (b) on a non- discriminatory basis; (c) in accordance with due process of law and Article 1105(1); and (d) on payment of compensation …</w:t>
      </w:r>
      <w:r>
        <w:t xml:space="preserve">”</w:t>
      </w:r>
      <w:r>
        <w:t xml:space="preserve"> </w:t>
      </w:r>
      <w:r>
        <w:t xml:space="preserve">“</w:t>
      </w:r>
      <w:r>
        <w:t xml:space="preserve">A measure</w:t>
      </w:r>
      <w:r>
        <w:t xml:space="preserve">”</w:t>
      </w:r>
      <w:r>
        <w:t xml:space="preserve"> </w:t>
      </w:r>
      <w:r>
        <w:t xml:space="preserve">is defined in Article 201(1) as including</w:t>
      </w:r>
      <w:r>
        <w:t xml:space="preserve"> </w:t>
      </w:r>
      <w:r>
        <w:t xml:space="preserve">“</w:t>
      </w:r>
      <w:r>
        <w:t xml:space="preserve">any law, regulation, procedure, requirement or practice</w:t>
      </w:r>
      <w:r>
        <w:t xml:space="preserve">”</w:t>
      </w:r>
      <w:r>
        <w:t xml:space="preserve">.</w:t>
      </w:r>
    </w:p>
    <w:p>
      <w:pPr>
        <w:pStyle w:val="BodyText"/>
      </w:pPr>
      <w:r>
        <w:t xml:space="preserve">[2] Thus, expropriation under NAFTA includes not only open, deliberate and acknowledged takings of property, such as outright seizure or formal or obligatory transfer of title in favour of the host State, but also covert or incidental interference with the use of property which has the effect of depriving the owner, in whole or in significant part, of the use or reasonably-to-be-expected economic benefit of property even if not necessarily to the obvious benefit of the host State.</w:t>
      </w:r>
    </w:p>
    <w:p>
      <w:pPr>
        <w:pStyle w:val="BodyText"/>
      </w:pPr>
      <w:r>
        <w:t xml:space="preserve">[3] By permitting or tolerating the conduct of Guadalcazar in relation to Metalclad which the Tribunal has already held amounts to unfair and inequitable treatment breaching Article 1105 and by thus participating or acquiescing in the denial to Metalclad of the right to operate the landfill, notwithstanding the fact that the project was fully approved and endorsed by the federal government, Mexico must be held to have taken a measure tantamount to expropriation in violation of NAFTA Article 1110(1).</w:t>
      </w:r>
    </w:p>
    <w:p>
      <w:pPr>
        <w:pStyle w:val="BodyText"/>
      </w:pPr>
      <w:r>
        <w:t xml:space="preserve">[4] The Tribunal holds that the exclusive authority for siting and permitting a hazardous waste landfill resides with the Mexican federal government. This finding is consistent with the testimony of the Secretary of SEMARNAP and, as stated above, is consistent with the express language of the LGEEPA.</w:t>
      </w:r>
    </w:p>
    <w:p>
      <w:pPr>
        <w:pStyle w:val="BodyText"/>
      </w:pPr>
      <w:r>
        <w:t xml:space="preserve">[5] As determined earlier (see above, para 92), the Municipality denied the local construction permit in part because of the Municipality’s perception of the adverse environmental effects of the hazardous waste landfill and the geological unsuitability of the landfill site. In so doing, the Municipality acted outside its authority. As stated above, the Municipality’s denial of the construction permit without any basis in the proposed physical construction or any defect in the site, and extended by its subsequent administrative and judicial actions regarding the</w:t>
      </w:r>
      <w:r>
        <w:t xml:space="preserve"> </w:t>
      </w:r>
      <w:r>
        <w:rPr>
          <w:iCs/>
          <w:i/>
        </w:rPr>
        <w:t xml:space="preserve">Convenio</w:t>
      </w:r>
      <w:r>
        <w:t xml:space="preserve">, effectively and unlawfully prevented the Claimant’s operation of the landfill.</w:t>
      </w:r>
    </w:p>
    <w:p>
      <w:pPr>
        <w:pStyle w:val="BodyText"/>
      </w:pPr>
      <w:r>
        <w:t xml:space="preserve">[6] These measures, taken together with the representations of the Mexican federal government, on which Metalclad relied, and the absence of a timely, orderly or substantive basis for the denial by the Municipality of the local construction permit, amount to an indirect expropriation.</w:t>
      </w:r>
    </w:p>
    <w:p>
      <w:pPr>
        <w:pStyle w:val="BodyText"/>
      </w:pPr>
      <w:r>
        <w:t xml:space="preserve">[7] The present case resembles in a number of pertinent respects that of</w:t>
      </w:r>
      <w:r>
        <w:t xml:space="preserve"> </w:t>
      </w:r>
      <w:r>
        <w:rPr>
          <w:iCs/>
          <w:i/>
        </w:rPr>
        <w:t xml:space="preserve">Biloune, et al. v. Ghana Investment Centre, et al.</w:t>
      </w:r>
      <w:r>
        <w:t xml:space="preserve">, 95 I.L.R.183, 207-10 (1993) (Judge Schwebel, President; Wallace and Leigh, Arbitrators). In that case, a private investor was renovating and expanding a resort restaurant in Ghana. As with Metalclad, the investor, basing itself on the representations of a government affiliated entity, began construction before applying for a building permit. As with Metalclad, a stop work order was issued after a substantial amount of work had been completed. The order was based on the absence of a building permit. An application was submitted, but although it was not expressly denied, a permit was never issued. The Tribunal found that an indirect expropriation had taken place because the totality of the circumstances had the effect of causing the irreparable cessation of work on the project. The Tribunal paid particular regard to the investor’s justified reliance on the government’s representations regarding the permit, the fact that government authorities knew of the construction for more than one year before issuing the stop work order, the fact that permits had not been required for other projects and the fact that no procedure was in place for dealing with building permit applications. Although the decision in Biloune does not bind this Tribunal, it is a persuasive authority and the Tribunal is in agreement with its analysis and its conclusion.</w:t>
      </w:r>
    </w:p>
    <w:p>
      <w:pPr>
        <w:pStyle w:val="BodyText"/>
      </w:pPr>
      <w:r>
        <w:t xml:space="preserve">[8] Although not strictly necessary for its conclusion, the Tribunal also identifies as a further ground for a finding of expropriation the Ecological Decree issued by the Governor of SLP on September 20, 1997. This Decree covers an area of 188,758 hectares within the</w:t>
      </w:r>
      <w:r>
        <w:t xml:space="preserve"> </w:t>
      </w:r>
      <w:r>
        <w:t xml:space="preserve">“</w:t>
      </w:r>
      <w:r>
        <w:t xml:space="preserve">Real de Guadalcazar</w:t>
      </w:r>
      <w:r>
        <w:t xml:space="preserve">”</w:t>
      </w:r>
      <w:r>
        <w:t xml:space="preserve"> </w:t>
      </w:r>
      <w:r>
        <w:t xml:space="preserve">that includes the landfill site, and created therein an ecological preserve. This Decree had the effect of barring forever the operation of the landfill.</w:t>
      </w:r>
    </w:p>
    <w:p>
      <w:pPr>
        <w:pStyle w:val="BodyText"/>
      </w:pPr>
      <w:r>
        <w:t xml:space="preserve">[9] The Tribunal is not persuaded by Mexico’s representation to the contrary. The Ninth Article, for instance, forbids any work inconsistent with the Ecological Decree’s management program. The management program is defined by the Fifth Article as one of diagnosing the ecological problems of the cacti reserve and of ensuring its ecological preservation. In addition, the Fourteenth Article of the Decree forbids any conduct that might involve the discharge of polluting agents on the reserve soil, subsoil, running water or water deposits and prohibits the undertaking of any potentially polluting activities. The Fifteenth Article of the Ecological Decree also forbids any activity requiring permits or licenses unless such activity is related to the exploration, extraction or utilization of natural resources.</w:t>
      </w:r>
    </w:p>
    <w:p>
      <w:pPr>
        <w:pStyle w:val="BodyText"/>
      </w:pPr>
      <w:r>
        <w:t xml:space="preserve">[10] The Tribunal need not decide or consider the motivation or intent of the adoption of the Ecological Decree. Indeed, a finding of expropriation on the basis of the Ecological Decree is not essential to the Tribunal’s finding of a violation of NAFTA Article 1110. However, the Tribunal considers that the implementation of the Ecological Decree would, in and of itself, constitute an act tantamount to expropriation.</w:t>
      </w:r>
    </w:p>
    <w:p>
      <w:pPr>
        <w:pStyle w:val="BodyText"/>
      </w:pPr>
      <w:r>
        <w:t xml:space="preserve">[11] In conclusion, the Tribunal holds that Mexico has indirectly expropriated Metalclad’s investment without providing compensation to Metalclad for the expropriation. Mexico has violated Article 1110 of the NAFTA.</w:t>
      </w:r>
    </w:p>
    <w:bookmarkEnd w:id="20"/>
    <w:sectPr w:rsidR="00C563EE" w:rsidRPr="00FC59A8" w:rsidSect="00FC59A8">
      <w:headerReference r:id="rId10" w:type="even"/>
      <w:headerReference r:id="rId9" w:type="default"/>
      <w:footerReference r:id="rId12" w:type="even"/>
      <w:footerReference r:id="rId11" w:type="default"/>
      <w:pgSz w:h="16840" w:w="11901"/>
      <w:pgMar w:bottom="1440" w:footer="0" w:gutter="0" w:header="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bon Next LT Pro">
    <w:panose1 w:val="020B0604020202020204"/>
    <w:charset w:val="00"/>
    <w:family w:val="auto"/>
    <w:pitch w:val="variable"/>
    <w:sig w:usb0="A00000AF" w:usb1="5000204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D7CB" w14:textId="77777777" w:rsidR="00B45438" w:rsidRDefault="00B45438" w:rsidP="000F6C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F5E5C6" w14:textId="77777777" w:rsidR="00B45438" w:rsidRDefault="00B45438" w:rsidP="00B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AD47" w14:textId="77777777" w:rsidR="00B45438" w:rsidRDefault="00B45438" w:rsidP="00B4543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7702" w14:textId="77777777" w:rsidR="00F31F08" w:rsidRDefault="00F31F08" w:rsidP="004F3C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6AAC0" w14:textId="77777777" w:rsidR="00F31F08" w:rsidRDefault="00F31F08" w:rsidP="00F31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04BA5" w14:textId="3F03974A" w:rsidR="00B45438" w:rsidRDefault="00B45438" w:rsidP="00F31F08">
    <w:pPr>
      <w:pStyle w:val="Header"/>
      <w:tabs>
        <w:tab w:val="clear" w:pos="4513"/>
        <w:tab w:val="clear" w:pos="9026"/>
        <w:tab w:val="left" w:pos="0"/>
        <w:tab w:val="right" w:pos="9021"/>
      </w:tabs>
      <w:ind w:right="360"/>
      <w:jc w:val="left"/>
      <w:rPr>
        <w:i/>
        <w:spacing w:val="-12"/>
        <w:sz w:val="22"/>
        <w:szCs w:val="22"/>
      </w:rPr>
    </w:pPr>
  </w:p>
  <w:p w14:paraId="07CFCA14" w14:textId="49880CB9" w:rsidR="000B6429" w:rsidRDefault="000B6429" w:rsidP="00F31F08">
    <w:pPr>
      <w:pStyle w:val="Header"/>
      <w:tabs>
        <w:tab w:val="clear" w:pos="4513"/>
        <w:tab w:val="clear" w:pos="9026"/>
        <w:tab w:val="left" w:pos="0"/>
        <w:tab w:val="right" w:pos="9021"/>
      </w:tabs>
      <w:ind w:right="360"/>
      <w:jc w:val="left"/>
      <w:rPr>
        <w:i/>
        <w:spacing w:val="-12"/>
        <w:sz w:val="22"/>
        <w:szCs w:val="22"/>
      </w:rPr>
    </w:pPr>
  </w:p>
  <w:p w14:paraId="035CFC8A" w14:textId="77777777" w:rsidR="000B6429" w:rsidRPr="00A75666" w:rsidRDefault="000B6429" w:rsidP="00F31F08">
    <w:pPr>
      <w:pStyle w:val="Header"/>
      <w:tabs>
        <w:tab w:val="clear" w:pos="4513"/>
        <w:tab w:val="clear" w:pos="9026"/>
        <w:tab w:val="left" w:pos="0"/>
        <w:tab w:val="right" w:pos="9021"/>
      </w:tabs>
      <w:ind w:right="360"/>
      <w:jc w:val="left"/>
      <w:rPr>
        <w:i/>
        <w:spacing w:val="-12"/>
        <w:sz w:val="22"/>
        <w:szCs w:val="22"/>
      </w:rPr>
    </w:pPr>
  </w:p>
  <w:p w14:paraId="08BD187D" w14:textId="77777777" w:rsidR="003A261A" w:rsidRPr="00A75666" w:rsidRDefault="003A261A" w:rsidP="00417540">
    <w:pPr>
      <w:pStyle w:val="Header"/>
      <w:tabs>
        <w:tab w:val="clear" w:pos="4513"/>
        <w:tab w:val="clear" w:pos="9026"/>
        <w:tab w:val="left" w:pos="0"/>
        <w:tab w:val="right" w:pos="9021"/>
      </w:tabs>
      <w:jc w:val="left"/>
      <w:rPr>
        <w:i/>
        <w:spacing w:val="-12"/>
        <w:sz w:val="22"/>
        <w:szCs w:val="22"/>
      </w:rPr>
    </w:pPr>
  </w:p>
  <w:p w14:paraId="4D5C24F8" w14:textId="7A830883" w:rsidR="00622C51" w:rsidRPr="000B6429" w:rsidRDefault="000B6429" w:rsidP="000B6429">
    <w:pPr>
      <w:pStyle w:val="Header"/>
      <w:pBdr>
        <w:bottom w:val="single" w:sz="6" w:space="1" w:color="auto"/>
      </w:pBdr>
      <w:tabs>
        <w:tab w:val="clear" w:pos="4513"/>
        <w:tab w:val="clear" w:pos="9026"/>
        <w:tab w:val="left" w:pos="0"/>
        <w:tab w:val="right" w:pos="9021"/>
      </w:tabs>
      <w:jc w:val="center"/>
      <w:rPr>
        <w:iCs/>
        <w:spacing w:val="-12"/>
        <w:sz w:val="22"/>
        <w:szCs w:val="22"/>
      </w:rPr>
    </w:pPr>
    <w:r w:rsidRPr="000B6429">
      <w:rPr>
        <w:iCs/>
        <w:spacing w:val="-12"/>
        <w:sz w:val="22"/>
        <w:szCs w:val="22"/>
      </w:rPr>
      <w:t>Baxter - Property in its Historical Context (2021-22)</w:t>
    </w:r>
  </w:p>
  <w:p w14:paraId="5295E919" w14:textId="2150D9C1" w:rsidR="000B6429" w:rsidRDefault="000B6429" w:rsidP="00417540">
    <w:pPr>
      <w:pStyle w:val="Header"/>
      <w:tabs>
        <w:tab w:val="clear" w:pos="4513"/>
        <w:tab w:val="clear" w:pos="9026"/>
        <w:tab w:val="left" w:pos="0"/>
        <w:tab w:val="right" w:pos="9021"/>
      </w:tabs>
      <w:jc w:val="left"/>
      <w:rPr>
        <w:i/>
        <w:spacing w:val="-12"/>
        <w:sz w:val="22"/>
        <w:szCs w:val="22"/>
      </w:rPr>
    </w:pPr>
  </w:p>
  <w:p w14:paraId="35BE8D9E" w14:textId="77777777" w:rsidR="000B6429" w:rsidRPr="00A75666" w:rsidRDefault="000B6429" w:rsidP="00417540">
    <w:pPr>
      <w:pStyle w:val="Header"/>
      <w:tabs>
        <w:tab w:val="clear" w:pos="4513"/>
        <w:tab w:val="clear" w:pos="9026"/>
        <w:tab w:val="left" w:pos="0"/>
        <w:tab w:val="right" w:pos="9021"/>
      </w:tabs>
      <w:jc w:val="left"/>
      <w:rPr>
        <w:i/>
        <w:spacing w:val="-12"/>
        <w:sz w:val="22"/>
        <w:szCs w:val="22"/>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BCD8A5BB"/>
    <w:multiLevelType w:val="multilevel"/>
    <w:tmpl w:val="9B046C4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BE8219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1D"/>
    <w:multiLevelType w:val="multilevel"/>
    <w:tmpl w:val="5ED6BC0A"/>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3">
    <w:nsid w:val="FFFFFF7C"/>
    <w:multiLevelType w:val="singleLevel"/>
    <w:tmpl w:val="82B62752"/>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D03C39E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AE7EBE3E"/>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C4AE01BE"/>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F5E6FE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5CF249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B8CC0EA0"/>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6F2EB6AA"/>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19C853CA"/>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4EDA9B6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2"/>
  <w:embedSystemFont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A75666"/>
    <w:pPr>
      <w:spacing w:after="0" w:line="360" w:lineRule="auto"/>
      <w:jc w:val="both"/>
    </w:pPr>
    <w:rPr>
      <w:rFonts w:ascii="Palatino Linotype" w:hAnsi="Palatino Linotype"/>
    </w:rPr>
  </w:style>
  <w:style w:styleId="Heading1" w:type="paragraph">
    <w:name w:val="heading 1"/>
    <w:basedOn w:val="Normal"/>
    <w:next w:val="BodyText"/>
    <w:uiPriority w:val="9"/>
    <w:qFormat/>
    <w:rsid w:val="003B475B"/>
    <w:pPr>
      <w:keepNext/>
      <w:keepLines/>
      <w:pageBreakBefore/>
      <w:spacing w:after="360"/>
      <w:jc w:val="center"/>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CE12B1"/>
    <w:pPr>
      <w:keepNext/>
      <w:keepLines/>
      <w:spacing w:after="240" w:line="240" w:lineRule="auto"/>
      <w:jc w:val="center"/>
      <w:outlineLvl w:val="1"/>
    </w:pPr>
    <w:rPr>
      <w:rFonts w:ascii="Helvetica" w:cstheme="majorBidi" w:eastAsiaTheme="majorEastAsia" w:hAnsi="Helvetica"/>
      <w:b/>
      <w:bCs/>
      <w:color w:themeColor="text1" w:val="000000"/>
      <w:sz w:val="28"/>
      <w:szCs w:val="32"/>
    </w:rPr>
  </w:style>
  <w:style w:styleId="Heading3" w:type="paragraph">
    <w:name w:val="heading 3"/>
    <w:basedOn w:val="Normal"/>
    <w:next w:val="BodyText"/>
    <w:uiPriority w:val="9"/>
    <w:unhideWhenUsed/>
    <w:qFormat/>
    <w:rsid w:val="00FC59A8"/>
    <w:pPr>
      <w:keepNext/>
      <w:keepLines/>
      <w:spacing w:after="240" w:line="240" w:lineRule="auto"/>
      <w:jc w:val="center"/>
      <w:outlineLvl w:val="2"/>
    </w:pPr>
    <w:rPr>
      <w:rFonts w:ascii="Helvetica" w:cstheme="majorBidi" w:eastAsiaTheme="majorEastAsia" w:hAnsi="Helvetica"/>
      <w:b/>
      <w:bCs/>
      <w:sz w:val="28"/>
      <w:szCs w:val="28"/>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27428"/>
    <w:pPr>
      <w:spacing w:after="240" w:line="240" w:lineRule="auto"/>
    </w:pPr>
  </w:style>
  <w:style w:customStyle="1" w:styleId="FirstParagraph" w:type="paragraph">
    <w:name w:val="First Paragraph"/>
    <w:basedOn w:val="BodyText"/>
    <w:next w:val="BodyText"/>
    <w:qFormat/>
    <w:rsid w:val="005B2A87"/>
  </w:style>
  <w:style w:customStyle="1" w:styleId="Compact" w:type="paragraph">
    <w:name w:val="Compact"/>
    <w:basedOn w:val="BodyText"/>
    <w:qFormat/>
    <w:rsid w:val="004C571C"/>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A75666"/>
    <w:pPr>
      <w:spacing w:after="80" w:line="288" w:lineRule="auto"/>
      <w:ind w:hanging="454" w:left="454"/>
      <w:jc w:val="left"/>
    </w:pPr>
  </w:style>
  <w:style w:styleId="BlockText" w:type="paragraph">
    <w:name w:val="Block Text"/>
    <w:basedOn w:val="BodyText"/>
    <w:next w:val="BodyText"/>
    <w:uiPriority w:val="9"/>
    <w:unhideWhenUsed/>
    <w:qFormat/>
    <w:rsid w:val="00C563EE"/>
    <w:pPr>
      <w:spacing w:before="80"/>
      <w:ind w:left="567" w:right="567"/>
    </w:pPr>
    <w:rPr>
      <w:rFonts w:cstheme="majorBidi" w:eastAsiaTheme="majorEastAsia"/>
      <w:sz w:val="22"/>
      <w:szCs w:val="20"/>
    </w:rPr>
  </w:style>
  <w:style w:styleId="FootnoteText" w:type="paragraph">
    <w:name w:val="footnote text"/>
    <w:basedOn w:val="Normal"/>
    <w:uiPriority w:val="9"/>
    <w:unhideWhenUsed/>
    <w:qFormat/>
    <w:rsid w:val="00A75666"/>
    <w:pPr>
      <w:spacing w:line="240" w:lineRule="auto"/>
      <w:jc w:val="left"/>
    </w:pPr>
    <w:rPr>
      <w:sz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C23FF"/>
    <w:pPr>
      <w:spacing w:after="240" w:before="120" w:line="240" w:lineRule="auto"/>
    </w:pPr>
    <w:rPr>
      <w:rFonts w:ascii="Calibri Light" w:hAnsi="Calibri Light"/>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5C1C4F"/>
    <w:rPr>
      <w:rFonts w:ascii="Sabon Next LT Pro" w:hAnsi="Sabon Next LT Pro"/>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next w:val="BodyText"/>
    <w:link w:val="VerbatimChar"/>
    <w:rsid w:val="005C1C4F"/>
    <w:pPr>
      <w:wordWrap w:val="0"/>
      <w:ind w:left="2835"/>
    </w:pPr>
    <w:rPr>
      <w:sz w:val="22"/>
    </w:r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027428"/>
    <w:rPr>
      <w:rFonts w:ascii="Palatino Linotype" w:hAnsi="Palatino Linotype"/>
    </w:rPr>
  </w:style>
  <w:style w:styleId="BodyTextFirstIndent" w:type="paragraph">
    <w:name w:val="Body Text First Indent"/>
    <w:basedOn w:val="BodyText"/>
    <w:link w:val="BodyTextFirstIndentChar"/>
    <w:semiHidden/>
    <w:unhideWhenUsed/>
    <w:rsid w:val="00A75451"/>
  </w:style>
  <w:style w:customStyle="1" w:styleId="BodyTextFirstIndentChar" w:type="character">
    <w:name w:val="Body Text First Indent Char"/>
    <w:basedOn w:val="BodyTextChar"/>
    <w:link w:val="BodyTextFirstIndent"/>
    <w:semiHidden/>
    <w:rsid w:val="00A75451"/>
    <w:rPr>
      <w:rFonts w:ascii="Sabon Next LT Pro" w:hAnsi="Sabon Next LT Pro"/>
    </w:rPr>
  </w:style>
  <w:style w:styleId="Header" w:type="paragraph">
    <w:name w:val="header"/>
    <w:basedOn w:val="Normal"/>
    <w:link w:val="HeaderChar"/>
    <w:uiPriority w:val="99"/>
    <w:unhideWhenUsed/>
    <w:rsid w:val="00B45438"/>
    <w:pPr>
      <w:tabs>
        <w:tab w:pos="4513" w:val="center"/>
        <w:tab w:pos="9026" w:val="right"/>
      </w:tabs>
      <w:spacing w:line="240" w:lineRule="auto"/>
    </w:pPr>
  </w:style>
  <w:style w:customStyle="1" w:styleId="HeaderChar" w:type="character">
    <w:name w:val="Header Char"/>
    <w:basedOn w:val="DefaultParagraphFont"/>
    <w:link w:val="Header"/>
    <w:uiPriority w:val="99"/>
    <w:rsid w:val="00B45438"/>
    <w:rPr>
      <w:rFonts w:ascii="Sabon Next LT Pro" w:hAnsi="Sabon Next LT Pro"/>
    </w:rPr>
  </w:style>
  <w:style w:styleId="Footer" w:type="paragraph">
    <w:name w:val="footer"/>
    <w:basedOn w:val="Normal"/>
    <w:link w:val="FooterChar"/>
    <w:unhideWhenUsed/>
    <w:rsid w:val="00B45438"/>
    <w:pPr>
      <w:tabs>
        <w:tab w:pos="4513" w:val="center"/>
        <w:tab w:pos="9026" w:val="right"/>
      </w:tabs>
      <w:spacing w:line="240" w:lineRule="auto"/>
    </w:pPr>
  </w:style>
  <w:style w:customStyle="1" w:styleId="FooterChar" w:type="character">
    <w:name w:val="Footer Char"/>
    <w:basedOn w:val="DefaultParagraphFont"/>
    <w:link w:val="Footer"/>
    <w:rsid w:val="00B45438"/>
    <w:rPr>
      <w:rFonts w:ascii="Sabon Next LT Pro" w:hAnsi="Sabon Next LT Pro"/>
    </w:rPr>
  </w:style>
  <w:style w:styleId="PageNumber" w:type="character">
    <w:name w:val="page number"/>
    <w:basedOn w:val="DefaultParagraphFont"/>
    <w:semiHidden/>
    <w:unhideWhenUsed/>
    <w:rsid w:val="00B4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Words>
  <Characters>49</Characters>
  <Application>Microsoft Office Word</Application>
  <DocSecurity>0</DocSecurity>
  <Lines>1</Lines>
  <Paragraphs>1</Paragraphs>
  <ScaleCrop>false</ScaleCrop>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2022-03-26T22:33:29Z</dcterms:created>
  <dcterms:modified xsi:type="dcterms:W3CDTF">2022-03-26T22:33:29Z</dcterms:modified>
</cp:coreProperties>
</file>

<file path=docProps/custom.xml><?xml version="1.0" encoding="utf-8"?>
<Properties xmlns="http://schemas.openxmlformats.org/officeDocument/2006/custom-properties" xmlns:vt="http://schemas.openxmlformats.org/officeDocument/2006/docPropsVTypes"/>
</file>