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ulk-v-moxhay-1848-41-er-1143-ch"/>
    <w:p>
      <w:pPr>
        <w:pStyle w:val="Heading1"/>
      </w:pPr>
      <w:r>
        <w:rPr>
          <w:iCs/>
          <w:i/>
        </w:rPr>
        <w:t xml:space="preserve">Tulk v Moxhay</w:t>
      </w:r>
      <w:r>
        <w:t xml:space="preserve"> </w:t>
      </w:r>
      <w:r>
        <w:t xml:space="preserve">(1848), 41 ER 1143 (Ch)</w:t>
      </w:r>
    </w:p>
    <w:p>
      <w:pPr>
        <w:pStyle w:val="FirstParagraph"/>
      </w:pPr>
      <w:r>
        <w:rPr>
          <w:iCs/>
          <w:i/>
        </w:rPr>
        <w:t xml:space="preserve">In the year 1808 the Plaintiff, being then the owner in fee of the vacant piece of ground in Leicester Square, as well as of several of the houses forming the Square, sold the piece of ground by the description of</w:t>
      </w:r>
      <w:r>
        <w:rPr>
          <w:iCs/>
          <w:i/>
        </w:rPr>
        <w:t xml:space="preserve"> </w:t>
      </w:r>
      <w:r>
        <w:rPr>
          <w:iCs/>
          <w:i/>
        </w:rPr>
        <w:t xml:space="preserve">“</w:t>
      </w:r>
      <w:r>
        <w:rPr>
          <w:iCs/>
          <w:i/>
        </w:rPr>
        <w:t xml:space="preserve">Leicester Square garden or pleasure ground, with the equestrian statue then standing in the centre thereof, and the iron railing and stone work round the same,</w:t>
      </w:r>
      <w:r>
        <w:rPr>
          <w:iCs/>
          <w:i/>
        </w:rPr>
        <w:t xml:space="preserve">”</w:t>
      </w:r>
      <w:r>
        <w:rPr>
          <w:iCs/>
          <w:i/>
        </w:rPr>
        <w:t xml:space="preserve"> </w:t>
      </w:r>
      <w:r>
        <w:rPr>
          <w:iCs/>
          <w:i/>
        </w:rPr>
        <w:t xml:space="preserve">to one Elms in fee: and the deed of conveyance contained a covenant by Elms, for himself, his heirs, and assigns, with the Plaintiff, his heirs, executors, and administrators,</w:t>
      </w:r>
      <w:r>
        <w:rPr>
          <w:iCs/>
          <w:i/>
        </w:rPr>
        <w:t xml:space="preserve"> </w:t>
      </w:r>
      <w:r>
        <w:rPr>
          <w:iCs/>
          <w:i/>
        </w:rPr>
        <w:t xml:space="preserve">“</w:t>
      </w:r>
      <w:r>
        <w:rPr>
          <w:iCs/>
          <w:i/>
        </w:rPr>
        <w:t xml:space="preserve">that Elms, his heirs, and assigns should, and would from time to time, and at all times thereafter at his and their own costs and charges, keep and maintain the said piece of ground and square garden, and the iron railing round the same in its then form, and in sufficient and proper repair as a square garden and pleasure ground, in an open state, uncovered with any buildings, in neat and ornamental order; and that it should be lawful for the inhabitants of Leicester Square, tenants of the Plaintiff, on payment of a reasonable rent for the same, to have keys at their own expense and the privilege of admission therewith at any time or times into the said square garden and pleasure ground.</w:t>
      </w:r>
      <w:r>
        <w:rPr>
          <w:iCs/>
          <w:i/>
        </w:rPr>
        <w:t xml:space="preserve">”</w:t>
      </w:r>
    </w:p>
    <w:p>
      <w:pPr>
        <w:pStyle w:val="BodyText"/>
      </w:pPr>
      <w:r>
        <w:rPr>
          <w:iCs/>
          <w:i/>
        </w:rPr>
        <w:t xml:space="preserve">The piece of land so conveyed passed by divers mesne conveyances into the hands of the Defendant, whose purchase deed contained no similar covenant with his vendor: but he admitted that he had purchased with notice of the covenant in the deed of 1808.</w:t>
      </w:r>
    </w:p>
    <w:p>
      <w:pPr>
        <w:pStyle w:val="BodyText"/>
      </w:pPr>
      <w:r>
        <w:rPr>
          <w:iCs/>
          <w:i/>
        </w:rPr>
        <w:t xml:space="preserve">The Defendant having manifested an intention to alter the-character of the square garden, and asserted a right, if he thought fit, to build upon it, the Plaintiff, who still remained owner of several houses in the square, filed this bill for an injunction; and an injunction was granted by the Master of the Rolls to restrain the Defendant from converting or using the piece of ground and square garden, and the iron railing round the same, to or for any other purpose than as a square garden and pleasure ground in an open state, and uncovered with buildings.</w:t>
      </w:r>
    </w:p>
    <w:p>
      <w:pPr>
        <w:pStyle w:val="BodyText"/>
      </w:pPr>
      <w:r>
        <w:rPr>
          <w:iCs/>
          <w:i/>
        </w:rPr>
        <w:t xml:space="preserve">On a motion, now made, to discharge that order, Mr. R. Palmer, for the Defendant, contended that the covenant did not run with the land, so as to be binding at law upon a purchaser from the covenantor, and he relied on the dictum of Lord Brougham C. in Keppell v. Bayley (2 M. &amp; K. 547), to the effect that notice of such a covenant did not give a Court of Equity jurisdiction to enforce it by injunction against such purchaser, inasmuch as</w:t>
      </w:r>
      <w:r>
        <w:rPr>
          <w:iCs/>
          <w:i/>
        </w:rPr>
        <w:t xml:space="preserve"> </w:t>
      </w:r>
      <w:r>
        <w:rPr>
          <w:iCs/>
          <w:i/>
        </w:rPr>
        <w:t xml:space="preserve">“</w:t>
      </w:r>
      <w:r>
        <w:rPr>
          <w:iCs/>
          <w:i/>
        </w:rPr>
        <w:t xml:space="preserve">the knowledge by an assignee of an estate, that his assignor had assumed to bind others than the law authorised him to affect by his contract-had attempted to create a burthen upon property which was inconsistent with the nature of that property, and unknown to the principles of the law-could not bind such assignee by affecting his conscience.</w:t>
      </w:r>
      <w:r>
        <w:rPr>
          <w:iCs/>
          <w:i/>
        </w:rPr>
        <w:t xml:space="preserve">”</w:t>
      </w:r>
      <w:r>
        <w:rPr>
          <w:iCs/>
          <w:i/>
        </w:rPr>
        <w:t xml:space="preserve"> </w:t>
      </w:r>
      <w:r>
        <w:rPr>
          <w:iCs/>
          <w:i/>
        </w:rPr>
        <w:t xml:space="preserve">In applying that doctrine to the present case, he drew a distinction between a formal covenant as this was, and a contract existing in mere agreement, and requiring some further act to carry it into effect; contending that executory contracts of the latter description were alone such as were binding in equity upon purchasers with notice; for that where the contract between the parties was executed in the form of a covenant, their mutual rights and liabilities were determined by the legal operation of that instrument, and that if a Court of Equity were to give a more extended operation to such covenant, it would be giving the party that for which he had never contracted. He admitted, indeed, that the decisions of the Vice-Chancellor of England in Whatman v. Gibson (9 Sim. 196) and Schreiber v. Creed (10 Sim. 35) were not reconcileable with that doctrine; but he referred to the present Lord Chancellor’s order, on appeal, in Mann v. Stephens (15 Sim. 379), as apparently sanctioning it by the liberty there given to the Plaintiff to bring an action, from which it was to be inferred that his Lordship thought that the right of the Plaintiff to relief in equity depended upon, and was commensurate with, his right of action upon the covenant at law.</w:t>
      </w:r>
    </w:p>
    <w:p>
      <w:pPr>
        <w:pStyle w:val="BodyText"/>
      </w:pPr>
      <w:r>
        <w:rPr>
          <w:bCs/>
          <w:b/>
        </w:rPr>
        <w:t xml:space="preserve">The Lord Chancellor (Cottenham)</w:t>
      </w:r>
      <w:r>
        <w:t xml:space="preserve"> </w:t>
      </w:r>
      <w:r>
        <w:t xml:space="preserve">:—</w:t>
      </w:r>
    </w:p>
    <w:p>
      <w:pPr>
        <w:pStyle w:val="BodyText"/>
      </w:pPr>
      <w:r>
        <w:t xml:space="preserve">[1] That this Court has jurisdiction to enforce a contract between the owner of land and his neighbour purchasing a part of it, that the latter shall either use or abstain from using the land purchased in a particular way, is what I never knew disputed. Here there is no question about the contract: the owner of certain houses in the square sells the land adjoining, with a covenant from the purchaser not to use it for any other purpose than as a square garden. And it is now contended, not that the vendee could violate that contract, but that he might sell the piece of land, and that the purchaser from him may violate it without this Court having any power to interfere. If that were so, it would be impossible for an owner of land to sell part of it without incurring the risk of rendering what he retains worthless. It is said that, the covenant being one which does not run with the land, this Court cannot enforce it; but the question is, not whether the covenant runs with the land, but whether a party shall be permitted to use the land in a manner inconsistent with the contract entered into by his vendor, and with notice of which he purchased. Of course, the price would be affected by the covenant, and nothing could be more inequitable than that the original purchaser should be able to sell the property the next day for a greater price, in consideration of the assignee being allowed to escape from the liability which he had himself undertaken.</w:t>
      </w:r>
    </w:p>
    <w:p>
      <w:pPr>
        <w:pStyle w:val="BodyText"/>
      </w:pPr>
      <w:r>
        <w:t xml:space="preserve">[2] That the question does not depend upon whether the covenant runs with the land is evident from this, that if there was a mere agreement and no covenant, this Court would enforce it against a party purchasing with notice of it; for if an equity is attached to the property by the owner, no one purchasing with notice of that equity can stand in a different situation from the party from whom he purchased. There are not only cases before the Vice-Chancellor of England, in which he considered that doctrine as not in dispute; but looking at the ground on which Lord Eldon disposed of the case of</w:t>
      </w:r>
      <w:r>
        <w:t xml:space="preserve"> </w:t>
      </w:r>
      <w:r>
        <w:rPr>
          <w:iCs/>
          <w:i/>
        </w:rPr>
        <w:t xml:space="preserve">The Duke of Bedford v. The Trustees of the British Museum</w:t>
      </w:r>
      <w:r>
        <w:t xml:space="preserve">(2 My. &amp; K. 552), it is impossible to suppose that he entertained any doubt of it. In the case of</w:t>
      </w:r>
      <w:r>
        <w:t xml:space="preserve"> </w:t>
      </w:r>
      <w:r>
        <w:rPr>
          <w:iCs/>
          <w:i/>
        </w:rPr>
        <w:t xml:space="preserve">Mann v. Stephens</w:t>
      </w:r>
      <w:r>
        <w:t xml:space="preserve"> </w:t>
      </w:r>
      <w:r>
        <w:t xml:space="preserve">before me, I never intended to make the injunction depend upon the result of the action: nor does the order imply it. The motion was, to discharge an order for the commitment of the Defendant for an alleged breach of the injunction, and also to dissolve the injunction. I upheld the injunction, but discharged the order of commitment, on the ground that it was not clearly proved that any breach had been committed; but there being a doubt whether part of the premises on which the Defendant was proceeding to build was locally situated within what was called the Dell, on which alone he had under the covenant a right to build at all, and the Plaintiff insisting that it was not, I thought the pendency of the suit ought not to prejudice the Plaintiff in his right to bring an action if he thought he had such right, and, therefore, I give him liberty to do so.</w:t>
      </w:r>
    </w:p>
    <w:p>
      <w:pPr>
        <w:pStyle w:val="BodyText"/>
      </w:pPr>
      <w:r>
        <w:t xml:space="preserve">[3] With respect to the observations of Lord Brougham in</w:t>
      </w:r>
      <w:r>
        <w:t xml:space="preserve"> </w:t>
      </w:r>
      <w:r>
        <w:rPr>
          <w:iCs/>
          <w:i/>
        </w:rPr>
        <w:t xml:space="preserve">Keppell v. Bailey</w:t>
      </w:r>
      <w:r>
        <w:t xml:space="preserve">, he never could have meant to lay down that this Court would not enforce an equity attached to land by the owner, unless under such circumstances as would maintain an action at law. If that be the result of his observations, I can only say that I cannot coincide with it.</w:t>
      </w:r>
    </w:p>
    <w:p>
      <w:pPr>
        <w:pStyle w:val="BodyText"/>
      </w:pPr>
      <w:r>
        <w:t xml:space="preserve">[4] I think the cases cited before the Vice-Chancellor and this decision of the Master of the Rolls perfectly right, and, therefore, that this motion must be refused, with costs.</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2022-01-29T17:23:20Z</dcterms:created>
  <dcterms:modified xsi:type="dcterms:W3CDTF">2022-01-29T17:23:20Z</dcterms:modified>
</cp:coreProperties>
</file>

<file path=docProps/custom.xml><?xml version="1.0" encoding="utf-8"?>
<Properties xmlns="http://schemas.openxmlformats.org/officeDocument/2006/custom-properties" xmlns:vt="http://schemas.openxmlformats.org/officeDocument/2006/docPropsVTypes"/>
</file>