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200"/>
        <w:jc w:val="center"/>
      </w:pPr>
      <w:r>
        <w:rPr>
          <w:noProof/>
        </w:rP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0" name="CoverBackground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  <a:solidFill>
                      <a:srgbClr val="66151C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737360" cy="1737360"/>
            <wp:effectExtent l="0" t="0" r="0" b="0"/>
            <wp:docPr id="101" name="Cover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verLogo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Georgia" w:eastAsia="Georgia" w:hAnsi="Georgia" w:cs="Georgia"/>
          <w:b/>
          <w:bCs/>
          <w:color w:val="FFFFFF"/>
          <w:sz w:val="44"/>
          <w:szCs w:val="44"/>
        </w:rPr>
        <w:t>PHASE 2 RETAINER PROPOSAL</w:t>
      </w:r>
    </w:p>
    <w:p>
      <w:pPr>
        <w:pBdr>
          <w:bottom w:val="single" w:sz="6" w:space="1" w:color="C9A84C"/>
        </w:pBdr>
        <w:spacing w:after="400"/>
        <w:jc w:val="center"/>
      </w:pPr>
      <w:r>
        <w:rPr>
          <w:rFonts w:ascii="Georgia" w:eastAsia="Georgia" w:hAnsi="Georgia" w:cs="Georgia"/>
          <w:color w:val="FFFFFF"/>
          <w:sz w:val="24"/>
          <w:szCs w:val="24"/>
        </w:rPr>
        <w:t>14-Day Profit Leak &amp; Operational Efficiency Diagnostic</w:t>
      </w:r>
    </w:p>
    <w:p>
      <w:pPr>
        <w:spacing w:before="600"/>
        <w:jc w:val="center"/>
      </w:pPr>
      <w:r>
        <w:rPr>
          <w:color w:val="C9A84C"/>
          <w:sz w:val="20"/>
          <w:szCs w:val="20"/>
        </w:rPr>
        <w:t>Prepared for</w:t>
      </w:r>
    </w:p>
    <w:p>
      <w:pPr>
        <w:spacing w:before="100" w:after="600"/>
        <w:jc w:val="center"/>
      </w:pPr>
      <w:r>
        <w:rPr>
          <w:rFonts w:ascii="Georgia" w:eastAsia="Georgia" w:hAnsi="Georgia" w:cs="Georgia"/>
          <w:b/>
          <w:bCs/>
          <w:color w:val="FFFFFF"/>
          <w:sz w:val="32"/>
          <w:szCs w:val="32"/>
        </w:rPr>
        <w:t>[CLIENT COMPANY NAME]</w:t>
      </w:r>
    </w:p>
    <w:p>
      <w:pPr>
        <w:spacing w:after="200"/>
        <w:jc w:val="center"/>
      </w:pPr>
      <w:r>
        <w:rPr>
          <w:color w:val="FFFFFF"/>
          <w:sz w:val="20"/>
          <w:szCs w:val="20"/>
        </w:rPr>
        <w:t>[ENGAGEMENT DATE]</w:t>
      </w:r>
    </w:p>
    <w:p>
      <w:pPr>
        <w:pBdr>
          <w:top w:val="single" w:sz="4" w:space="1" w:color="C9A84C"/>
        </w:pBdr>
        <w:spacing w:before="600"/>
        <w:jc w:val="center"/>
      </w:pPr>
      <w:r>
        <w:rPr>
          <w:color w:val="C9A84C"/>
          <w:sz w:val="18"/>
          <w:szCs w:val="18"/>
        </w:rPr>
        <w:t>George DeVries &amp; Alfonso Cordon  |  BaxterLabs Advisory</w:t>
      </w:r>
    </w:p>
    <w:p>
      <w:pPr>
        <w:spacing w:before="600"/>
        <w:jc w:val="center"/>
      </w:pPr>
      <w:r>
        <w:rPr>
          <w:color w:val="FFFFFF"/>
          <w:sz w:val="16"/>
          <w:szCs w:val="16"/>
        </w:rPr>
        <w:t>CONFIDENTIAL — Prepared for [CLIENT COMPANY NAME]</w:t>
      </w:r>
    </w:p>
    <w:p w:rsidR="009E1465" w:rsidRDefault="009E1465">
      <w:pPr>
        <w:spacing w:line="1" w:lineRule="exact" w:before="0" w:after="0"/>
        <w:rPr>
          <w:sz w:val="2"/>
          <w:szCs w:val="2"/>
        </w:rPr>
        <w:sectPr w:rsidR="009E146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:rsidR="009E1465" w:rsidRDefault="00000000">
      <w:pPr>
        <w:pStyle w:val="Heading1"/>
      </w:pPr>
      <w:r>
        <w:lastRenderedPageBreak/>
        <w:t>1. Proposal Summary</w:t>
      </w:r>
    </w:p>
    <w:p w:rsidR="00000000" w:rsidRDefault="00000000">
      <w:pPr>
        <w:spacing w:before="120" w:after="120"/>
      </w:pPr>
      <w:r>
        <w:t>[SECTION 1: PROPOSAL SUMMARY - Table with Field/Detail columns. Rows: Client ([CLIENT COMPANY NAME]), Service (Phase 2 Implementation Retainer), Retainer Options ($5,000/month Standard, $10,000/month Accelerated), Recommended Duration (6 months with date range), Proposed Start Date (within 30 days of debrief), Based On (engagement ID reference).]</w:t>
      </w:r>
    </w:p>
    <w:p w:rsidR="009E1465" w:rsidRDefault="00000000">
      <w:pPr>
        <w:pStyle w:val="Heading1"/>
      </w:pPr>
      <w:r>
        <w:t>2. The Opportunity</w:t>
      </w:r>
    </w:p>
    <w:p w:rsidR="00000000" w:rsidRDefault="00000000">
      <w:pPr>
        <w:spacing w:before="120" w:after="120"/>
      </w:pPr>
      <w:r>
        <w:t>[SECTION 2: THE OPPORTUNITY - 2 paragraphs: total recoverable margin, net after investment, percentage of revenue, purpose of Phase 2 retainer. Opportunity summary table with columns: Category, Identified Amount, 90-Day Capture Potential. Rows: Quick Wins, Efficiency Gains, Strategic Investments, Total. Paragraph explaining each category.]</w:t>
      </w:r>
    </w:p>
    <w:p w:rsidR="009E1465" w:rsidRDefault="00000000">
      <w:pPr>
        <w:pStyle w:val="Heading1"/>
      </w:pPr>
      <w:r>
        <w:t>3. Diagnostic Recap — Key Findings</w:t>
      </w:r>
    </w:p>
    <w:p w:rsidR="00000000" w:rsidRDefault="00000000">
      <w:pPr>
        <w:spacing w:before="120" w:after="120"/>
      </w:pPr>
      <w:r>
        <w:t>[SECTION 3: DIAGNOSTIC RECAP - Top 5 findings with dollar amounts and 1-paragraph descriptions for each. Each finding covers: the problem, root cause, quantification, and recommended action. Closing sentence referencing the Full Diagnostic Report and Workbook.]</w:t>
      </w:r>
    </w:p>
    <w:p w:rsidR="009E1465" w:rsidRDefault="00000000">
      <w:pPr>
        <w:pStyle w:val="Heading1"/>
      </w:pPr>
      <w:r>
        <w:t>4. Retainer Tiers</w:t>
      </w:r>
    </w:p>
    <w:p w:rsidR="00000000" w:rsidRDefault="00000000">
      <w:pPr>
        <w:spacing w:before="120" w:after="120"/>
      </w:pPr>
      <w:r>
        <w:t>[SECTION 4: RETAINER TIERS - Comparison table: Feature, Standard ($5K/mo), Accelerated ($10K/mo). Features: monthly strategy sessions, weekly check-ins, KPI dashboard review, email support response time, vendor negotiation support, workflow redesign, financial modeling, deep-dive deliverables per month, quarterly board report, automation templates, monthly progress summary. Recommendation paragraph for the appropriate tier based on engagement complexity.]</w:t>
      </w:r>
    </w:p>
    <w:p w:rsidR="009E1465" w:rsidRDefault="00000000">
      <w:pPr>
        <w:pStyle w:val="Heading1"/>
      </w:pPr>
      <w:r>
        <w:t>5. Implementation Scope</w:t>
      </w:r>
    </w:p>
    <w:p w:rsidR="00000000" w:rsidRDefault="00000000">
      <w:pPr>
        <w:spacing w:before="120" w:after="120"/>
      </w:pPr>
      <w:r>
        <w:t>[SECTION 5: IMPLEMENTATION SCOPE - 6-8 named workstreams derived from the diagnostic findings. Each workstream: 1-2 sentences describing what BaxterLabs will do and the target outcome. Typical workstreams: vendor renegotiation, pricing optimization, utilization management, hiring support, retention program, KPI dashboard, roadmap accountability.]</w:t>
      </w:r>
    </w:p>
    <w:p w:rsidR="009E1465" w:rsidRDefault="00000000">
      <w:pPr>
        <w:pStyle w:val="Heading1"/>
      </w:pPr>
      <w:r>
        <w:t>6. Projected ROI</w:t>
      </w:r>
    </w:p>
    <w:p w:rsidR="00000000" w:rsidRDefault="00000000">
      <w:pPr>
        <w:spacing w:before="120" w:after="120"/>
      </w:pPr>
      <w:r>
        <w:t>[SECTION 6: PROJECTED ROI - Table with Conservative and Moderate columns: Annual recoverable margin, Net after investment, Phase 1 fee ($12,500), Phase 2 retainer (6 months), Total BaxterLabs investment, ROI multiple. Paragraph on historical capture rates for firms with vs without Phase 2 support.]</w:t>
      </w:r>
    </w:p>
    <w:p w:rsidR="009E1465" w:rsidRDefault="00000000">
      <w:pPr>
        <w:pStyle w:val="Heading1"/>
      </w:pPr>
      <w:r>
        <w:lastRenderedPageBreak/>
        <w:t>7. Payment Terms</w:t>
      </w:r>
    </w:p>
    <w:p w:rsidR="00000000" w:rsidRDefault="00000000">
      <w:pPr>
        <w:spacing w:before="120" w:after="120"/>
      </w:pPr>
      <w:r>
        <w:t>[SECTION 7: PAYMENT TERMS - Table with columns: Term, Standard, Accelerated. Rows: Monthly Fee ($5,000/$10,000), Billing Cycle (monthly in advance), Minimum Term (month-to-month), Cancellation Notice (30 days written), Payment Method (ACH/Wire/Check). Brief paragraph on billing mechanics.]</w:t>
      </w:r>
    </w:p>
    <w:p w:rsidR="009E1465" w:rsidRDefault="00000000">
      <w:pPr>
        <w:pStyle w:val="Heading1"/>
      </w:pPr>
      <w:r>
        <w:t>8. Why Now</w:t>
      </w:r>
    </w:p>
    <w:p w:rsidR="00000000" w:rsidRDefault="00000000">
      <w:pPr>
        <w:spacing w:before="120" w:after="120"/>
      </w:pPr>
      <w:r>
        <w:t>[SECTION 8: WHY NOW - 2-3 paragraphs: 90-day implementation window urgency, monthly cost of delay, timing dependencies specific to the client (renewal cycles, hiring windows, engagement cycles), closing call to action.]</w:t>
      </w:r>
    </w:p>
    <w:p w:rsidR="009E1465" w:rsidRDefault="00000000">
      <w:pPr>
        <w:pStyle w:val="Heading1"/>
      </w:pPr>
      <w:r>
        <w:t>9. Acceptance</w:t>
      </w:r>
    </w:p>
    <w:p w:rsidR="00000000" w:rsidRDefault="00000000">
      <w:pPr>
        <w:spacing w:before="120" w:after="120"/>
      </w:pPr>
      <w:r>
        <w:t>[SECTION 9: ACCEPTANCE - Signature block with fields for: Authorized Signature, Printed Name and Title, Date, Proposed Start Date, Tier selection checkboxes (Standard $5,000/mo and Accelerated $10,000/mo). BaxterLabs contact line.]</w:t>
      </w:r>
    </w:p>
    <w:p w:rsidR="009E1465" w:rsidRDefault="00000000">
      <w:pPr>
        <w:pStyle w:val="Heading1"/>
        <w:spacing w:before="400"/>
      </w:pPr>
      <w:r>
        <w:t>Endnotes — Citation Index</w:t>
      </w:r>
    </w:p>
    <w:p w:rsidR="00000000" w:rsidRDefault="00000000">
      <w:pPr>
        <w:spacing w:before="120" w:after="120"/>
      </w:pPr>
      <w:r>
        <w:t>[ENDNOTES: Full citation index with numbered entries. Each follows BaxterLabs Citation Provenance Standard: [Confidence Level: Source, location].]</w:t>
      </w:r>
    </w:p>
    <w:sectPr w:rsidR="00333108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15E15" w:rsidRDefault="00B15E15">
      <w:r>
        <w:separator/>
      </w:r>
    </w:p>
  </w:endnote>
  <w:endnote w:type="continuationSeparator" w:id="0">
    <w:p w:rsidR="00B15E15" w:rsidRDefault="00B15E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1465" w:rsidRDefault="00000000">
    <w:pPr>
      <w:pBdr>
        <w:top w:val="single" w:sz="4" w:space="4" w:color="005454"/>
      </w:pBdr>
      <w:tabs>
        <w:tab w:val="center" w:pos="4513"/>
        <w:tab w:val="right" w:pos="9026"/>
      </w:tabs>
    </w:pPr>
    <w:r>
      <w:rPr>
        <w:color w:val="A9A9A9"/>
        <w:sz w:val="16"/>
        <w:szCs w:val="16"/>
      </w:rPr>
      <w:t>INTERNAL — Working Paper</w:t>
    </w:r>
    <w:r>
      <w:rPr>
        <w:sz w:val="16"/>
        <w:szCs w:val="16"/>
      </w:rPr>
      <w:tab/>
    </w:r>
    <w:r>
      <w:rPr>
        <w:color w:val="A9A9A9"/>
        <w:sz w:val="16"/>
        <w:szCs w:val="16"/>
      </w:rPr>
      <w:t>[CLIENT COMPANY NAME]</w:t>
    </w:r>
    <w:r>
      <w:rPr>
        <w:sz w:val="16"/>
        <w:szCs w:val="16"/>
      </w:rPr>
      <w:tab/>
    </w:r>
    <w:r>
      <w:rPr>
        <w:color w:val="A9A9A9"/>
        <w:sz w:val="16"/>
        <w:szCs w:val="16"/>
      </w:rPr>
      <w:t xml:space="preserve">Page </w:t>
    </w:r>
    <w:r>
      <w:rPr>
        <w:color w:val="A9A9A9"/>
        <w:sz w:val="16"/>
        <w:szCs w:val="16"/>
      </w:rPr>
      <w:fldChar w:fldCharType="begin"/>
    </w:r>
    <w:r>
      <w:rPr>
        <w:color w:val="A9A9A9"/>
        <w:sz w:val="16"/>
        <w:szCs w:val="16"/>
      </w:rPr>
      <w:instrText>PAGE</w:instrText>
    </w:r>
    <w:r>
      <w:rPr>
        <w:color w:val="A9A9A9"/>
        <w:sz w:val="16"/>
        <w:szCs w:val="16"/>
      </w:rPr>
      <w:fldChar w:fldCharType="separate"/>
    </w:r>
    <w:r w:rsidR="0040231D">
      <w:rPr>
        <w:noProof/>
        <w:color w:val="A9A9A9"/>
        <w:sz w:val="16"/>
        <w:szCs w:val="16"/>
      </w:rPr>
      <w:t>3</w:t>
    </w:r>
    <w:r>
      <w:rPr>
        <w:color w:val="A9A9A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15E15" w:rsidRDefault="00B15E15">
      <w:r>
        <w:separator/>
      </w:r>
    </w:p>
  </w:footnote>
  <w:footnote w:type="continuationSeparator" w:id="0">
    <w:p w:rsidR="00B15E15" w:rsidRDefault="00B15E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C56E7" w:rsidRDefault="00EC56E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1465" w:rsidRDefault="00EC56E7">
    <w:pPr>
      <w:pBdr>
        <w:bottom w:val="single" w:sz="6" w:space="4" w:color="005454"/>
      </w:pBdr>
      <w:jc w:val="right"/>
    </w:pPr>
    <w:r>
      <w:rPr>
        <w:noProof/>
      </w:rPr>
      <w:drawing>
        <wp:inline distT="0" distB="0" distL="0" distR="0">
          <wp:extent cx="457200" cy="457200"/>
          <wp:effectExtent l="0" t="0" r="0" b="0"/>
          <wp:docPr id="4662917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6291732" name="Picture 466291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C32EF"/>
    <w:multiLevelType w:val="hybridMultilevel"/>
    <w:tmpl w:val="6B4A78F0"/>
    <w:lvl w:ilvl="0" w:tplc="10FE44DC">
      <w:start w:val="1"/>
      <w:numFmt w:val="bullet"/>
      <w:lvlText w:val="●"/>
      <w:lvlJc w:val="left"/>
      <w:pPr>
        <w:ind w:left="720" w:hanging="360"/>
      </w:pPr>
    </w:lvl>
    <w:lvl w:ilvl="1" w:tplc="32624042">
      <w:start w:val="1"/>
      <w:numFmt w:val="bullet"/>
      <w:lvlText w:val="○"/>
      <w:lvlJc w:val="left"/>
      <w:pPr>
        <w:ind w:left="1440" w:hanging="360"/>
      </w:pPr>
    </w:lvl>
    <w:lvl w:ilvl="2" w:tplc="AB38045E">
      <w:start w:val="1"/>
      <w:numFmt w:val="bullet"/>
      <w:lvlText w:val="■"/>
      <w:lvlJc w:val="left"/>
      <w:pPr>
        <w:ind w:left="2160" w:hanging="360"/>
      </w:pPr>
    </w:lvl>
    <w:lvl w:ilvl="3" w:tplc="EF6EE570">
      <w:start w:val="1"/>
      <w:numFmt w:val="bullet"/>
      <w:lvlText w:val="●"/>
      <w:lvlJc w:val="left"/>
      <w:pPr>
        <w:ind w:left="2880" w:hanging="360"/>
      </w:pPr>
    </w:lvl>
    <w:lvl w:ilvl="4" w:tplc="B8A66126">
      <w:start w:val="1"/>
      <w:numFmt w:val="bullet"/>
      <w:lvlText w:val="○"/>
      <w:lvlJc w:val="left"/>
      <w:pPr>
        <w:ind w:left="3600" w:hanging="360"/>
      </w:pPr>
    </w:lvl>
    <w:lvl w:ilvl="5" w:tplc="7526980C">
      <w:start w:val="1"/>
      <w:numFmt w:val="bullet"/>
      <w:lvlText w:val="■"/>
      <w:lvlJc w:val="left"/>
      <w:pPr>
        <w:ind w:left="4320" w:hanging="360"/>
      </w:pPr>
    </w:lvl>
    <w:lvl w:ilvl="6" w:tplc="8598C2B0">
      <w:start w:val="1"/>
      <w:numFmt w:val="bullet"/>
      <w:lvlText w:val="●"/>
      <w:lvlJc w:val="left"/>
      <w:pPr>
        <w:ind w:left="5040" w:hanging="360"/>
      </w:pPr>
    </w:lvl>
    <w:lvl w:ilvl="7" w:tplc="5AB0A6A6">
      <w:start w:val="1"/>
      <w:numFmt w:val="bullet"/>
      <w:lvlText w:val="●"/>
      <w:lvlJc w:val="left"/>
      <w:pPr>
        <w:ind w:left="5760" w:hanging="360"/>
      </w:pPr>
    </w:lvl>
    <w:lvl w:ilvl="8" w:tplc="C25268E2">
      <w:start w:val="1"/>
      <w:numFmt w:val="bullet"/>
      <w:lvlText w:val="●"/>
      <w:lvlJc w:val="left"/>
      <w:pPr>
        <w:ind w:left="6480" w:hanging="360"/>
      </w:pPr>
    </w:lvl>
  </w:abstractNum>
  <w:num w:numId="1" w16cid:durableId="497720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465"/>
    <w:rsid w:val="000F7990"/>
    <w:rsid w:val="002152B2"/>
    <w:rsid w:val="002474B3"/>
    <w:rsid w:val="0040231D"/>
    <w:rsid w:val="009E1465"/>
    <w:rsid w:val="00B15E15"/>
    <w:rsid w:val="00EC5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4BED21D5-C15F-754B-9D86-64C0C534A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D343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00"/>
      <w:outlineLvl w:val="0"/>
    </w:pPr>
    <w:rPr>
      <w:rFonts w:ascii="Georgia" w:eastAsia="Georgia" w:hAnsi="Georgia" w:cs="Georgia"/>
      <w:b/>
      <w:bCs/>
      <w:color w:val="66151C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280" w:after="160"/>
      <w:outlineLvl w:val="1"/>
    </w:pPr>
    <w:rPr>
      <w:rFonts w:ascii="Georgia" w:eastAsia="Georgia" w:hAnsi="Georgia" w:cs="Georgia"/>
      <w:b/>
      <w:bCs/>
      <w:color w:val="66151C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120"/>
      <w:outlineLvl w:val="2"/>
    </w:pPr>
    <w:rPr>
      <w:rFonts w:ascii="Georgia" w:eastAsia="Georgia" w:hAnsi="Georgia" w:cs="Georgia"/>
      <w:b/>
      <w:bCs/>
      <w:color w:val="00545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C56E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56E7"/>
  </w:style>
  <w:style w:type="paragraph" w:styleId="Footer">
    <w:name w:val="footer"/>
    <w:basedOn w:val="Normal"/>
    <w:link w:val="FooterChar"/>
    <w:uiPriority w:val="99"/>
    <w:unhideWhenUsed/>
    <w:rsid w:val="00EC56E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56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4.xml.rels><?xml version="1.0" encoding="UTF-8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510</Words>
  <Characters>2910</Characters>
  <Application>Microsoft Office Word</Application>
  <DocSecurity>0</DocSecurity>
  <Lines>24</Lines>
  <Paragraphs>6</Paragraphs>
  <ScaleCrop>false</ScaleCrop>
  <Company/>
  <LinksUpToDate>false</LinksUpToDate>
  <CharactersWithSpaces>3414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DeVries</cp:lastModifiedBy>
  <cp:revision>3</cp:revision>
  <dcterms:created xsi:type="dcterms:W3CDTF">2026-03-29T01:54:00Z</dcterms:created>
  <dcterms:modified xsi:type="dcterms:W3CDTF">2026-03-29T15:29:00Z</dcterms:modified>
</cp:coreProperties>
</file>