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80"/>
        <w:jc w:val="center"/>
      </w:pPr>
      <w:r>
        <w:rPr>
          <w:rFonts w:ascii="Calibri" w:hAnsi="Calibri"/>
          <w:b/>
          <w:color w:val="B07C00"/>
          <w:sz w:val="20"/>
        </w:rPr>
        <w:t>EVALUATION METHODOLOGY</w:t>
      </w:r>
    </w:p>
    <w:p>
      <w:pPr>
        <w:spacing w:after="180"/>
        <w:jc w:val="center"/>
      </w:pPr>
      <w:r>
        <w:rPr>
          <w:rFonts w:ascii="Calibri" w:hAnsi="Calibri"/>
          <w:b/>
          <w:color w:val="0B2545"/>
          <w:sz w:val="58"/>
        </w:rPr>
        <w:t>Persona AI Match</w:t>
        <w:br/>
        <w:t>Scoring Methodology</w:t>
      </w:r>
    </w:p>
    <w:p>
      <w:pPr>
        <w:spacing w:after="880"/>
        <w:jc w:val="center"/>
      </w:pPr>
      <w:r>
        <w:rPr>
          <w:rFonts w:ascii="Calibri" w:hAnsi="Calibri"/>
          <w:color w:val="1F4D78"/>
          <w:sz w:val="27"/>
        </w:rPr>
        <w:t>Quality, response experience, reliability, workload, persona,</w:t>
        <w:br/>
        <w:t>and business-category aggregation for local AI systems</w:t>
      </w:r>
    </w:p>
    <w:tbl>
      <w:tblPr>
        <w:tblStyle w:val="TableGrid"/>
        <w:tblW w:type="dxa" w:w="9360"/>
        <w:jc w:val="center"/>
        <w:tblLayout w:type="fixed"/>
        <w:tblLook w:firstColumn="1" w:firstRow="1" w:lastColumn="0" w:lastRow="0" w:noHBand="0" w:noVBand="1" w:val="04A0"/>
        <w:tblInd w:w="120" w:type="dxa"/>
      </w:tblPr>
      <w:tblGrid>
        <w:gridCol w:w="2448"/>
        <w:gridCol w:w="6912"/>
      </w:tblGrid>
      <w:tr>
        <w:trPr>
          <w:tblHeader w:val="true"/>
          <w:cantSplit/>
        </w:trPr>
        <w:tc>
          <w:tcPr>
            <w:tcW w:type="dxa" w:w="244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Document</w:t>
            </w:r>
          </w:p>
        </w:tc>
        <w:tc>
          <w:tcPr>
            <w:tcW w:type="dxa" w:w="691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Value</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20"/>
              </w:rPr>
              <w:t>Version</w:t>
            </w:r>
          </w:p>
        </w:tc>
        <w:tc>
          <w:tcPr>
            <w:tcW w:type="dxa" w:w="691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20"/>
              </w:rPr>
              <w:t>1.0</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20"/>
              </w:rPr>
              <w:t>Date</w:t>
            </w:r>
          </w:p>
        </w:tc>
        <w:tc>
          <w:tcPr>
            <w:tcW w:type="dxa" w:w="691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20"/>
              </w:rPr>
              <w:t>August 28, 2026</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20"/>
              </w:rPr>
              <w:t>Prepared for</w:t>
            </w:r>
          </w:p>
        </w:tc>
        <w:tc>
          <w:tcPr>
            <w:tcW w:type="dxa" w:w="691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20"/>
              </w:rPr>
              <w:t>Haval LocalAI Bench</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20"/>
              </w:rPr>
              <w:t>Status</w:t>
            </w:r>
          </w:p>
        </w:tc>
        <w:tc>
          <w:tcPr>
            <w:tcW w:type="dxa" w:w="691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20"/>
              </w:rPr>
              <w:t>Proposed production scoring specification</w:t>
            </w:r>
          </w:p>
        </w:tc>
      </w:tr>
    </w:tbl>
    <w:p>
      <w:pPr>
        <w:spacing w:after="0"/>
      </w:pPr>
    </w:p>
    <w:p>
      <w:pPr>
        <w:spacing w:before="440"/>
        <w:jc w:val="center"/>
      </w:pPr>
      <w:r>
        <w:rPr>
          <w:rFonts w:ascii="Calibri" w:hAnsi="Calibri"/>
          <w:i/>
          <w:color w:val="5B6673"/>
          <w:sz w:val="20"/>
        </w:rPr>
        <w:t>The scoring system evaluates a model and hardware configuration together. The same model may therefore receive a different match category on different computers.</w:t>
      </w:r>
    </w:p>
    <w:p>
      <w:pPr>
        <w:pStyle w:val="Heading1"/>
        <w:pageBreakBefore/>
      </w:pPr>
      <w:r>
        <w:t>Executive Summary</w:t>
      </w:r>
    </w:p>
    <w:p>
      <w:pPr>
        <w:spacing w:after="240"/>
      </w:pPr>
      <w:r>
        <w:rPr>
          <w:rFonts w:ascii="Calibri" w:hAnsi="Calibri"/>
          <w:i/>
          <w:color w:val="5B6673"/>
          <w:sz w:val="21"/>
        </w:rPr>
        <w:t>What the score means and how the layers fit together</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Borders>
              <w:top w:val="single" w:sz="2" w:color="F4F6F9"/>
              <w:start w:val="single" w:sz="18" w:color="2E74B5"/>
              <w:bottom w:val="single" w:sz="2" w:color="F4F6F9"/>
              <w:end w:val="single" w:sz="2" w:color="F4F6F9"/>
            </w:tcBorders>
            <w:tcMar>
              <w:top w:w="80" w:type="dxa"/>
              <w:start w:w="120" w:type="dxa"/>
              <w:bottom w:w="80" w:type="dxa"/>
              <w:end w:w="120" w:type="dxa"/>
            </w:tcMar>
            <w:vAlign w:val="center"/>
          </w:tcPr>
          <w:p>
            <w:pPr>
              <w:spacing w:after="60"/>
            </w:pPr>
            <w:r>
              <w:rPr>
                <w:rFonts w:ascii="Calibri" w:hAnsi="Calibri"/>
                <w:b/>
                <w:color w:val="0B2545"/>
                <w:sz w:val="20"/>
              </w:rPr>
              <w:t>Outcome</w:t>
            </w:r>
          </w:p>
          <w:p>
            <w:pPr>
              <w:spacing w:after="0" w:line="276" w:lineRule="auto"/>
            </w:pPr>
            <w:r>
              <w:rPr>
                <w:rFonts w:ascii="Calibri" w:hAnsi="Calibri"/>
                <w:color w:val="202A35"/>
                <w:sz w:val="19"/>
              </w:rPr>
              <w:t>Each persona receives four independent badges: Light, Balanced, Heavy, and Overall. Persona scores then roll up numerically into Consumer, Gaming, and Commercial category scores. Labels and colors are assigned only after the numeric calculations and guardrails are complete.</w:t>
            </w:r>
          </w:p>
        </w:tc>
      </w:tr>
    </w:tbl>
    <w:p>
      <w:pPr>
        <w:spacing w:after="0"/>
      </w:pPr>
    </w:p>
    <w:p>
      <w:pPr>
        <w:pStyle w:val="Heading2"/>
      </w:pPr>
      <w:r>
        <w:t>Calculation hierarchy</w:t>
      </w:r>
    </w:p>
    <w:tbl>
      <w:tblPr>
        <w:tblStyle w:val="TableGrid"/>
        <w:tblW w:type="dxa" w:w="9360"/>
        <w:jc w:val="center"/>
        <w:tblLayout w:type="fixed"/>
        <w:tblLook w:firstColumn="1" w:firstRow="1" w:lastColumn="0" w:lastRow="0" w:noHBand="0" w:noVBand="1" w:val="04A0"/>
        <w:tblInd w:w="120" w:type="dxa"/>
      </w:tblPr>
      <w:tblGrid>
        <w:gridCol w:w="1655"/>
        <w:gridCol w:w="3960"/>
        <w:gridCol w:w="3744"/>
      </w:tblGrid>
      <w:tr>
        <w:trPr>
          <w:tblHeader w:val="true"/>
          <w:cantSplit/>
        </w:trPr>
        <w:tc>
          <w:tcPr>
            <w:tcW w:type="dxa" w:w="1655"/>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Level</w:t>
            </w:r>
          </w:p>
        </w:tc>
        <w:tc>
          <w:tcPr>
            <w:tcW w:type="dxa" w:w="396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Input</w:t>
            </w:r>
          </w:p>
        </w:tc>
        <w:tc>
          <w:tcPr>
            <w:tcW w:type="dxa" w:w="3744"/>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Output</w:t>
            </w:r>
          </w:p>
        </w:tc>
      </w:tr>
      <w:tr>
        <w:trPr>
          <w:cantSplit/>
        </w:trPr>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 Prompt / run</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Response, timing, technical result</w:t>
            </w:r>
          </w:p>
        </w:tc>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Dimension evidence and run status</w:t>
            </w:r>
          </w:p>
        </w:tc>
      </w:tr>
      <w:tr>
        <w:trPr>
          <w:cantSplit/>
        </w:trPr>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2. Workload</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Applicable quality dimensions, time, reliability</w:t>
            </w:r>
          </w:p>
        </w:tc>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WL, WB, or WH</w:t>
            </w:r>
          </w:p>
        </w:tc>
      </w:tr>
      <w:tr>
        <w:trPr>
          <w:cantSplit/>
        </w:trPr>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3. Persona</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Light, Balanced, Heavy workload scores</w:t>
            </w:r>
          </w:p>
        </w:tc>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Persona overall Pp</w:t>
            </w:r>
          </w:p>
        </w:tc>
      </w:tr>
      <w:tr>
        <w:trPr>
          <w:cantSplit/>
        </w:trPr>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4. Business</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Persona scores in one business family</w:t>
            </w:r>
          </w:p>
        </w:tc>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Consumer C, Gaming G, Commercial M</w:t>
            </w:r>
          </w:p>
        </w:tc>
      </w:tr>
      <w:tr>
        <w:trPr>
          <w:cantSplit/>
        </w:trPr>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5. Device (optional)</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 G, and M with market weights</w:t>
            </w:r>
          </w:p>
        </w:tc>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Device score D</w:t>
            </w:r>
          </w:p>
        </w:tc>
      </w:tr>
    </w:tbl>
    <w:p>
      <w:pPr>
        <w:spacing w:after="0"/>
      </w:pPr>
    </w:p>
    <w:p>
      <w:pPr>
        <w:pStyle w:val="Heading2"/>
      </w:pPr>
      <w:r>
        <w:t>Core formulas at a glance</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Ww = Qw^0.60 * Ew^0.30 * Rw^0.10</w:t>
            </w:r>
          </w:p>
          <w:p>
            <w:pPr>
              <w:spacing w:after="80"/>
              <w:jc w:val="center"/>
            </w:pPr>
            <w:r>
              <w:rPr>
                <w:rFonts w:ascii="Calibri" w:hAnsi="Calibri"/>
                <w:i/>
                <w:color w:val="5B6673"/>
                <w:sz w:val="17"/>
              </w:rPr>
              <w:t>Workload match: 60% quality, 30% experience, 10% reliability</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Pp = 0.25 WL + 0.40 WB + 0.35 WH</w:t>
            </w:r>
          </w:p>
          <w:p>
            <w:pPr>
              <w:spacing w:after="80"/>
              <w:jc w:val="center"/>
            </w:pPr>
            <w:r>
              <w:rPr>
                <w:rFonts w:ascii="Calibri" w:hAnsi="Calibri"/>
                <w:i/>
                <w:color w:val="5B6673"/>
                <w:sz w:val="17"/>
              </w:rPr>
              <w:t>Default persona aggregation across Light, Balanced, and Heavy</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B = SUM(omega_p * Pp),  where SUM(omega_p) = 1</w:t>
            </w:r>
          </w:p>
          <w:p>
            <w:pPr>
              <w:spacing w:after="80"/>
              <w:jc w:val="center"/>
            </w:pPr>
            <w:r>
              <w:rPr>
                <w:rFonts w:ascii="Calibri" w:hAnsi="Calibri"/>
                <w:i/>
                <w:color w:val="5B6673"/>
                <w:sz w:val="17"/>
              </w:rPr>
              <w:t>Business-category aggregation across the personas in Consumer, Gaming, or Commercial</w:t>
            </w:r>
          </w:p>
        </w:tc>
      </w:tr>
    </w:tbl>
    <w:p>
      <w:pPr>
        <w:spacing w:after="0"/>
      </w:pPr>
    </w:p>
    <w:p>
      <w:r>
        <w:rPr>
          <w:rFonts w:ascii="Calibri" w:hAnsi="Calibri"/>
          <w:color w:val="202A35"/>
          <w:sz w:val="22"/>
        </w:rPr>
        <w:t>These formulas are followed by anti-compensation gates. A high number is not sufficient by itself: minimum quality, experience, reliability, coverage, and completion conditions must also be satisfied.</w:t>
      </w:r>
    </w:p>
    <w:p>
      <w:pPr>
        <w:pStyle w:val="Heading2"/>
      </w:pPr>
      <w:r>
        <w:t>Document map</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Section</w:t>
            </w:r>
          </w:p>
        </w:tc>
        <w:tc>
          <w:tcPr>
            <w:tcW w:type="dxa" w:w="756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Purpose</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1–3</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Scope, hierarchy, terms, inputs, and test controls</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4–6</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Quality, experience, and reliability component scoring</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7–9</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Workload formula, category vocabulary, and persona roll-up</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10–11</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Business-category and optional device-level aggregation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12–14</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Failure rules, worked examples, implementation algorithm</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15 + appendices</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Calibration guidance, symbols, QA checklist, and research basis</w:t>
            </w:r>
          </w:p>
        </w:tc>
      </w:tr>
    </w:tbl>
    <w:p>
      <w:pPr>
        <w:spacing w:after="0"/>
      </w:pPr>
    </w:p>
    <w:p>
      <w:pPr>
        <w:pStyle w:val="Heading1"/>
        <w:pageBreakBefore/>
      </w:pPr>
      <w:r>
        <w:t>1. Purpose and Scope</w:t>
      </w:r>
    </w:p>
    <w:p>
      <w:r>
        <w:rPr>
          <w:rFonts w:ascii="Calibri" w:hAnsi="Calibri"/>
          <w:color w:val="202A35"/>
          <w:sz w:val="22"/>
        </w:rPr>
        <w:t>This specification defines how Haval LocalAI Bench should translate raw benchmark observations into an understandable statement of fit: how well a specific local model running on a specific hardware configuration serves a particular user persona and workload intensity.</w:t>
      </w:r>
    </w:p>
    <w:p>
      <w:pPr>
        <w:pStyle w:val="Heading2"/>
      </w:pPr>
      <w:r>
        <w:t>1.1 What is being scored</w:t>
      </w:r>
    </w:p>
    <w:p>
      <w:r>
        <w:rPr>
          <w:rFonts w:ascii="Calibri" w:hAnsi="Calibri"/>
          <w:color w:val="202A35"/>
          <w:sz w:val="22"/>
        </w:rPr>
        <w:t>The unit of evaluation is the model–hardware configuration, not the model in isolation. Quality is primarily a model capability; response experience and reliability depend strongly on hardware, runtime, context length, and configuration. The final match therefore represents the combined system a user would actually experience.</w:t>
      </w:r>
    </w:p>
    <w:p>
      <w:pPr>
        <w:pStyle w:val="Heading2"/>
      </w:pPr>
      <w:r>
        <w:t>1.2 Intended outputs</w:t>
      </w:r>
    </w:p>
    <w:p>
      <w:pPr>
        <w:pStyle w:val="ListBullet"/>
      </w:pPr>
      <w:r>
        <w:rPr>
          <w:rFonts w:ascii="Calibri" w:hAnsi="Calibri"/>
          <w:color w:val="202A35"/>
          <w:sz w:val="22"/>
        </w:rPr>
        <w:t>A Light, Balanced, and Heavy match score for every persona.</w:t>
      </w:r>
    </w:p>
    <w:p>
      <w:pPr>
        <w:pStyle w:val="ListBullet"/>
      </w:pPr>
      <w:r>
        <w:rPr>
          <w:rFonts w:ascii="Calibri" w:hAnsi="Calibri"/>
          <w:color w:val="202A35"/>
          <w:sz w:val="22"/>
        </w:rPr>
        <w:t>One Overall match score for every persona.</w:t>
      </w:r>
    </w:p>
    <w:p>
      <w:pPr>
        <w:pStyle w:val="ListBullet"/>
      </w:pPr>
      <w:r>
        <w:rPr>
          <w:rFonts w:ascii="Calibri" w:hAnsi="Calibri"/>
          <w:color w:val="202A35"/>
          <w:sz w:val="22"/>
        </w:rPr>
        <w:t>Consumer, Gaming, and Commercial category scores.</w:t>
      </w:r>
    </w:p>
    <w:p>
      <w:pPr>
        <w:pStyle w:val="ListBullet"/>
      </w:pPr>
      <w:r>
        <w:rPr>
          <w:rFonts w:ascii="Calibri" w:hAnsi="Calibri"/>
          <w:color w:val="202A35"/>
          <w:sz w:val="22"/>
        </w:rPr>
        <w:t>Optional overall device score when the intended market mix is known.</w:t>
      </w:r>
    </w:p>
    <w:p>
      <w:pPr>
        <w:pStyle w:val="ListBullet"/>
      </w:pPr>
      <w:r>
        <w:rPr>
          <w:rFonts w:ascii="Calibri" w:hAnsi="Calibri"/>
          <w:color w:val="202A35"/>
          <w:sz w:val="22"/>
        </w:rPr>
        <w:t>Diagnostic Quality, Experience, and Reliability values at each aggregation layer.</w:t>
      </w:r>
    </w:p>
    <w:p>
      <w:pPr>
        <w:pStyle w:val="Heading2"/>
      </w:pPr>
      <w:r>
        <w:t>1.3 Design principles</w:t>
      </w:r>
    </w:p>
    <w:tbl>
      <w:tblPr>
        <w:tblStyle w:val="TableGrid"/>
        <w:tblW w:type="dxa" w:w="9360"/>
        <w:jc w:val="center"/>
        <w:tblLayout w:type="fixed"/>
        <w:tblLook w:firstColumn="1" w:firstRow="1" w:lastColumn="0" w:lastRow="0" w:noHBand="0" w:noVBand="1" w:val="04A0"/>
        <w:tblInd w:w="120" w:type="dxa"/>
      </w:tblPr>
      <w:tblGrid>
        <w:gridCol w:w="2376"/>
        <w:gridCol w:w="6983"/>
      </w:tblGrid>
      <w:tr>
        <w:trPr>
          <w:tblHeader w:val="true"/>
          <w:cantSplit/>
        </w:trPr>
        <w:tc>
          <w:tcPr>
            <w:tcW w:type="dxa" w:w="2376"/>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Principle</w:t>
            </w:r>
          </w:p>
        </w:tc>
        <w:tc>
          <w:tcPr>
            <w:tcW w:type="dxa" w:w="6983"/>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Operational meaning</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Task relevance</w:t>
            </w:r>
          </w:p>
        </w:tc>
        <w:tc>
          <w:tcPr>
            <w:tcW w:type="dxa" w:w="698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Only quality dimensions applicable to a scenario are scored.</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No hidden compensation</w:t>
            </w:r>
          </w:p>
        </w:tc>
        <w:tc>
          <w:tcPr>
            <w:tcW w:type="dxa" w:w="698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 strength cannot completely erase an unacceptable weakness.</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Hardware sensitivity</w:t>
            </w:r>
          </w:p>
        </w:tc>
        <w:tc>
          <w:tcPr>
            <w:tcW w:type="dxa" w:w="698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Timing and technical success are measured on each configuration.</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Explainability</w:t>
            </w:r>
          </w:p>
        </w:tc>
        <w:tc>
          <w:tcPr>
            <w:tcW w:type="dxa" w:w="698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Every badge can be traced back to component scores and prompt evidence.</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Stable defaults</w:t>
            </w:r>
          </w:p>
        </w:tc>
        <w:tc>
          <w:tcPr>
            <w:tcW w:type="dxa" w:w="698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Version 1 uses fixed documented weights; future calibration is versioned.</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No label averaging</w:t>
            </w:r>
          </w:p>
        </w:tc>
        <w:tc>
          <w:tcPr>
            <w:tcW w:type="dxa" w:w="698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Only numbers are aggregated. Colors and words are assigned afterward.</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Borders>
              <w:top w:val="single" w:sz="2" w:color="F4F6F9"/>
              <w:start w:val="single" w:sz="18" w:color="2E74B5"/>
              <w:bottom w:val="single" w:sz="2" w:color="F4F6F9"/>
              <w:end w:val="single" w:sz="2" w:color="F4F6F9"/>
            </w:tcBorders>
            <w:tcMar>
              <w:top w:w="80" w:type="dxa"/>
              <w:start w:w="120" w:type="dxa"/>
              <w:bottom w:w="80" w:type="dxa"/>
              <w:end w:w="120" w:type="dxa"/>
            </w:tcMar>
            <w:vAlign w:val="center"/>
          </w:tcPr>
          <w:p>
            <w:pPr>
              <w:spacing w:after="60"/>
            </w:pPr>
            <w:r>
              <w:rPr>
                <w:rFonts w:ascii="Calibri" w:hAnsi="Calibri"/>
                <w:b/>
                <w:color w:val="0B2545"/>
                <w:sz w:val="20"/>
              </w:rPr>
              <w:t>Important boundary</w:t>
            </w:r>
          </w:p>
          <w:p>
            <w:pPr>
              <w:spacing w:after="0" w:line="276" w:lineRule="auto"/>
            </w:pPr>
            <w:r>
              <w:rPr>
                <w:rFonts w:ascii="Calibri" w:hAnsi="Calibri"/>
                <w:color w:val="202A35"/>
                <w:sz w:val="19"/>
              </w:rPr>
              <w:t>This is a suitability methodology, not a claim that one model is universally “best.” A system can be an Excellent Match for one persona and only Acceptable for another because the task mix, latency tolerance, and quality requirements differ.</w:t>
            </w:r>
          </w:p>
        </w:tc>
      </w:tr>
    </w:tbl>
    <w:p>
      <w:pPr>
        <w:spacing w:after="0"/>
      </w:pPr>
    </w:p>
    <w:p>
      <w:pPr>
        <w:pStyle w:val="Heading1"/>
        <w:pageBreakBefore/>
      </w:pPr>
      <w:r>
        <w:t>2. Evaluation Architecture</w:t>
      </w:r>
    </w:p>
    <w:p>
      <w:pPr>
        <w:pStyle w:val="Heading2"/>
      </w:pPr>
      <w:r>
        <w:t>2.1 Business families and personas</w:t>
      </w:r>
    </w:p>
    <w:tbl>
      <w:tblPr>
        <w:tblStyle w:val="TableGrid"/>
        <w:tblW w:type="dxa" w:w="9360"/>
        <w:jc w:val="center"/>
        <w:tblLayout w:type="fixed"/>
        <w:tblLook w:firstColumn="1" w:firstRow="1" w:lastColumn="0" w:lastRow="0" w:noHBand="0" w:noVBand="1" w:val="04A0"/>
        <w:tblInd w:w="120" w:type="dxa"/>
      </w:tblPr>
      <w:tblGrid>
        <w:gridCol w:w="1728"/>
        <w:gridCol w:w="7632"/>
      </w:tblGrid>
      <w:tr>
        <w:trPr>
          <w:tblHeader w:val="true"/>
          <w:cantSplit/>
        </w:trPr>
        <w:tc>
          <w:tcPr>
            <w:tcW w:type="dxa" w:w="17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Business</w:t>
            </w:r>
          </w:p>
        </w:tc>
        <w:tc>
          <w:tcPr>
            <w:tcW w:type="dxa" w:w="763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Personas</w:t>
            </w:r>
          </w:p>
        </w:tc>
      </w:tr>
      <w:tr>
        <w:trPr>
          <w:cantSplit/>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Consumer</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Everyday Organizer; Student &amp; Learner; Family Coordinator; Researcher &amp; Shopper; Writer &amp; Communicator; Creative Prosumer; Personal Adviser; Technical Hobbyist</w:t>
            </w:r>
          </w:p>
        </w:tc>
      </w:tr>
      <w:tr>
        <w:trPr>
          <w:cantSplit/>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Gaming</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Casual Gamer; Power Player; Progressive Creator; Rising Game Developer</w:t>
            </w:r>
          </w:p>
        </w:tc>
      </w:tr>
      <w:tr>
        <w:trPr>
          <w:cantSplit/>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Commercial</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Executive &amp; Decision Maker; Project &amp; Operations Manager; Engineer &amp; Software Developer; Analyst &amp; Finance Professional; Research &amp; Product Professional; Sales &amp; Marketing Professional; Customer Support Specialist; People, Legal &amp; Compliance Professional</w:t>
            </w:r>
          </w:p>
        </w:tc>
      </w:tr>
    </w:tbl>
    <w:p>
      <w:pPr>
        <w:spacing w:after="0"/>
      </w:pPr>
    </w:p>
    <w:p>
      <w:pPr>
        <w:pStyle w:val="Heading2"/>
      </w:pPr>
      <w:r>
        <w:t>2.2 Workload intensities</w:t>
      </w:r>
    </w:p>
    <w:tbl>
      <w:tblPr>
        <w:tblStyle w:val="TableGrid"/>
        <w:tblW w:type="dxa" w:w="9360"/>
        <w:jc w:val="center"/>
        <w:tblLayout w:type="fixed"/>
        <w:tblLook w:firstColumn="1" w:firstRow="1" w:lastColumn="0" w:lastRow="0" w:noHBand="0" w:noVBand="1" w:val="04A0"/>
        <w:tblInd w:w="120" w:type="dxa"/>
      </w:tblPr>
      <w:tblGrid>
        <w:gridCol w:w="1512"/>
        <w:gridCol w:w="3528"/>
        <w:gridCol w:w="4320"/>
      </w:tblGrid>
      <w:tr>
        <w:trPr>
          <w:tblHeader w:val="true"/>
          <w:cantSplit/>
        </w:trPr>
        <w:tc>
          <w:tcPr>
            <w:tcW w:type="dxa" w:w="151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Workload</w:t>
            </w:r>
          </w:p>
        </w:tc>
        <w:tc>
          <w:tcPr>
            <w:tcW w:type="dxa" w:w="35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Meaning</w:t>
            </w:r>
          </w:p>
        </w:tc>
        <w:tc>
          <w:tcPr>
            <w:tcW w:type="dxa" w:w="432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Typical interaction</w:t>
            </w:r>
          </w:p>
        </w:tc>
      </w:tr>
      <w:tr>
        <w:trPr>
          <w:cantSplit/>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Light</w:t>
            </w:r>
          </w:p>
        </w:tc>
        <w:tc>
          <w:tcPr>
            <w:tcW w:type="dxa" w:w="35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Short, simple, low-context task with quick feedback expected.</w:t>
            </w:r>
          </w:p>
        </w:tc>
        <w:tc>
          <w:tcPr>
            <w:tcW w:type="dxa" w:w="43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Rewrite, small lookup, short answer, one-step transformation.</w:t>
            </w:r>
          </w:p>
        </w:tc>
      </w:tr>
      <w:tr>
        <w:trPr>
          <w:cantSplit/>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Balanced</w:t>
            </w:r>
          </w:p>
        </w:tc>
        <w:tc>
          <w:tcPr>
            <w:tcW w:type="dxa" w:w="35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Normal day-to-day work with several constraints or moderate context.</w:t>
            </w:r>
          </w:p>
        </w:tc>
        <w:tc>
          <w:tcPr>
            <w:tcW w:type="dxa" w:w="43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Draft plus formatting, comparison, analysis, multi-part assistance.</w:t>
            </w:r>
          </w:p>
        </w:tc>
      </w:tr>
      <w:tr>
        <w:trPr>
          <w:cantSplit/>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Heavy</w:t>
            </w:r>
          </w:p>
        </w:tc>
        <w:tc>
          <w:tcPr>
            <w:tcW w:type="dxa" w:w="35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Complex or long-context deliverable requiring sustained correctness.</w:t>
            </w:r>
          </w:p>
        </w:tc>
        <w:tc>
          <w:tcPr>
            <w:tcW w:type="dxa" w:w="43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Large synthesis, code creation, deep reasoning, structured production output.</w:t>
            </w:r>
          </w:p>
        </w:tc>
      </w:tr>
    </w:tbl>
    <w:p>
      <w:pPr>
        <w:spacing w:after="0"/>
      </w:pPr>
    </w:p>
    <w:p>
      <w:pPr>
        <w:pStyle w:val="Heading2"/>
      </w:pPr>
      <w:r>
        <w:t>2.3 Four persona badges</w:t>
      </w:r>
    </w:p>
    <w:p>
      <w:r>
        <w:rPr>
          <w:rFonts w:ascii="Calibri" w:hAnsi="Calibri"/>
          <w:color w:val="202A35"/>
          <w:sz w:val="22"/>
        </w:rPr>
        <w:t>For persona p, the system calculates WL, WB, and WH independently. It then calculates Pp, the persona Overall score. Each numeric value receives its own category. A poor Heavy result therefore remains visible even when the persona Overall score is acceptable.</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Persona p -&gt; { Light WL, Balanced WB, Heavy WH, Overall Pp }</w:t>
            </w:r>
          </w:p>
        </w:tc>
      </w:tr>
    </w:tbl>
    <w:p>
      <w:pPr>
        <w:spacing w:after="0"/>
      </w:pPr>
    </w:p>
    <w:p>
      <w:pPr>
        <w:pStyle w:val="Heading2"/>
      </w:pPr>
      <w:r>
        <w:t>2.4 Relationship to the existing 39-item bench</w:t>
      </w:r>
    </w:p>
    <w:p>
      <w:r>
        <w:rPr>
          <w:rFonts w:ascii="Calibri" w:hAnsi="Calibri"/>
          <w:color w:val="202A35"/>
          <w:sz w:val="22"/>
        </w:rPr>
        <w:t>The current full_end_to_end pack already supplies reusable evidence: instruction following, math, reasoning, structured JSON, coding, factual/extraction, creative constraints, speed, and three customer-timed tasks. The persona workload suite extends this evidence with realistic persona prompts and per-scenario response-time tolerances. Existing scores should be reused only when the underlying task validly represents the persona scenario.</w:t>
      </w:r>
    </w:p>
    <w:p>
      <w:r>
        <w:rPr>
          <w:rFonts w:ascii="Calibri" w:hAnsi="Calibri"/>
          <w:color w:val="202A35"/>
          <w:sz w:val="22"/>
        </w:rPr>
        <w:t>Do not double count: if the same observation serves both a quality item and a persona scenario, store one evidence record and reference it from both views. Never count the same run twice inside one component score.</w:t>
      </w:r>
    </w:p>
    <w:p>
      <w:pPr>
        <w:pStyle w:val="Heading1"/>
      </w:pPr>
      <w:r>
        <w:t>3. Inputs, Controls, and Data Model</w:t>
      </w:r>
    </w:p>
    <w:p>
      <w:pPr>
        <w:pStyle w:val="Heading2"/>
      </w:pPr>
      <w:r>
        <w:t>3.1 Required input per run</w:t>
      </w:r>
    </w:p>
    <w:tbl>
      <w:tblPr>
        <w:tblStyle w:val="TableGrid"/>
        <w:tblW w:type="dxa" w:w="9360"/>
        <w:jc w:val="center"/>
        <w:tblLayout w:type="fixed"/>
        <w:tblLook w:firstColumn="1" w:firstRow="1" w:lastColumn="0" w:lastRow="0" w:noHBand="0" w:noVBand="1" w:val="04A0"/>
        <w:tblInd w:w="120" w:type="dxa"/>
      </w:tblPr>
      <w:tblGrid>
        <w:gridCol w:w="2160"/>
        <w:gridCol w:w="7200"/>
      </w:tblGrid>
      <w:tr>
        <w:trPr>
          <w:tblHeader w:val="true"/>
          <w:cantSplit/>
        </w:trPr>
        <w:tc>
          <w:tcPr>
            <w:tcW w:type="dxa" w:w="216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Field</w:t>
            </w:r>
          </w:p>
        </w:tc>
        <w:tc>
          <w:tcPr>
            <w:tcW w:type="dxa" w:w="720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Definition</w:t>
            </w:r>
          </w:p>
        </w:tc>
      </w:tr>
      <w:tr>
        <w:trPr>
          <w:cantSpli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Configuration ID</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Model, quantization, runtime, context settings, accelerator, RAM/VRAM, and hardware identifier.</w:t>
            </w:r>
          </w:p>
        </w:tc>
      </w:tr>
      <w:tr>
        <w:trPr>
          <w:cantSpli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Persona / workload</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Business family, persona, and Light/Balanced/Heavy scenario.</w:t>
            </w:r>
          </w:p>
        </w:tc>
      </w:tr>
      <w:tr>
        <w:trPr>
          <w:cantSpli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Prompt version</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Immutable prompt ID and rubric version.</w:t>
            </w:r>
          </w:p>
        </w:tc>
      </w:tr>
      <w:tr>
        <w:trPr>
          <w:cantSpli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Raw response</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Unmodified output used for scoring and audit.</w:t>
            </w:r>
          </w:p>
        </w:tc>
      </w:tr>
      <w:tr>
        <w:trPr>
          <w:cantSpli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Timing</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Model load time when applicable, TTFT, total completion time, prompt tokens, and output tokens.</w:t>
            </w:r>
          </w:p>
        </w:tc>
      </w:tr>
      <w:tr>
        <w:trPr>
          <w:cantSpli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Technical status</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Loaded, completed, OOM, crash, runner error, timeout, or truncated.</w:t>
            </w:r>
          </w:p>
        </w:tc>
      </w:tr>
      <w:tr>
        <w:trPr>
          <w:cantSpli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Quality evidence</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Dimension scores, hard-gate results, grader version, and notes.</w:t>
            </w:r>
          </w:p>
        </w:tc>
      </w:tr>
    </w:tbl>
    <w:p>
      <w:pPr>
        <w:spacing w:after="0"/>
      </w:pPr>
    </w:p>
    <w:p>
      <w:pPr>
        <w:pStyle w:val="Heading2"/>
      </w:pPr>
      <w:r>
        <w:t>3.2 Controlled generation settings</w:t>
      </w:r>
    </w:p>
    <w:p>
      <w:r>
        <w:rPr>
          <w:rFonts w:ascii="Calibri" w:hAnsi="Calibri"/>
          <w:color w:val="202A35"/>
          <w:sz w:val="22"/>
        </w:rPr>
        <w:t>For comparable evaluation, use deterministic or tightly controlled decoding. The current application uses temperature 0, top_p 1, seed 42, a 30-second general limit, and a 90-second coding limit. Persona-specific time allowances may differ; when they do, store both the global technical timeout and the scenario acceptance target.</w:t>
      </w:r>
    </w:p>
    <w:p>
      <w:pPr>
        <w:pStyle w:val="Heading2"/>
      </w:pPr>
      <w:r>
        <w:t>3.3 Two distinct time concepts</w:t>
      </w:r>
    </w:p>
    <w:tbl>
      <w:tblPr>
        <w:tblStyle w:val="TableGrid"/>
        <w:tblW w:type="dxa" w:w="9360"/>
        <w:jc w:val="center"/>
        <w:tblLayout w:type="fixed"/>
        <w:tblLook w:firstColumn="1" w:firstRow="1" w:lastColumn="0" w:lastRow="0" w:noHBand="0" w:noVBand="1" w:val="04A0"/>
        <w:tblInd w:w="120" w:type="dxa"/>
      </w:tblPr>
      <w:tblGrid>
        <w:gridCol w:w="2088"/>
        <w:gridCol w:w="3888"/>
        <w:gridCol w:w="3384"/>
      </w:tblGrid>
      <w:tr>
        <w:trPr>
          <w:tblHeader w:val="true"/>
          <w:cantSplit/>
        </w:trPr>
        <w:tc>
          <w:tcPr>
            <w:tcW w:type="dxa" w:w="208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Concept</w:t>
            </w:r>
          </w:p>
        </w:tc>
        <w:tc>
          <w:tcPr>
            <w:tcW w:type="dxa" w:w="388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Purpose</w:t>
            </w:r>
          </w:p>
        </w:tc>
        <w:tc>
          <w:tcPr>
            <w:tcW w:type="dxa" w:w="3384"/>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Effect</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Technical timeout</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Prevents a run from consuming unbounded time.</w:t>
            </w:r>
          </w:p>
        </w:tc>
        <w:tc>
          <w:tcPr>
            <w:tcW w:type="dxa" w:w="33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If reached without a gradeable result, the run fails technically.</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Acceptance target</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Represents what the persona tolerates for that task.</w:t>
            </w:r>
          </w:p>
        </w:tc>
        <w:tc>
          <w:tcPr>
            <w:tcW w:type="dxa" w:w="33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Used to normalize experience even when the run technically completes.</w:t>
            </w:r>
          </w:p>
        </w:tc>
      </w:tr>
    </w:tbl>
    <w:p>
      <w:pPr>
        <w:spacing w:after="0"/>
      </w:pPr>
    </w:p>
    <w:p>
      <w:pPr>
        <w:pStyle w:val="Heading2"/>
      </w:pPr>
      <w:r>
        <w:t>3.4 Scoring scale</w:t>
      </w:r>
    </w:p>
    <w:p>
      <w:r>
        <w:rPr>
          <w:rFonts w:ascii="Calibri" w:hAnsi="Calibri"/>
          <w:color w:val="202A35"/>
          <w:sz w:val="22"/>
        </w:rPr>
        <w:t>All component and aggregate scores use a 0–100 scale. Keep unrounded values during calculation. Display whole numbers only at the presentation layer. Apply category boundaries to the unrounded value to avoid rounding a score across a tier boundary.</w:t>
      </w:r>
    </w:p>
    <w:p>
      <w:pPr>
        <w:pStyle w:val="Heading1"/>
      </w:pPr>
      <w:r>
        <w:t>4. Quality Scoring</w:t>
      </w:r>
    </w:p>
    <w:p>
      <w:pPr>
        <w:pStyle w:val="Heading2"/>
      </w:pPr>
      <w:r>
        <w:t>4.1 Quality dimensions</w:t>
      </w:r>
    </w:p>
    <w:tbl>
      <w:tblPr>
        <w:tblStyle w:val="TableGrid"/>
        <w:tblW w:type="dxa" w:w="9360"/>
        <w:jc w:val="center"/>
        <w:tblLayout w:type="fixed"/>
        <w:tblLook w:firstColumn="1" w:firstRow="1" w:lastColumn="0" w:lastRow="0" w:noHBand="0" w:noVBand="1" w:val="04A0"/>
        <w:tblInd w:w="120" w:type="dxa"/>
      </w:tblPr>
      <w:tblGrid>
        <w:gridCol w:w="792"/>
        <w:gridCol w:w="2376"/>
        <w:gridCol w:w="6192"/>
      </w:tblGrid>
      <w:tr>
        <w:trPr>
          <w:tblHeader w:val="true"/>
          <w:cantSplit/>
        </w:trPr>
        <w:tc>
          <w:tcPr>
            <w:tcW w:type="dxa" w:w="79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Code</w:t>
            </w:r>
          </w:p>
        </w:tc>
        <w:tc>
          <w:tcPr>
            <w:tcW w:type="dxa" w:w="2376"/>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Dimension</w:t>
            </w:r>
          </w:p>
        </w:tc>
        <w:tc>
          <w:tcPr>
            <w:tcW w:type="dxa" w:w="619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What it measures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R</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Reasoning</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Logical consistency, decomposition, inference, and defensible conclusions.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M</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Math</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Numerical correctness, calculations, units, and quantitative interpretation.</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P</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Coding &amp; Problem Solving</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Executable correctness, algorithm choice, debugging, and technical problem resolution.</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I</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Instruction Following</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Adherence to requested scope, constraints, format, tone, and exclusions.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Structured Output / JSON</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Syntactic validity, schema compliance, types, fields, and machine-readability.</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F</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Factual Accuracy</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Correctness, source-grounding, and avoidance of unsupported claims.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Creative Quality</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Originality, coherence, audience fit, style, and usefulness of creative output.</w:t>
            </w:r>
          </w:p>
        </w:tc>
      </w:tr>
    </w:tbl>
    <w:p>
      <w:pPr>
        <w:spacing w:after="0"/>
      </w:pPr>
    </w:p>
    <w:p>
      <w:pPr>
        <w:pStyle w:val="Heading2"/>
      </w:pPr>
      <w:r>
        <w:t>4.2 Applicability rule</w:t>
      </w:r>
    </w:p>
    <w:p>
      <w:r>
        <w:rPr>
          <w:rFonts w:ascii="Calibri" w:hAnsi="Calibri"/>
          <w:color w:val="202A35"/>
          <w:sz w:val="22"/>
        </w:rPr>
        <w:t>Every scenario declares its applicable quality dimensions before testing. Non-applicable dimensions are marked N/A—not zero—and are excluded from both numerator and denominator. This prevents a creative writing task from being penalized for having no math, or a JSON extraction task from being judged on creativity.</w:t>
      </w:r>
    </w:p>
    <w:p>
      <w:pPr>
        <w:pStyle w:val="Heading2"/>
      </w:pPr>
      <w:r>
        <w:t>4.3 Primary-dimension weighting</w:t>
      </w:r>
    </w:p>
    <w:p>
      <w:r>
        <w:rPr>
          <w:rFonts w:ascii="Calibri" w:hAnsi="Calibri"/>
          <w:color w:val="202A35"/>
          <w:sz w:val="22"/>
        </w:rPr>
        <w:t>One applicable dimension is designated primary because it represents the central success condition. It receives 40% of the quality score. The remaining 60% is divided equally across all other applicable dimensions.</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Qw = 0.40*q_primary + SUM[ 0.60/(n-1) * q_secondary ]</w:t>
            </w:r>
          </w:p>
          <w:p>
            <w:pPr>
              <w:spacing w:after="80"/>
              <w:jc w:val="center"/>
            </w:pPr>
            <w:r>
              <w:rPr>
                <w:rFonts w:ascii="Calibri" w:hAnsi="Calibri"/>
                <w:i/>
                <w:color w:val="5B6673"/>
                <w:sz w:val="17"/>
              </w:rPr>
              <w:t>Use when n &gt; 1 applicable dimensions. If n = 1, Qw = q_primary.</w:t>
            </w:r>
          </w:p>
        </w:tc>
      </w:tr>
    </w:tbl>
    <w:p>
      <w:pPr>
        <w:spacing w:after="0"/>
      </w:pPr>
    </w:p>
    <w:p>
      <w:pPr>
        <w:pStyle w:val="Heading2"/>
        <w:pageBreakBefore/>
      </w:pPr>
      <w:r>
        <w:t>4.4 Worked quality example</w:t>
      </w:r>
    </w:p>
    <w:tbl>
      <w:tblPr>
        <w:tblStyle w:val="TableGrid"/>
        <w:tblW w:type="dxa" w:w="7920"/>
        <w:jc w:val="center"/>
        <w:tblLayout w:type="fixed"/>
        <w:tblLook w:firstColumn="1" w:firstRow="1" w:lastColumn="0" w:lastRow="0" w:noHBand="0" w:noVBand="1" w:val="04A0"/>
        <w:tblInd w:w="120" w:type="dxa"/>
      </w:tblPr>
      <w:tblGrid>
        <w:gridCol w:w="2448"/>
        <w:gridCol w:w="1584"/>
        <w:gridCol w:w="1007"/>
        <w:gridCol w:w="1152"/>
        <w:gridCol w:w="1728"/>
      </w:tblGrid>
      <w:tr>
        <w:trPr>
          <w:tblHeader w:val="true"/>
          <w:cantSplit/>
        </w:trPr>
        <w:tc>
          <w:tcPr>
            <w:tcW w:type="dxa" w:w="244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Dimension</w:t>
            </w:r>
          </w:p>
        </w:tc>
        <w:tc>
          <w:tcPr>
            <w:tcW w:type="dxa" w:w="1584"/>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Role</w:t>
            </w:r>
          </w:p>
        </w:tc>
        <w:tc>
          <w:tcPr>
            <w:tcW w:type="dxa" w:w="1007"/>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Score</w:t>
            </w:r>
          </w:p>
        </w:tc>
        <w:tc>
          <w:tcPr>
            <w:tcW w:type="dxa" w:w="115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Weight</w:t>
            </w:r>
          </w:p>
        </w:tc>
        <w:tc>
          <w:tcPr>
            <w:tcW w:type="dxa" w:w="17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Contribution</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Reasoning</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Primary</w:t>
            </w:r>
          </w:p>
        </w:tc>
        <w:tc>
          <w:tcPr>
            <w:tcW w:type="dxa" w:w="1007"/>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90</w:t>
            </w:r>
          </w:p>
        </w:tc>
        <w:tc>
          <w:tcPr>
            <w:tcW w:type="dxa" w:w="115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0.40</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36.0</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Math</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Secondary</w:t>
            </w:r>
          </w:p>
        </w:tc>
        <w:tc>
          <w:tcPr>
            <w:tcW w:type="dxa" w:w="1007"/>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80</w:t>
            </w:r>
          </w:p>
        </w:tc>
        <w:tc>
          <w:tcPr>
            <w:tcW w:type="dxa" w:w="115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0.20</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16.0</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Instruction Following</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Secondary</w:t>
            </w:r>
          </w:p>
        </w:tc>
        <w:tc>
          <w:tcPr>
            <w:tcW w:type="dxa" w:w="1007"/>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100</w:t>
            </w:r>
          </w:p>
        </w:tc>
        <w:tc>
          <w:tcPr>
            <w:tcW w:type="dxa" w:w="115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0.20</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20.0</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Factual Accuracy</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Secondary</w:t>
            </w:r>
          </w:p>
        </w:tc>
        <w:tc>
          <w:tcPr>
            <w:tcW w:type="dxa" w:w="1007"/>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85</w:t>
            </w:r>
          </w:p>
        </w:tc>
        <w:tc>
          <w:tcPr>
            <w:tcW w:type="dxa" w:w="115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0.20</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17.0</w:t>
            </w:r>
          </w:p>
        </w:tc>
      </w:tr>
      <w:tr>
        <w:trPr>
          <w:cantSplit/>
        </w:trPr>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Total Qw</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r>
          </w:p>
        </w:tc>
        <w:tc>
          <w:tcPr>
            <w:tcW w:type="dxa" w:w="1007"/>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r>
          </w:p>
        </w:tc>
        <w:tc>
          <w:tcPr>
            <w:tcW w:type="dxa" w:w="115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1.00</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89.0</w:t>
            </w:r>
          </w:p>
        </w:tc>
      </w:tr>
    </w:tbl>
    <w:p>
      <w:pPr>
        <w:spacing w:after="0"/>
      </w:pPr>
    </w:p>
    <w:p>
      <w:pPr>
        <w:pStyle w:val="Heading2"/>
      </w:pPr>
      <w:r>
        <w:t>4.5 Dimension rubric pattern</w:t>
      </w:r>
    </w:p>
    <w:tbl>
      <w:tblPr>
        <w:tblStyle w:val="TableGrid"/>
        <w:tblW w:type="dxa" w:w="9360"/>
        <w:jc w:val="center"/>
        <w:tblLayout w:type="fixed"/>
        <w:tblLook w:firstColumn="1" w:firstRow="1" w:lastColumn="0" w:lastRow="0" w:noHBand="0" w:noVBand="1" w:val="04A0"/>
        <w:tblInd w:w="120" w:type="dxa"/>
      </w:tblPr>
      <w:tblGrid>
        <w:gridCol w:w="1728"/>
        <w:gridCol w:w="7632"/>
      </w:tblGrid>
      <w:tr>
        <w:trPr>
          <w:tblHeader w:val="true"/>
          <w:cantSplit/>
        </w:trPr>
        <w:tc>
          <w:tcPr>
            <w:tcW w:type="dxa" w:w="17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Score anchor</w:t>
            </w:r>
          </w:p>
        </w:tc>
        <w:tc>
          <w:tcPr>
            <w:tcW w:type="dxa" w:w="763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Interpretation</w:t>
            </w:r>
          </w:p>
        </w:tc>
      </w:tr>
      <w:tr>
        <w:trPr>
          <w:cantSplit/>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90–100</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Correct and complete; only negligible imperfections.</w:t>
            </w:r>
          </w:p>
        </w:tc>
      </w:tr>
      <w:tr>
        <w:trPr>
          <w:cantSplit/>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80–89</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Strong result with minor non-critical issues.</w:t>
            </w:r>
          </w:p>
        </w:tc>
      </w:tr>
      <w:tr>
        <w:trPr>
          <w:cantSplit/>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70–79</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Useful and mostly correct, but revision is advisable.</w:t>
            </w:r>
          </w:p>
        </w:tc>
      </w:tr>
      <w:tr>
        <w:trPr>
          <w:cantSplit/>
        </w:trPr>
        <w:tc>
          <w:tcPr>
            <w:tcW w:type="dxa" w:w="1728"/>
            <w:shd w:fill="FFF4CC"/>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60–69</w:t>
            </w:r>
          </w:p>
        </w:tc>
        <w:tc>
          <w:tcPr>
            <w:tcW w:type="dxa" w:w="7632"/>
            <w:shd w:fill="FFF4CC"/>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Minimum usable result; noticeable omissions or errors.</w:t>
            </w:r>
          </w:p>
        </w:tc>
      </w:tr>
      <w:tr>
        <w:trPr>
          <w:cantSplit/>
        </w:trPr>
        <w:tc>
          <w:tcPr>
            <w:tcW w:type="dxa" w:w="1728"/>
            <w:shd w:fill="FCE3B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50–59</w:t>
            </w:r>
          </w:p>
        </w:tc>
        <w:tc>
          <w:tcPr>
            <w:tcW w:type="dxa" w:w="7632"/>
            <w:shd w:fill="FCE3B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Fragile result requiring substantial correction.</w:t>
            </w:r>
          </w:p>
        </w:tc>
      </w:tr>
      <w:tr>
        <w:trPr>
          <w:cantSplit/>
        </w:trPr>
        <w:tc>
          <w:tcPr>
            <w:tcW w:type="dxa" w:w="1728"/>
            <w:shd w:fill="FADBD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0–49</w:t>
            </w:r>
          </w:p>
        </w:tc>
        <w:tc>
          <w:tcPr>
            <w:tcW w:type="dxa" w:w="7632"/>
            <w:shd w:fill="FADBD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Incorrect, unusable, unsafe, or substantially noncompliant.</w:t>
            </w:r>
          </w:p>
        </w:tc>
      </w:tr>
    </w:tbl>
    <w:p>
      <w:pPr>
        <w:spacing w:after="0"/>
      </w:pPr>
    </w:p>
    <w:p>
      <w:pPr>
        <w:pStyle w:val="Heading2"/>
      </w:pPr>
      <w:r>
        <w:t>4.6 Hard quality gates</w:t>
      </w:r>
    </w:p>
    <w:p>
      <w:pPr>
        <w:pStyle w:val="ListBullet"/>
      </w:pPr>
      <w:r>
        <w:rPr>
          <w:rFonts w:ascii="Calibri" w:hAnsi="Calibri"/>
          <w:color w:val="202A35"/>
          <w:sz w:val="22"/>
        </w:rPr>
        <w:t>Required JSON is invalid or fails the mandatory schema.</w:t>
      </w:r>
    </w:p>
    <w:p>
      <w:pPr>
        <w:pStyle w:val="ListBullet"/>
      </w:pPr>
      <w:r>
        <w:rPr>
          <w:rFonts w:ascii="Calibri" w:hAnsi="Calibri"/>
          <w:color w:val="202A35"/>
          <w:sz w:val="22"/>
        </w:rPr>
        <w:t>Submitted code does not run or fails the mandatory correctness tests.</w:t>
      </w:r>
    </w:p>
    <w:p>
      <w:pPr>
        <w:pStyle w:val="ListBullet"/>
      </w:pPr>
      <w:r>
        <w:rPr>
          <w:rFonts w:ascii="Calibri" w:hAnsi="Calibri"/>
          <w:color w:val="202A35"/>
          <w:sz w:val="22"/>
        </w:rPr>
        <w:t>An exact mandatory answer is wrong.</w:t>
      </w:r>
    </w:p>
    <w:p>
      <w:pPr>
        <w:pStyle w:val="ListBullet"/>
      </w:pPr>
      <w:r>
        <w:rPr>
          <w:rFonts w:ascii="Calibri" w:hAnsi="Calibri"/>
          <w:color w:val="202A35"/>
          <w:sz w:val="22"/>
        </w:rPr>
        <w:t>A response invents a required source claim or contradicts supplied evidence.</w:t>
      </w:r>
    </w:p>
    <w:p>
      <w:pPr>
        <w:pStyle w:val="ListBullet"/>
      </w:pPr>
      <w:r>
        <w:rPr>
          <w:rFonts w:ascii="Calibri" w:hAnsi="Calibri"/>
          <w:color w:val="202A35"/>
          <w:sz w:val="22"/>
        </w:rPr>
        <w:t>A technical instruction is unsafe for the stated context.</w:t>
      </w:r>
    </w:p>
    <w:p>
      <w:pPr>
        <w:pStyle w:val="ListBullet"/>
      </w:pPr>
      <w:r>
        <w:rPr>
          <w:rFonts w:ascii="Calibri" w:hAnsi="Calibri"/>
          <w:color w:val="202A35"/>
          <w:sz w:val="22"/>
        </w:rPr>
        <w:t>A mandatory section, field, or deliverable is absent.</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Borders>
              <w:top w:val="single" w:sz="2" w:color="F4F6F9"/>
              <w:start w:val="single" w:sz="18" w:color="2E74B5"/>
              <w:bottom w:val="single" w:sz="2" w:color="F4F6F9"/>
              <w:end w:val="single" w:sz="2" w:color="F4F6F9"/>
            </w:tcBorders>
            <w:tcMar>
              <w:top w:w="80" w:type="dxa"/>
              <w:start w:w="120" w:type="dxa"/>
              <w:bottom w:w="80" w:type="dxa"/>
              <w:end w:w="120" w:type="dxa"/>
            </w:tcMar>
            <w:vAlign w:val="center"/>
          </w:tcPr>
          <w:p>
            <w:pPr>
              <w:spacing w:after="60"/>
            </w:pPr>
            <w:r>
              <w:rPr>
                <w:rFonts w:ascii="Calibri" w:hAnsi="Calibri"/>
                <w:b/>
                <w:color w:val="0B2545"/>
                <w:sz w:val="20"/>
              </w:rPr>
              <w:t>Gate consequence</w:t>
            </w:r>
          </w:p>
          <w:p>
            <w:pPr>
              <w:spacing w:after="0" w:line="276" w:lineRule="auto"/>
            </w:pPr>
            <w:r>
              <w:rPr>
                <w:rFonts w:ascii="Calibri" w:hAnsi="Calibri"/>
                <w:color w:val="202A35"/>
                <w:sz w:val="19"/>
              </w:rPr>
              <w:t>A completed response that violates a hard quality gate is Not Acceptable for that workload, regardless of the arithmetic score. If there is no complete, gradeable response, the result is Failed to Complete.</w:t>
            </w:r>
          </w:p>
        </w:tc>
      </w:tr>
    </w:tbl>
    <w:p>
      <w:pPr>
        <w:spacing w:after="0"/>
      </w:pPr>
    </w:p>
    <w:p>
      <w:pPr>
        <w:pStyle w:val="Heading1"/>
        <w:pageBreakBefore/>
      </w:pPr>
      <w:r>
        <w:t>5. Response Experience Scoring</w:t>
      </w:r>
    </w:p>
    <w:p>
      <w:pPr>
        <w:pStyle w:val="Heading2"/>
      </w:pPr>
      <w:r>
        <w:t>5.1 Why two timing measures are needed</w:t>
      </w:r>
    </w:p>
    <w:p>
      <w:r>
        <w:rPr>
          <w:rFonts w:ascii="Calibri" w:hAnsi="Calibri"/>
          <w:color w:val="202A35"/>
          <w:sz w:val="22"/>
        </w:rPr>
        <w:t>Users experience both the wait before the model begins responding and the wait until the requested deliverable is finished. Time to first token (TTFT) captures responsiveness; total completion time captures task throughput. Their importance varies by workload intensity.</w:t>
      </w:r>
    </w:p>
    <w:p>
      <w:pPr>
        <w:pStyle w:val="Heading2"/>
      </w:pPr>
      <w:r>
        <w:t>5.2 Normalize actual time against persona tolerance</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r = actual_time / target_time</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g(r) = 100, if r &lt;= 1; otherwise 100 * 2^(-(r-1))</w:t>
            </w:r>
          </w:p>
          <w:p>
            <w:pPr>
              <w:spacing w:after="80"/>
              <w:jc w:val="center"/>
            </w:pPr>
            <w:r>
              <w:rPr>
                <w:rFonts w:ascii="Calibri" w:hAnsi="Calibri"/>
                <w:i/>
                <w:color w:val="5B6673"/>
                <w:sz w:val="17"/>
              </w:rPr>
              <w:t>Faster than target is capped at 100. At 2x target the score is 50.</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944"/>
        <w:gridCol w:w="2448"/>
        <w:gridCol w:w="4968"/>
      </w:tblGrid>
      <w:tr>
        <w:trPr>
          <w:tblHeader w:val="true"/>
          <w:cantSplit/>
        </w:trPr>
        <w:tc>
          <w:tcPr>
            <w:tcW w:type="dxa" w:w="1944"/>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Actual / target</w:t>
            </w:r>
          </w:p>
        </w:tc>
        <w:tc>
          <w:tcPr>
            <w:tcW w:type="dxa" w:w="244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Normalized time score g(r)</w:t>
            </w:r>
          </w:p>
        </w:tc>
        <w:tc>
          <w:tcPr>
            <w:tcW w:type="dxa" w:w="496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Interpretation</w:t>
            </w:r>
          </w:p>
        </w:tc>
      </w:tr>
      <w:tr>
        <w:trPr>
          <w:cantSplit/>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0.5x</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100.0</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Comfortably within target</w:t>
            </w:r>
          </w:p>
        </w:tc>
      </w:tr>
      <w:tr>
        <w:trPr>
          <w:cantSplit/>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1.0x</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100.0</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Meets target</w:t>
            </w:r>
          </w:p>
        </w:tc>
      </w:tr>
      <w:tr>
        <w:trPr>
          <w:cantSplit/>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1.5x</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70.7</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Noticeably slower</w:t>
            </w:r>
          </w:p>
        </w:tc>
      </w:tr>
      <w:tr>
        <w:trPr>
          <w:cantSplit/>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2.0x</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50.0</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Twice the accepted time</w:t>
            </w:r>
          </w:p>
        </w:tc>
      </w:tr>
      <w:tr>
        <w:trPr>
          <w:cantSplit/>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3.0x</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25.0</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Severely slow</w:t>
            </w:r>
          </w:p>
        </w:tc>
      </w:tr>
      <w:tr>
        <w:trPr>
          <w:cantSplit/>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4.0x</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12.5</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Practically unusable for this target</w:t>
            </w:r>
          </w:p>
        </w:tc>
      </w:tr>
    </w:tbl>
    <w:p>
      <w:pPr>
        <w:spacing w:after="0"/>
      </w:pPr>
    </w:p>
    <w:p>
      <w:pPr>
        <w:pStyle w:val="Heading2"/>
      </w:pPr>
      <w:r>
        <w:t>5.3 Workload-specific timing mix</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EL = 0.45*g(r_TTFT) + 0.55*g(r_completion)</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EB = 0.35*g(r_TTFT) + 0.65*g(r_completion)</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EH = 0.25*g(r_TTFT) + 0.75*g(r_completion)</w:t>
            </w:r>
          </w:p>
        </w:tc>
      </w:tr>
    </w:tbl>
    <w:p>
      <w:pPr>
        <w:spacing w:after="0"/>
      </w:pPr>
    </w:p>
    <w:p>
      <w:r>
        <w:rPr>
          <w:rFonts w:ascii="Calibri" w:hAnsi="Calibri"/>
          <w:color w:val="202A35"/>
          <w:sz w:val="22"/>
        </w:rPr>
        <w:t>Light interactions are more sensitive to an immediate response. Heavy tasks already permit longer absolute durations and place more value on receiving the complete deliverable. This weighting changes the mix of the two timing measures; it does not change each scenario’s absolute targets.</w:t>
      </w:r>
    </w:p>
    <w:p>
      <w:pPr>
        <w:pStyle w:val="Heading2"/>
      </w:pPr>
      <w:r>
        <w:t>5.4 Time-target authoring rules</w:t>
      </w:r>
    </w:p>
    <w:p>
      <w:pPr>
        <w:pStyle w:val="ListBullet"/>
      </w:pPr>
      <w:r>
        <w:rPr>
          <w:rFonts w:ascii="Calibri" w:hAnsi="Calibri"/>
          <w:color w:val="202A35"/>
          <w:sz w:val="22"/>
        </w:rPr>
        <w:t>Define TTFT and completion targets per scenario, not one universal target for all prompts.</w:t>
      </w:r>
    </w:p>
    <w:p>
      <w:pPr>
        <w:pStyle w:val="ListBullet"/>
      </w:pPr>
      <w:r>
        <w:rPr>
          <w:rFonts w:ascii="Calibri" w:hAnsi="Calibri"/>
          <w:color w:val="202A35"/>
          <w:sz w:val="22"/>
        </w:rPr>
        <w:t>Base targets on realistic user waiting tolerance and output length.</w:t>
      </w:r>
    </w:p>
    <w:p>
      <w:pPr>
        <w:pStyle w:val="ListBullet"/>
      </w:pPr>
      <w:r>
        <w:rPr>
          <w:rFonts w:ascii="Calibri" w:hAnsi="Calibri"/>
          <w:color w:val="202A35"/>
          <w:sz w:val="22"/>
        </w:rPr>
        <w:t>Record target version and rationale so later revisions remain auditable.</w:t>
      </w:r>
    </w:p>
    <w:p>
      <w:pPr>
        <w:pStyle w:val="ListBullet"/>
      </w:pPr>
      <w:r>
        <w:rPr>
          <w:rFonts w:ascii="Calibri" w:hAnsi="Calibri"/>
          <w:color w:val="202A35"/>
          <w:sz w:val="22"/>
        </w:rPr>
        <w:t>Do not reward verbosity: completion time must be paired with an output requirement or token range.</w:t>
      </w:r>
    </w:p>
    <w:p>
      <w:pPr>
        <w:pStyle w:val="ListBullet"/>
      </w:pPr>
      <w:r>
        <w:rPr>
          <w:rFonts w:ascii="Calibri" w:hAnsi="Calibri"/>
          <w:color w:val="202A35"/>
          <w:sz w:val="22"/>
        </w:rPr>
        <w:t>Treat streaming and non-streaming interfaces consistently; if TTFT is unavailable, use a documented substitute and flag it.</w:t>
      </w:r>
    </w:p>
    <w:p>
      <w:pPr>
        <w:pStyle w:val="Heading1"/>
      </w:pPr>
      <w:r>
        <w:t>6. Reliability Scoring</w:t>
      </w:r>
    </w:p>
    <w:p>
      <w:pPr>
        <w:pStyle w:val="Heading2"/>
      </w:pPr>
      <w:r>
        <w:t>6.1 Definition</w:t>
      </w:r>
    </w:p>
    <w:p>
      <w:r>
        <w:rPr>
          <w:rFonts w:ascii="Calibri" w:hAnsi="Calibri"/>
          <w:color w:val="202A35"/>
          <w:sz w:val="22"/>
        </w:rPr>
        <w:t>Reliability measures whether the configuration repeatedly produces a complete technical result. It is separate from answer correctness: a wrong but complete response is primarily a quality failure; an OOM, crash, runner error, timeout without output, or unrecoverable truncation is a technical failure.</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Rw = 100 * (technically successful runs / attempted runs)</w:t>
            </w:r>
          </w:p>
        </w:tc>
      </w:tr>
    </w:tbl>
    <w:p>
      <w:pPr>
        <w:spacing w:after="0"/>
      </w:pPr>
    </w:p>
    <w:p>
      <w:pPr>
        <w:pStyle w:val="Heading2"/>
      </w:pPr>
      <w:r>
        <w:t>6.2 Minimum repetition</w:t>
      </w:r>
    </w:p>
    <w:p>
      <w:r>
        <w:rPr>
          <w:rFonts w:ascii="Calibri" w:hAnsi="Calibri"/>
          <w:color w:val="202A35"/>
          <w:sz w:val="22"/>
        </w:rPr>
        <w:t>Run each scenario at least three times per model–hardware configuration. Three runs are the minimum practical signal, not a claim of statistical certainty. High-stakes deployment validation should use more repetitions and report confidence intervals.</w:t>
      </w:r>
    </w:p>
    <w:tbl>
      <w:tblPr>
        <w:tblStyle w:val="TableGrid"/>
        <w:tblW w:type="dxa" w:w="9360"/>
        <w:jc w:val="center"/>
        <w:tblLayout w:type="fixed"/>
        <w:tblLook w:firstColumn="1" w:firstRow="1" w:lastColumn="0" w:lastRow="0" w:noHBand="0" w:noVBand="1" w:val="04A0"/>
        <w:tblInd w:w="120" w:type="dxa"/>
      </w:tblPr>
      <w:tblGrid>
        <w:gridCol w:w="2376"/>
        <w:gridCol w:w="1296"/>
        <w:gridCol w:w="5688"/>
      </w:tblGrid>
      <w:tr>
        <w:trPr>
          <w:tblHeader w:val="true"/>
          <w:cantSplit/>
        </w:trPr>
        <w:tc>
          <w:tcPr>
            <w:tcW w:type="dxa" w:w="2376"/>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Successful / attempted</w:t>
            </w:r>
          </w:p>
        </w:tc>
        <w:tc>
          <w:tcPr>
            <w:tcW w:type="dxa" w:w="1296"/>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Rw</w:t>
            </w:r>
          </w:p>
        </w:tc>
        <w:tc>
          <w:tcPr>
            <w:tcW w:type="dxa" w:w="568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Interpretation</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3 / 3</w:t>
            </w:r>
          </w:p>
        </w:tc>
        <w:tc>
          <w:tcPr>
            <w:tcW w:type="dxa" w:w="12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100.0</w:t>
            </w:r>
          </w:p>
        </w:tc>
        <w:tc>
          <w:tcPr>
            <w:tcW w:type="dxa" w:w="56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Consistent across the minimum test set</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2 / 3</w:t>
            </w:r>
          </w:p>
        </w:tc>
        <w:tc>
          <w:tcPr>
            <w:tcW w:type="dxa" w:w="12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66.7</w:t>
            </w:r>
          </w:p>
        </w:tc>
        <w:tc>
          <w:tcPr>
            <w:tcW w:type="dxa" w:w="56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Intermittent failure</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1 / 3</w:t>
            </w:r>
          </w:p>
        </w:tc>
        <w:tc>
          <w:tcPr>
            <w:tcW w:type="dxa" w:w="12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33.3</w:t>
            </w:r>
          </w:p>
        </w:tc>
        <w:tc>
          <w:tcPr>
            <w:tcW w:type="dxa" w:w="56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Usually fails</w:t>
            </w:r>
          </w:p>
        </w:tc>
      </w:tr>
      <w:tr>
        <w:trPr>
          <w:cantSplit/>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 / 3</w:t>
            </w:r>
          </w:p>
        </w:tc>
        <w:tc>
          <w:tcPr>
            <w:tcW w:type="dxa" w:w="12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0.0</w:t>
            </w:r>
          </w:p>
        </w:tc>
        <w:tc>
          <w:tcPr>
            <w:tcW w:type="dxa" w:w="56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No successful technical completion</w:t>
            </w:r>
          </w:p>
        </w:tc>
      </w:tr>
    </w:tbl>
    <w:p>
      <w:pPr>
        <w:spacing w:after="0"/>
      </w:pPr>
    </w:p>
    <w:p>
      <w:pPr>
        <w:pStyle w:val="Heading2"/>
      </w:pPr>
      <w:r>
        <w:t>6.3 Technical success criteria</w:t>
      </w:r>
    </w:p>
    <w:p>
      <w:pPr>
        <w:pStyle w:val="ListBullet"/>
      </w:pPr>
      <w:r>
        <w:rPr>
          <w:rFonts w:ascii="Calibri" w:hAnsi="Calibri"/>
          <w:color w:val="202A35"/>
          <w:sz w:val="22"/>
        </w:rPr>
        <w:t>The model loads and the runner remains healthy.</w:t>
      </w:r>
    </w:p>
    <w:p>
      <w:pPr>
        <w:pStyle w:val="ListBullet"/>
      </w:pPr>
      <w:r>
        <w:rPr>
          <w:rFonts w:ascii="Calibri" w:hAnsi="Calibri"/>
          <w:color w:val="202A35"/>
          <w:sz w:val="22"/>
        </w:rPr>
        <w:t>The run does not exceed the technical timeout.</w:t>
      </w:r>
    </w:p>
    <w:p>
      <w:pPr>
        <w:pStyle w:val="ListBullet"/>
      </w:pPr>
      <w:r>
        <w:rPr>
          <w:rFonts w:ascii="Calibri" w:hAnsi="Calibri"/>
          <w:color w:val="202A35"/>
          <w:sz w:val="22"/>
        </w:rPr>
        <w:t>No OOM, crash, transport failure, or runner exception occurs.</w:t>
      </w:r>
    </w:p>
    <w:p>
      <w:pPr>
        <w:pStyle w:val="ListBullet"/>
      </w:pPr>
      <w:r>
        <w:rPr>
          <w:rFonts w:ascii="Calibri" w:hAnsi="Calibri"/>
          <w:color w:val="202A35"/>
          <w:sz w:val="22"/>
        </w:rPr>
        <w:t>The response is complete enough to be graded under the scenario rubric.</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Borders>
              <w:top w:val="single" w:sz="2" w:color="F4F6F9"/>
              <w:start w:val="single" w:sz="18" w:color="2E74B5"/>
              <w:bottom w:val="single" w:sz="2" w:color="F4F6F9"/>
              <w:end w:val="single" w:sz="2" w:color="F4F6F9"/>
            </w:tcBorders>
            <w:tcMar>
              <w:top w:w="80" w:type="dxa"/>
              <w:start w:w="120" w:type="dxa"/>
              <w:bottom w:w="80" w:type="dxa"/>
              <w:end w:w="120" w:type="dxa"/>
            </w:tcMar>
            <w:vAlign w:val="center"/>
          </w:tcPr>
          <w:p>
            <w:pPr>
              <w:spacing w:after="60"/>
            </w:pPr>
            <w:r>
              <w:rPr>
                <w:rFonts w:ascii="Calibri" w:hAnsi="Calibri"/>
                <w:b/>
                <w:color w:val="0B2545"/>
                <w:sz w:val="20"/>
              </w:rPr>
              <w:t>Quality versus reliability</w:t>
            </w:r>
          </w:p>
          <w:p>
            <w:pPr>
              <w:spacing w:after="0" w:line="276" w:lineRule="auto"/>
            </w:pPr>
            <w:r>
              <w:rPr>
                <w:rFonts w:ascii="Calibri" w:hAnsi="Calibri"/>
                <w:color w:val="202A35"/>
                <w:sz w:val="19"/>
              </w:rPr>
              <w:t>If code executes but returns the wrong result, count the run as technically successful and score the error under quality. If the runtime crashes before the code can be extracted or graded, count it as a reliability failure.</w:t>
            </w:r>
          </w:p>
        </w:tc>
      </w:tr>
    </w:tbl>
    <w:p>
      <w:pPr>
        <w:spacing w:after="0"/>
      </w:pPr>
    </w:p>
    <w:p>
      <w:pPr>
        <w:pStyle w:val="Heading1"/>
      </w:pPr>
      <w:r>
        <w:t>7. Workload Match Score</w:t>
      </w:r>
    </w:p>
    <w:p>
      <w:pPr>
        <w:pStyle w:val="Heading2"/>
      </w:pPr>
      <w:r>
        <w:t>7.1 Core equation</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Ww = Qw^0.60 * Ew^0.30 * Rw^0.10</w:t>
            </w:r>
          </w:p>
          <w:p>
            <w:pPr>
              <w:spacing w:after="80"/>
              <w:jc w:val="center"/>
            </w:pPr>
            <w:r>
              <w:rPr>
                <w:rFonts w:ascii="Calibri" w:hAnsi="Calibri"/>
                <w:i/>
                <w:color w:val="5B6673"/>
                <w:sz w:val="17"/>
              </w:rPr>
              <w:t>w is L, B, or H. Inputs must be on the 0–100 scale.</w:t>
            </w:r>
          </w:p>
        </w:tc>
      </w:tr>
    </w:tbl>
    <w:p>
      <w:pPr>
        <w:spacing w:after="0"/>
      </w:pPr>
    </w:p>
    <w:p>
      <w:r>
        <w:rPr>
          <w:rFonts w:ascii="Calibri" w:hAnsi="Calibri"/>
          <w:color w:val="202A35"/>
          <w:sz w:val="22"/>
        </w:rPr>
        <w:t>The formula is a weighted geometric mean. It encodes the recommended version-1 priorities: 60% quality, 30% response experience, and 10% reliability. These are design weights, not a universal published standard, and should later be calibrated with user evidence.</w:t>
      </w:r>
    </w:p>
    <w:p>
      <w:pPr>
        <w:pStyle w:val="Heading2"/>
      </w:pPr>
      <w:r>
        <w:t>7.2 Why a geometric mean</w:t>
      </w:r>
    </w:p>
    <w:tbl>
      <w:tblPr>
        <w:tblStyle w:val="TableGrid"/>
        <w:tblW w:type="dxa" w:w="9360"/>
        <w:jc w:val="center"/>
        <w:tblLayout w:type="fixed"/>
        <w:tblLook w:firstColumn="1" w:firstRow="1" w:lastColumn="0" w:lastRow="0" w:noHBand="0" w:noVBand="1" w:val="04A0"/>
        <w:tblInd w:w="120" w:type="dxa"/>
      </w:tblPr>
      <w:tblGrid>
        <w:gridCol w:w="3096"/>
        <w:gridCol w:w="6263"/>
      </w:tblGrid>
      <w:tr>
        <w:trPr>
          <w:tblHeader w:val="true"/>
          <w:cantSplit/>
        </w:trPr>
        <w:tc>
          <w:tcPr>
            <w:tcW w:type="dxa" w:w="3096"/>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Behavior</w:t>
            </w:r>
          </w:p>
        </w:tc>
        <w:tc>
          <w:tcPr>
            <w:tcW w:type="dxa" w:w="6263"/>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Why it matters</w:t>
            </w:r>
          </w:p>
        </w:tc>
      </w:tr>
      <w:tr>
        <w:trPr>
          <w:cantSplit/>
        </w:trPr>
        <w:tc>
          <w:tcPr>
            <w:tcW w:type="dxa" w:w="30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Low quality reduces the product</w:t>
            </w:r>
          </w:p>
        </w:tc>
        <w:tc>
          <w:tcPr>
            <w:tcW w:type="dxa" w:w="626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Extreme speed cannot turn a wrong answer into an excellent match.</w:t>
            </w:r>
          </w:p>
        </w:tc>
      </w:tr>
      <w:tr>
        <w:trPr>
          <w:cantSplit/>
        </w:trPr>
        <w:tc>
          <w:tcPr>
            <w:tcW w:type="dxa" w:w="30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Low experience reduces the product</w:t>
            </w:r>
          </w:p>
        </w:tc>
        <w:tc>
          <w:tcPr>
            <w:tcW w:type="dxa" w:w="626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Correct output that arrives far beyond the user’s tolerance is not treated as fully suitable.</w:t>
            </w:r>
          </w:p>
        </w:tc>
      </w:tr>
      <w:tr>
        <w:trPr>
          <w:cantSplit/>
        </w:trPr>
        <w:tc>
          <w:tcPr>
            <w:tcW w:type="dxa" w:w="30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Low reliability reduces the product</w:t>
            </w:r>
          </w:p>
        </w:tc>
        <w:tc>
          <w:tcPr>
            <w:tcW w:type="dxa" w:w="626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 configuration that works only sometimes cannot hide behind successful samples.</w:t>
            </w:r>
          </w:p>
        </w:tc>
      </w:tr>
      <w:tr>
        <w:trPr>
          <w:cantSplit/>
        </w:trPr>
        <w:tc>
          <w:tcPr>
            <w:tcW w:type="dxa" w:w="30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Each component stays interpretable</w:t>
            </w:r>
          </w:p>
        </w:tc>
        <w:tc>
          <w:tcPr>
            <w:tcW w:type="dxa" w:w="6263"/>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Quality, experience, and reliability remain available as diagnostics.</w:t>
            </w:r>
          </w:p>
        </w:tc>
      </w:tr>
    </w:tbl>
    <w:p>
      <w:pPr>
        <w:spacing w:after="0"/>
      </w:pPr>
    </w:p>
    <w:p>
      <w:pPr>
        <w:pStyle w:val="Heading2"/>
      </w:pPr>
      <w:r>
        <w:t>7.3 Zero handling</w:t>
      </w:r>
    </w:p>
    <w:p>
      <w:r>
        <w:rPr>
          <w:rFonts w:ascii="Calibri" w:hAnsi="Calibri"/>
          <w:color w:val="202A35"/>
          <w:sz w:val="22"/>
        </w:rPr>
        <w:t>If any required component is zero, the geometric score is zero. That is appropriate when there is no valid quality, no usable response experience, or no successful completion. Missing measurements are not silently converted to zero: they are treated as incomplete evaluation and reported explicitly.</w:t>
      </w:r>
    </w:p>
    <w:p>
      <w:pPr>
        <w:pStyle w:val="Heading2"/>
      </w:pPr>
      <w:r>
        <w:t>7.4 Calculation precision</w:t>
      </w:r>
    </w:p>
    <w:p>
      <w:r>
        <w:rPr>
          <w:rFonts w:ascii="Calibri" w:hAnsi="Calibri"/>
          <w:color w:val="202A35"/>
          <w:sz w:val="22"/>
        </w:rPr>
        <w:t>Compute using full floating-point precision. Store Qw, Ew, Rw, and raw Ww. Apply gates to the raw values. Round only the displayed score, normally to the nearest integer. A raw 89.6 remains in the Strong numeric band unless the product explicitly adopts display-rounding as a tier rule.</w:t>
      </w:r>
    </w:p>
    <w:p>
      <w:pPr>
        <w:pStyle w:val="Heading1"/>
      </w:pPr>
      <w:r>
        <w:t>8. Match Categories and Guardrails</w:t>
      </w:r>
    </w:p>
    <w:p>
      <w:pPr>
        <w:pStyle w:val="Heading2"/>
      </w:pPr>
      <w:r>
        <w:t>8.1 User-facing categories</w:t>
      </w:r>
    </w:p>
    <w:tbl>
      <w:tblPr>
        <w:tblStyle w:val="TableGrid"/>
        <w:tblW w:type="dxa" w:w="9360"/>
        <w:jc w:val="center"/>
        <w:tblLayout w:type="fixed"/>
        <w:tblLook w:firstColumn="1" w:firstRow="1" w:lastColumn="0" w:lastRow="0" w:noHBand="0" w:noVBand="1" w:val="04A0"/>
        <w:tblInd w:w="120" w:type="dxa"/>
      </w:tblPr>
      <w:tblGrid>
        <w:gridCol w:w="2232"/>
        <w:gridCol w:w="1800"/>
        <w:gridCol w:w="5328"/>
      </w:tblGrid>
      <w:tr>
        <w:trPr>
          <w:tblHeader w:val="true"/>
          <w:cantSplit/>
        </w:trPr>
        <w:tc>
          <w:tcPr>
            <w:tcW w:type="dxa" w:w="223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Category</w:t>
            </w:r>
          </w:p>
        </w:tc>
        <w:tc>
          <w:tcPr>
            <w:tcW w:type="dxa" w:w="180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Numeric band</w:t>
            </w:r>
          </w:p>
        </w:tc>
        <w:tc>
          <w:tcPr>
            <w:tcW w:type="dxa" w:w="53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Meaning</w:t>
            </w:r>
          </w:p>
        </w:tc>
      </w:tr>
      <w:tr>
        <w:trPr>
          <w:cantSplit/>
        </w:trPr>
        <w:tc>
          <w:tcPr>
            <w:tcW w:type="dxa" w:w="2232"/>
            <w:shd w:fill="14532D"/>
            <w:tcMar>
              <w:top w:w="80" w:type="dxa"/>
              <w:start w:w="120" w:type="dxa"/>
              <w:bottom w:w="80" w:type="dxa"/>
              <w:end w:w="120" w:type="dxa"/>
            </w:tcMar>
            <w:vAlign w:val="center"/>
          </w:tcPr>
          <w:p>
            <w:pPr>
              <w:spacing w:before="0" w:after="0" w:line="252" w:lineRule="auto"/>
              <w:jc w:val="left"/>
            </w:pPr>
            <w:r>
              <w:rPr>
                <w:color w:val="FFFFFF"/>
              </w:rPr>
            </w:r>
            <w:r>
              <w:rPr>
                <w:rFonts w:ascii="Calibri" w:hAnsi="Calibri"/>
                <w:b w:val="0"/>
                <w:color w:val="FFFFFF"/>
                <w:sz w:val="17"/>
              </w:rPr>
              <w:t>Excellent Match</w:t>
            </w:r>
          </w:p>
        </w:tc>
        <w:tc>
          <w:tcPr>
            <w:tcW w:type="dxa" w:w="1800"/>
            <w:shd w:fill="14532D"/>
            <w:tcMar>
              <w:top w:w="80" w:type="dxa"/>
              <w:start w:w="120" w:type="dxa"/>
              <w:bottom w:w="80" w:type="dxa"/>
              <w:end w:w="120" w:type="dxa"/>
            </w:tcMar>
            <w:vAlign w:val="center"/>
          </w:tcPr>
          <w:p>
            <w:pPr>
              <w:spacing w:before="0" w:after="0" w:line="252" w:lineRule="auto"/>
              <w:jc w:val="left"/>
            </w:pPr>
            <w:r>
              <w:rPr>
                <w:color w:val="FFFFFF"/>
              </w:rPr>
            </w:r>
            <w:r>
              <w:rPr>
                <w:rFonts w:ascii="Calibri" w:hAnsi="Calibri"/>
                <w:b w:val="0"/>
                <w:color w:val="FFFFFF"/>
                <w:sz w:val="17"/>
              </w:rPr>
              <w:t>90–100</w:t>
            </w:r>
          </w:p>
        </w:tc>
        <w:tc>
          <w:tcPr>
            <w:tcW w:type="dxa" w:w="5328"/>
            <w:shd w:fill="14532D"/>
            <w:tcMar>
              <w:top w:w="80" w:type="dxa"/>
              <w:start w:w="120" w:type="dxa"/>
              <w:bottom w:w="80" w:type="dxa"/>
              <w:end w:w="120" w:type="dxa"/>
            </w:tcMar>
            <w:vAlign w:val="center"/>
          </w:tcPr>
          <w:p>
            <w:pPr>
              <w:spacing w:before="0" w:after="0" w:line="252" w:lineRule="auto"/>
              <w:jc w:val="left"/>
            </w:pPr>
            <w:r>
              <w:rPr>
                <w:color w:val="FFFFFF"/>
              </w:rPr>
            </w:r>
            <w:r>
              <w:rPr>
                <w:rFonts w:ascii="Calibri" w:hAnsi="Calibri"/>
                <w:b w:val="0"/>
                <w:color w:val="FFFFFF"/>
                <w:sz w:val="17"/>
              </w:rPr>
              <w:t>Best-fit experience for this scope; consistently high capability.</w:t>
            </w:r>
          </w:p>
        </w:tc>
      </w:tr>
      <w:tr>
        <w:trPr>
          <w:cantSplit/>
        </w:trPr>
        <w:tc>
          <w:tcPr>
            <w:tcW w:type="dxa" w:w="2232"/>
            <w:shd w:fill="2E7D32"/>
            <w:tcMar>
              <w:top w:w="80" w:type="dxa"/>
              <w:start w:w="120" w:type="dxa"/>
              <w:bottom w:w="80" w:type="dxa"/>
              <w:end w:w="120" w:type="dxa"/>
            </w:tcMar>
            <w:vAlign w:val="center"/>
          </w:tcPr>
          <w:p>
            <w:pPr>
              <w:spacing w:before="0" w:after="0" w:line="252" w:lineRule="auto"/>
              <w:jc w:val="left"/>
            </w:pPr>
            <w:r>
              <w:rPr>
                <w:color w:val="FFFFFF"/>
              </w:rPr>
            </w:r>
            <w:r>
              <w:rPr>
                <w:rFonts w:ascii="Calibri" w:hAnsi="Calibri"/>
                <w:b w:val="0"/>
                <w:color w:val="FFFFFF"/>
                <w:sz w:val="17"/>
              </w:rPr>
              <w:t>Strong Match</w:t>
            </w:r>
          </w:p>
        </w:tc>
        <w:tc>
          <w:tcPr>
            <w:tcW w:type="dxa" w:w="1800"/>
            <w:shd w:fill="2E7D32"/>
            <w:tcMar>
              <w:top w:w="80" w:type="dxa"/>
              <w:start w:w="120" w:type="dxa"/>
              <w:bottom w:w="80" w:type="dxa"/>
              <w:end w:w="120" w:type="dxa"/>
            </w:tcMar>
            <w:vAlign w:val="center"/>
          </w:tcPr>
          <w:p>
            <w:pPr>
              <w:spacing w:before="0" w:after="0" w:line="252" w:lineRule="auto"/>
              <w:jc w:val="left"/>
            </w:pPr>
            <w:r>
              <w:rPr>
                <w:color w:val="FFFFFF"/>
              </w:rPr>
            </w:r>
            <w:r>
              <w:rPr>
                <w:rFonts w:ascii="Calibri" w:hAnsi="Calibri"/>
                <w:b w:val="0"/>
                <w:color w:val="FFFFFF"/>
                <w:sz w:val="17"/>
              </w:rPr>
              <w:t>80–89</w:t>
            </w:r>
          </w:p>
        </w:tc>
        <w:tc>
          <w:tcPr>
            <w:tcW w:type="dxa" w:w="5328"/>
            <w:shd w:fill="2E7D32"/>
            <w:tcMar>
              <w:top w:w="80" w:type="dxa"/>
              <w:start w:w="120" w:type="dxa"/>
              <w:bottom w:w="80" w:type="dxa"/>
              <w:end w:w="120" w:type="dxa"/>
            </w:tcMar>
            <w:vAlign w:val="center"/>
          </w:tcPr>
          <w:p>
            <w:pPr>
              <w:spacing w:before="0" w:after="0" w:line="252" w:lineRule="auto"/>
              <w:jc w:val="left"/>
            </w:pPr>
            <w:r>
              <w:rPr>
                <w:color w:val="FFFFFF"/>
              </w:rPr>
            </w:r>
            <w:r>
              <w:rPr>
                <w:rFonts w:ascii="Calibri" w:hAnsi="Calibri"/>
                <w:b w:val="0"/>
                <w:color w:val="FFFFFF"/>
                <w:sz w:val="17"/>
              </w:rPr>
              <w:t>Very capable and dependable; minor tradeoffs.</w:t>
            </w:r>
          </w:p>
        </w:tc>
      </w:tr>
      <w:tr>
        <w:trPr>
          <w:cantSplit/>
        </w:trPr>
        <w:tc>
          <w:tcPr>
            <w:tcW w:type="dxa" w:w="2232"/>
            <w:shd w:fill="DCEFE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Good Match</w:t>
            </w:r>
          </w:p>
        </w:tc>
        <w:tc>
          <w:tcPr>
            <w:tcW w:type="dxa" w:w="1800"/>
            <w:shd w:fill="DCEFE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70–79</w:t>
            </w:r>
          </w:p>
        </w:tc>
        <w:tc>
          <w:tcPr>
            <w:tcW w:type="dxa" w:w="5328"/>
            <w:shd w:fill="DCEFE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Useful fit with visible but manageable limits.</w:t>
            </w:r>
          </w:p>
        </w:tc>
      </w:tr>
      <w:tr>
        <w:trPr>
          <w:cantSplit/>
        </w:trPr>
        <w:tc>
          <w:tcPr>
            <w:tcW w:type="dxa" w:w="2232"/>
            <w:shd w:fill="FFF4CC"/>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Acceptable Match</w:t>
            </w:r>
          </w:p>
        </w:tc>
        <w:tc>
          <w:tcPr>
            <w:tcW w:type="dxa" w:w="1800"/>
            <w:shd w:fill="FFF4CC"/>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60–69</w:t>
            </w:r>
          </w:p>
        </w:tc>
        <w:tc>
          <w:tcPr>
            <w:tcW w:type="dxa" w:w="5328"/>
            <w:shd w:fill="FFF4CC"/>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Meets minimum practical needs; compromises are expected.</w:t>
            </w:r>
          </w:p>
        </w:tc>
      </w:tr>
      <w:tr>
        <w:trPr>
          <w:cantSplit/>
        </w:trPr>
        <w:tc>
          <w:tcPr>
            <w:tcW w:type="dxa" w:w="2232"/>
            <w:shd w:fill="FCE3B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Marginal Match</w:t>
            </w:r>
          </w:p>
        </w:tc>
        <w:tc>
          <w:tcPr>
            <w:tcW w:type="dxa" w:w="1800"/>
            <w:shd w:fill="FCE3B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50–59</w:t>
            </w:r>
          </w:p>
        </w:tc>
        <w:tc>
          <w:tcPr>
            <w:tcW w:type="dxa" w:w="5328"/>
            <w:shd w:fill="FCE3B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Barely workable; substantial limitations or supervision required.</w:t>
            </w:r>
          </w:p>
        </w:tc>
      </w:tr>
      <w:tr>
        <w:trPr>
          <w:cantSplit/>
        </w:trPr>
        <w:tc>
          <w:tcPr>
            <w:tcW w:type="dxa" w:w="2232"/>
            <w:shd w:fill="FADBD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Not Acceptable</w:t>
            </w:r>
          </w:p>
        </w:tc>
        <w:tc>
          <w:tcPr>
            <w:tcW w:type="dxa" w:w="1800"/>
            <w:shd w:fill="FADBD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&lt;50</w:t>
            </w:r>
          </w:p>
        </w:tc>
        <w:tc>
          <w:tcPr>
            <w:tcW w:type="dxa" w:w="5328"/>
            <w:shd w:fill="FADBD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Does not meet minimum suitability or violates a critical gate.</w:t>
            </w:r>
          </w:p>
        </w:tc>
      </w:tr>
      <w:tr>
        <w:trPr>
          <w:cantSplit/>
        </w:trPr>
        <w:tc>
          <w:tcPr>
            <w:tcW w:type="dxa" w:w="2232"/>
            <w:shd w:fill="D5D8DC"/>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Failed to Complete</w:t>
            </w:r>
          </w:p>
        </w:tc>
        <w:tc>
          <w:tcPr>
            <w:tcW w:type="dxa" w:w="1800"/>
            <w:shd w:fill="D5D8DC"/>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No gradeable result</w:t>
            </w:r>
          </w:p>
        </w:tc>
        <w:tc>
          <w:tcPr>
            <w:tcW w:type="dxa" w:w="5328"/>
            <w:shd w:fill="D5D8DC"/>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Load failure, OOM, crash, terminal timeout, or no usable output.</w:t>
            </w:r>
          </w:p>
        </w:tc>
      </w:tr>
    </w:tbl>
    <w:p>
      <w:pPr>
        <w:spacing w:after="0"/>
      </w:pPr>
    </w:p>
    <w:p>
      <w:pPr>
        <w:pStyle w:val="Heading2"/>
      </w:pPr>
      <w:r>
        <w:t>8.2 Component floors</w:t>
      </w:r>
    </w:p>
    <w:tbl>
      <w:tblPr>
        <w:tblStyle w:val="TableGrid"/>
        <w:tblW w:type="dxa" w:w="9360"/>
        <w:jc w:val="center"/>
        <w:tblLayout w:type="fixed"/>
        <w:tblLook w:firstColumn="1" w:firstRow="1" w:lastColumn="0" w:lastRow="0" w:noHBand="0" w:noVBand="1" w:val="04A0"/>
        <w:tblInd w:w="120" w:type="dxa"/>
      </w:tblPr>
      <w:tblGrid>
        <w:gridCol w:w="2232"/>
        <w:gridCol w:w="1584"/>
        <w:gridCol w:w="892"/>
        <w:gridCol w:w="892"/>
        <w:gridCol w:w="892"/>
        <w:gridCol w:w="2865"/>
      </w:tblGrid>
      <w:tr>
        <w:trPr>
          <w:tblHeader w:val="true"/>
          <w:cantSplit/>
        </w:trPr>
        <w:tc>
          <w:tcPr>
            <w:tcW w:type="dxa" w:w="223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Highest category permitted</w:t>
            </w:r>
          </w:p>
        </w:tc>
        <w:tc>
          <w:tcPr>
            <w:tcW w:type="dxa" w:w="1584"/>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Raw score band</w:t>
            </w:r>
          </w:p>
        </w:tc>
        <w:tc>
          <w:tcPr>
            <w:tcW w:type="dxa" w:w="89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Min Q</w:t>
            </w:r>
          </w:p>
        </w:tc>
        <w:tc>
          <w:tcPr>
            <w:tcW w:type="dxa" w:w="89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Min E</w:t>
            </w:r>
          </w:p>
        </w:tc>
        <w:tc>
          <w:tcPr>
            <w:tcW w:type="dxa" w:w="89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Min R</w:t>
            </w:r>
          </w:p>
        </w:tc>
        <w:tc>
          <w:tcPr>
            <w:tcW w:type="dxa" w:w="2865"/>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Completion</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Excellent</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90–100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90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80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95</w:t>
            </w:r>
          </w:p>
        </w:tc>
        <w:tc>
          <w:tcPr>
            <w:tcW w:type="dxa" w:w="286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All gradeable</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Strong</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80–89</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80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70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90</w:t>
            </w:r>
          </w:p>
        </w:tc>
        <w:tc>
          <w:tcPr>
            <w:tcW w:type="dxa" w:w="286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All gradeable</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Good</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70–79</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75</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60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80</w:t>
            </w:r>
          </w:p>
        </w:tc>
        <w:tc>
          <w:tcPr>
            <w:tcW w:type="dxa" w:w="286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All gradeable</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Acceptable</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60–69</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65</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50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70</w:t>
            </w:r>
          </w:p>
        </w:tc>
        <w:tc>
          <w:tcPr>
            <w:tcW w:type="dxa" w:w="286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At least one valid; no critical gate</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Marginal</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50–59</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50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30</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&gt;0</w:t>
            </w:r>
          </w:p>
        </w:tc>
        <w:tc>
          <w:tcPr>
            <w:tcW w:type="dxa" w:w="286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At least one valid run</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Not Acceptable</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&lt;50 or gate</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w:t>
            </w:r>
          </w:p>
        </w:tc>
        <w:tc>
          <w:tcPr>
            <w:tcW w:type="dxa" w:w="286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Completed but unsuitable</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Failed</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N/A</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w:t>
            </w:r>
          </w:p>
        </w:tc>
        <w:tc>
          <w:tcPr>
            <w:tcW w:type="dxa" w:w="8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0</w:t>
            </w:r>
          </w:p>
        </w:tc>
        <w:tc>
          <w:tcPr>
            <w:tcW w:type="dxa" w:w="286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6"/>
              </w:rPr>
              <w:t>No gradeable result</w:t>
            </w:r>
          </w:p>
        </w:tc>
      </w:tr>
    </w:tbl>
    <w:p>
      <w:pPr>
        <w:spacing w:after="0"/>
      </w:pPr>
    </w:p>
    <w:p>
      <w:pPr>
        <w:pStyle w:val="Heading2"/>
      </w:pPr>
      <w:r>
        <w:t>8.3 Final-label rule</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final_category = lowest category allowed by {numeric band, component floors, hard gates, completion rules}</w:t>
            </w:r>
          </w:p>
        </w:tc>
      </w:tr>
    </w:tbl>
    <w:p>
      <w:pPr>
        <w:spacing w:after="0"/>
      </w:pPr>
    </w:p>
    <w:p>
      <w:r>
        <w:rPr>
          <w:rFonts w:ascii="Calibri" w:hAnsi="Calibri"/>
          <w:color w:val="202A35"/>
          <w:sz w:val="22"/>
        </w:rPr>
        <w:t>This rule prevents compensation. For example, a raw workload score of 82 is numerically Strong, but if experience is 55 it cannot reach the Strong or Good floor and is capped at Acceptable.</w:t>
      </w:r>
    </w:p>
    <w:p>
      <w:r>
        <w:rPr>
          <w:rFonts w:ascii="Calibri" w:hAnsi="Calibri"/>
          <w:color w:val="202A35"/>
          <w:sz w:val="22"/>
        </w:rPr>
        <w:t>Wording: use “Marginal Match” rather than “Barely Acceptable.” Reserve “Failed to Complete” for no gradeable result; use “Not Acceptable” when a result exists but is materially wrong, unsafe, or unsuitable.</w:t>
      </w:r>
    </w:p>
    <w:p>
      <w:pPr>
        <w:pStyle w:val="Heading1"/>
      </w:pPr>
      <w:r>
        <w:t>9. Persona Aggregation</w:t>
      </w:r>
    </w:p>
    <w:p>
      <w:pPr>
        <w:pStyle w:val="Heading2"/>
      </w:pPr>
      <w:r>
        <w:t>9.1 Default formula</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Pp = 0.25*WL + 0.40*WB + 0.35*WH</w:t>
            </w:r>
          </w:p>
        </w:tc>
      </w:tr>
    </w:tbl>
    <w:p>
      <w:pPr>
        <w:spacing w:after="0"/>
      </w:pPr>
    </w:p>
    <w:p>
      <w:r>
        <w:rPr>
          <w:rFonts w:ascii="Calibri" w:hAnsi="Calibri"/>
          <w:color w:val="202A35"/>
          <w:sz w:val="22"/>
        </w:rPr>
        <w:t>Balanced receives the largest weight because it represents the most common day-to-day interaction. Heavy remains a strong differentiator, while Light preserves responsiveness and basic utility. These defaults are shared across personas in version 1 for consistency.</w:t>
      </w:r>
    </w:p>
    <w:p>
      <w:pPr>
        <w:pStyle w:val="Heading2"/>
      </w:pPr>
      <w:r>
        <w:t>9.2 Persona diagnostic aggregates</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Qp = 0.25*QL + 0.40*QB + 0.35*QH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Ep = 0.25*EL + 0.40*EB + 0.35*EH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Rp = 0.25*RL + 0.40*RB + 0.35*RH</w:t>
            </w:r>
          </w:p>
        </w:tc>
      </w:tr>
    </w:tbl>
    <w:p>
      <w:pPr>
        <w:spacing w:after="0"/>
      </w:pPr>
    </w:p>
    <w:p>
      <w:r>
        <w:rPr>
          <w:rFonts w:ascii="Calibri" w:hAnsi="Calibri"/>
          <w:color w:val="202A35"/>
          <w:sz w:val="22"/>
        </w:rPr>
        <w:t>Qp, Ep, and Rp are diagnostic summaries and are not substituted back into the workload formula. The official persona Overall score is the weighted sum of WL, WB, and WH so that each workload’s geometric balance is preserved.</w:t>
      </w:r>
    </w:p>
    <w:p>
      <w:pPr>
        <w:pStyle w:val="Heading2"/>
      </w:pPr>
      <w:r>
        <w:t>9.3 Persona failure protections</w:t>
      </w:r>
    </w:p>
    <w:tbl>
      <w:tblPr>
        <w:tblStyle w:val="TableGrid"/>
        <w:tblW w:type="dxa" w:w="9360"/>
        <w:jc w:val="center"/>
        <w:tblLayout w:type="fixed"/>
        <w:tblLook w:firstColumn="1" w:firstRow="1" w:lastColumn="0" w:lastRow="0" w:noHBand="0" w:noVBand="1" w:val="04A0"/>
        <w:tblInd w:w="120" w:type="dxa"/>
      </w:tblPr>
      <w:tblGrid>
        <w:gridCol w:w="4031"/>
        <w:gridCol w:w="5328"/>
      </w:tblGrid>
      <w:tr>
        <w:trPr>
          <w:tblHeader w:val="true"/>
          <w:cantSplit/>
        </w:trPr>
        <w:tc>
          <w:tcPr>
            <w:tcW w:type="dxa" w:w="4031"/>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Condition</w:t>
            </w:r>
          </w:p>
        </w:tc>
        <w:tc>
          <w:tcPr>
            <w:tcW w:type="dxa" w:w="53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Persona Overall consequence</w:t>
            </w:r>
          </w:p>
        </w:tc>
      </w:tr>
      <w:tr>
        <w:trPr>
          <w:cantSplit/>
        </w:trPr>
        <w:tc>
          <w:tcPr>
            <w:tcW w:type="dxa" w:w="403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Any one workload is Failed to Complete</w:t>
            </w:r>
          </w:p>
        </w:tc>
        <w:tc>
          <w:tcPr>
            <w:tcW w:type="dxa" w:w="53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Overall cannot exceed Acceptable Match.</w:t>
            </w:r>
          </w:p>
        </w:tc>
      </w:tr>
      <w:tr>
        <w:trPr>
          <w:cantSplit/>
        </w:trPr>
        <w:tc>
          <w:tcPr>
            <w:tcW w:type="dxa" w:w="403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Two workloads are Failed to Complete</w:t>
            </w:r>
          </w:p>
        </w:tc>
        <w:tc>
          <w:tcPr>
            <w:tcW w:type="dxa" w:w="53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Overall cannot exceed Not Acceptable.</w:t>
            </w:r>
          </w:p>
        </w:tc>
      </w:tr>
      <w:tr>
        <w:trPr>
          <w:cantSplit/>
        </w:trPr>
        <w:tc>
          <w:tcPr>
            <w:tcW w:type="dxa" w:w="403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All three workloads fail</w:t>
            </w:r>
          </w:p>
        </w:tc>
        <w:tc>
          <w:tcPr>
            <w:tcW w:type="dxa" w:w="53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Overall is Failed to Complete.</w:t>
            </w:r>
          </w:p>
        </w:tc>
      </w:tr>
      <w:tr>
        <w:trPr>
          <w:cantSplit/>
        </w:trPr>
        <w:tc>
          <w:tcPr>
            <w:tcW w:type="dxa" w:w="403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 workload violates a critical quality gate</w:t>
            </w:r>
          </w:p>
        </w:tc>
        <w:tc>
          <w:tcPr>
            <w:tcW w:type="dxa" w:w="53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That workload is Not Acceptable; Overall remains subject to component and coverage gates.</w:t>
            </w:r>
          </w:p>
        </w:tc>
      </w:tr>
    </w:tbl>
    <w:p>
      <w:pPr>
        <w:spacing w:after="0"/>
      </w:pPr>
    </w:p>
    <w:p>
      <w:pPr>
        <w:pStyle w:val="Heading2"/>
      </w:pPr>
      <w:r>
        <w:t>9.4 Worked persona example</w:t>
      </w:r>
    </w:p>
    <w:tbl>
      <w:tblPr>
        <w:tblStyle w:val="TableGrid"/>
        <w:tblW w:type="dxa" w:w="9360"/>
        <w:jc w:val="center"/>
        <w:tblLayout w:type="fixed"/>
        <w:tblLook w:firstColumn="1" w:firstRow="1" w:lastColumn="0" w:lastRow="0" w:noHBand="0" w:noVBand="1" w:val="04A0"/>
        <w:tblInd w:w="120" w:type="dxa"/>
      </w:tblPr>
      <w:tblGrid>
        <w:gridCol w:w="3744"/>
        <w:gridCol w:w="1440"/>
        <w:gridCol w:w="4176"/>
      </w:tblGrid>
      <w:tr>
        <w:trPr>
          <w:tblHeader w:val="true"/>
          <w:cantSplit/>
        </w:trPr>
        <w:tc>
          <w:tcPr>
            <w:tcW w:type="dxa" w:w="3744"/>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Power Player workload</w:t>
            </w:r>
          </w:p>
        </w:tc>
        <w:tc>
          <w:tcPr>
            <w:tcW w:type="dxa" w:w="144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Score</w:t>
            </w:r>
          </w:p>
        </w:tc>
        <w:tc>
          <w:tcPr>
            <w:tcW w:type="dxa" w:w="4176"/>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Category</w:t>
            </w:r>
          </w:p>
        </w:tc>
      </w:tr>
      <w:tr>
        <w:trPr>
          <w:cantSplit/>
        </w:trPr>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Light</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93</w:t>
            </w:r>
          </w:p>
        </w:tc>
        <w:tc>
          <w:tcPr>
            <w:tcW w:type="dxa" w:w="41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Excellent Match</w:t>
            </w:r>
          </w:p>
        </w:tc>
      </w:tr>
      <w:tr>
        <w:trPr>
          <w:cantSplit/>
        </w:trPr>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Balanced</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84</w:t>
            </w:r>
          </w:p>
        </w:tc>
        <w:tc>
          <w:tcPr>
            <w:tcW w:type="dxa" w:w="41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Strong Match</w:t>
            </w:r>
          </w:p>
        </w:tc>
      </w:tr>
      <w:tr>
        <w:trPr>
          <w:cantSplit/>
        </w:trPr>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Heavy</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62</w:t>
            </w:r>
          </w:p>
        </w:tc>
        <w:tc>
          <w:tcPr>
            <w:tcW w:type="dxa" w:w="417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Acceptable Match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P = 0.25*93 + 0.40*84 + 0.35*62 = 78.55</w:t>
            </w:r>
          </w:p>
          <w:p>
            <w:pPr>
              <w:spacing w:after="80"/>
              <w:jc w:val="center"/>
            </w:pPr>
            <w:r>
              <w:rPr>
                <w:rFonts w:ascii="Calibri" w:hAnsi="Calibri"/>
                <w:i/>
                <w:color w:val="5B6673"/>
                <w:sz w:val="17"/>
              </w:rPr>
              <w:t>Persona Overall: 78.55 -&gt; Good Match, subject to gates</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Borders>
              <w:top w:val="single" w:sz="2" w:color="F4F6F9"/>
              <w:start w:val="single" w:sz="18" w:color="2E74B5"/>
              <w:bottom w:val="single" w:sz="2" w:color="F4F6F9"/>
              <w:end w:val="single" w:sz="2" w:color="F4F6F9"/>
            </w:tcBorders>
            <w:tcMar>
              <w:top w:w="80" w:type="dxa"/>
              <w:start w:w="120" w:type="dxa"/>
              <w:bottom w:w="80" w:type="dxa"/>
              <w:end w:w="120" w:type="dxa"/>
            </w:tcMar>
            <w:vAlign w:val="center"/>
          </w:tcPr>
          <w:p>
            <w:pPr>
              <w:spacing w:after="60"/>
            </w:pPr>
            <w:r>
              <w:rPr>
                <w:rFonts w:ascii="Calibri" w:hAnsi="Calibri"/>
                <w:b/>
                <w:color w:val="0B2545"/>
                <w:sz w:val="20"/>
              </w:rPr>
              <w:t>Display rule</w:t>
            </w:r>
          </w:p>
          <w:p>
            <w:pPr>
              <w:spacing w:after="0" w:line="276" w:lineRule="auto"/>
            </w:pPr>
            <w:r>
              <w:rPr>
                <w:rFonts w:ascii="Calibri" w:hAnsi="Calibri"/>
                <w:color w:val="202A35"/>
                <w:sz w:val="19"/>
              </w:rPr>
              <w:t>Show all four badges. Do not replace the workload results with the Overall badge; the difference between Light and Heavy is decision-useful information about the hardware.</w:t>
            </w:r>
          </w:p>
        </w:tc>
      </w:tr>
    </w:tbl>
    <w:p>
      <w:pPr>
        <w:spacing w:after="0"/>
      </w:pPr>
    </w:p>
    <w:p>
      <w:pPr>
        <w:pStyle w:val="Heading1"/>
      </w:pPr>
      <w:r>
        <w:t>10. Business-Category Aggregation</w:t>
      </w:r>
    </w:p>
    <w:p>
      <w:pPr>
        <w:pStyle w:val="Heading2"/>
      </w:pPr>
      <w:r>
        <w:t>10.1 General equation</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B = SUM(omega_p * Pp),  where SUM(omega_p) = 1</w:t>
            </w:r>
          </w:p>
        </w:tc>
      </w:tr>
    </w:tbl>
    <w:p>
      <w:pPr>
        <w:spacing w:after="0"/>
      </w:pPr>
    </w:p>
    <w:p>
      <w:r>
        <w:rPr>
          <w:rFonts w:ascii="Calibri" w:hAnsi="Calibri"/>
          <w:color w:val="202A35"/>
          <w:sz w:val="22"/>
        </w:rPr>
        <w:t>B represents Consumer, Gaming, or Commercial. Pp is each persona Overall score in that family. Version 1 should use equal persona weights until observed usage frequency, market importance, or business strategy provides defensible weighting evidence.</w:t>
      </w:r>
    </w:p>
    <w:p>
      <w:pPr>
        <w:pStyle w:val="Heading2"/>
      </w:pPr>
      <w:r>
        <w:t>10.2 Default equal-weight formulas</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C = (P1 + ... + P8) / 8</w:t>
            </w:r>
          </w:p>
          <w:p>
            <w:pPr>
              <w:spacing w:after="80"/>
              <w:jc w:val="center"/>
            </w:pPr>
            <w:r>
              <w:rPr>
                <w:rFonts w:ascii="Calibri" w:hAnsi="Calibri"/>
                <w:i/>
                <w:color w:val="5B6673"/>
                <w:sz w:val="17"/>
              </w:rPr>
              <w:t>Consumer: eight personas</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G = (P_Casual + P_Power + P_Creator + P_RisingDev) / 4</w:t>
            </w:r>
          </w:p>
          <w:p>
            <w:pPr>
              <w:spacing w:after="80"/>
              <w:jc w:val="center"/>
            </w:pPr>
            <w:r>
              <w:rPr>
                <w:rFonts w:ascii="Calibri" w:hAnsi="Calibri"/>
                <w:i/>
                <w:color w:val="5B6673"/>
                <w:sz w:val="17"/>
              </w:rPr>
              <w:t>Gaming: four personas</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80"/>
              <w:jc w:val="center"/>
            </w:pPr>
            <w:r>
              <w:rPr>
                <w:rFonts w:ascii="Consolas" w:hAnsi="Consolas"/>
                <w:b/>
                <w:color w:val="0B2545"/>
                <w:sz w:val="22"/>
              </w:rPr>
              <w:t>M = (P1 + ... + P8) / 8</w:t>
            </w:r>
          </w:p>
          <w:p>
            <w:pPr>
              <w:spacing w:after="80"/>
              <w:jc w:val="center"/>
            </w:pPr>
            <w:r>
              <w:rPr>
                <w:rFonts w:ascii="Calibri" w:hAnsi="Calibri"/>
                <w:i/>
                <w:color w:val="5B6673"/>
                <w:sz w:val="17"/>
              </w:rPr>
              <w:t>Commercial: eight personas</w:t>
            </w:r>
          </w:p>
        </w:tc>
      </w:tr>
    </w:tbl>
    <w:p>
      <w:pPr>
        <w:spacing w:after="0"/>
      </w:pPr>
    </w:p>
    <w:p>
      <w:pPr>
        <w:pStyle w:val="Heading2"/>
      </w:pPr>
      <w:r>
        <w:t>10.3 Business workload views</w:t>
      </w:r>
    </w:p>
    <w:p>
      <w:r>
        <w:rPr>
          <w:rFonts w:ascii="Calibri" w:hAnsi="Calibri"/>
          <w:color w:val="202A35"/>
          <w:sz w:val="22"/>
        </w:rPr>
        <w:t>Preserve Light, Balanced, and Heavy views at business level when possible. For a business family B:</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BL = SUM(omega_p*Wp,L);  BB = SUM(omega_p*Wp,B);  BH = SUM(omega_p*Wp,H)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B_overall = 0.25*BL + 0.40*BB + 0.35*BH</w:t>
            </w:r>
          </w:p>
        </w:tc>
      </w:tr>
    </w:tbl>
    <w:p>
      <w:pPr>
        <w:spacing w:after="0"/>
      </w:pPr>
    </w:p>
    <w:p>
      <w:r>
        <w:rPr>
          <w:rFonts w:ascii="Calibri" w:hAnsi="Calibri"/>
          <w:color w:val="202A35"/>
          <w:sz w:val="22"/>
        </w:rPr>
        <w:t>With identical persona weights at every workload, this produces the same result as aggregating persona Overall scores. Storing both views makes the result easier to diagnose and allows future persona-specific workload weights.</w:t>
      </w:r>
    </w:p>
    <w:p>
      <w:pPr>
        <w:pStyle w:val="Heading2"/>
      </w:pPr>
      <w:r>
        <w:t>10.4 Business diagnostic components</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QB = SUM(omega_p*Qp);  EB = SUM(omega_p*Ep);  RB = SUM(omega_p*Rp)</w:t>
            </w:r>
          </w:p>
        </w:tc>
      </w:tr>
    </w:tbl>
    <w:p>
      <w:pPr>
        <w:spacing w:after="0"/>
      </w:pPr>
    </w:p>
    <w:p>
      <w:r>
        <w:rPr>
          <w:rFonts w:ascii="Calibri" w:hAnsi="Calibri"/>
          <w:color w:val="202A35"/>
          <w:sz w:val="22"/>
        </w:rPr>
        <w:t>The category’s numeric band must also satisfy the corresponding Quality, Experience, and Reliability floors. The same “lowest permitted category” principle applies at this level.</w:t>
      </w:r>
    </w:p>
    <w:p>
      <w:pPr>
        <w:pStyle w:val="Heading1"/>
        <w:pageBreakBefore/>
      </w:pPr>
      <w:r>
        <w:t>11. Business Coverage Guards and Device Score</w:t>
      </w:r>
    </w:p>
    <w:p>
      <w:pPr>
        <w:pStyle w:val="Heading2"/>
      </w:pPr>
      <w:r>
        <w:t>11.1 Business coverage guards</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cantSplit/>
        </w:trPr>
        <w:tc>
          <w:tcPr>
            <w:tcW w:type="dxa" w:w="208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Candidate category</w:t>
            </w:r>
          </w:p>
        </w:tc>
        <w:tc>
          <w:tcPr>
            <w:tcW w:type="dxa" w:w="727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Coverage condition</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Excellent</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Business score 90–100; every persona is at least Strong; no persona failed.</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Strong</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Business score 80–89; every persona is at least Good; no persona failed.</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Good</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Business score 70–79; every persona is at least Acceptable; no persona failed.</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Acceptable</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Business score 60–69; no more than 25% of personas are Not Acceptable.</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Marginal</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Business score 50–59; at least half of personas are Marginal or better.</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Not Acceptable</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Below 50, a majority below Marginal, or multiple persona failures.</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Failed to Complete</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No personas in the business family produced a gradeable result.</w:t>
            </w:r>
          </w:p>
        </w:tc>
      </w:tr>
    </w:tbl>
    <w:p>
      <w:pPr>
        <w:spacing w:after="0"/>
      </w:pPr>
    </w:p>
    <w:p>
      <w:pPr>
        <w:pStyle w:val="Heading2"/>
      </w:pPr>
      <w:r>
        <w:t>11.2 Additional failure caps</w:t>
      </w:r>
    </w:p>
    <w:tbl>
      <w:tblPr>
        <w:tblStyle w:val="TableGrid"/>
        <w:tblW w:type="dxa" w:w="9360"/>
        <w:jc w:val="center"/>
        <w:tblLayout w:type="fixed"/>
        <w:tblLook w:firstColumn="1" w:firstRow="1" w:lastColumn="0" w:lastRow="0" w:noHBand="0" w:noVBand="1" w:val="04A0"/>
        <w:tblInd w:w="120" w:type="dxa"/>
      </w:tblPr>
      <w:tblGrid>
        <w:gridCol w:w="4608"/>
        <w:gridCol w:w="4752"/>
      </w:tblGrid>
      <w:tr>
        <w:trPr>
          <w:tblHeader w:val="true"/>
          <w:cantSplit/>
        </w:trPr>
        <w:tc>
          <w:tcPr>
            <w:tcW w:type="dxa" w:w="460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Failure coverage</w:t>
            </w:r>
          </w:p>
        </w:tc>
        <w:tc>
          <w:tcPr>
            <w:tcW w:type="dxa" w:w="475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Maximum category</w:t>
            </w:r>
          </w:p>
        </w:tc>
      </w:tr>
      <w:tr>
        <w:trPr>
          <w:cantSplit/>
        </w:trPr>
        <w:tc>
          <w:tcPr>
            <w:tcW w:type="dxa" w:w="460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One persona completely fails</w:t>
            </w:r>
          </w:p>
        </w:tc>
        <w:tc>
          <w:tcPr>
            <w:tcW w:type="dxa" w:w="475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Acceptable Match</w:t>
            </w:r>
          </w:p>
        </w:tc>
      </w:tr>
      <w:tr>
        <w:trPr>
          <w:cantSplit/>
        </w:trPr>
        <w:tc>
          <w:tcPr>
            <w:tcW w:type="dxa" w:w="460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Two or more personas completely fail</w:t>
            </w:r>
          </w:p>
        </w:tc>
        <w:tc>
          <w:tcPr>
            <w:tcW w:type="dxa" w:w="475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Not Acceptable</w:t>
            </w:r>
          </w:p>
        </w:tc>
      </w:tr>
      <w:tr>
        <w:trPr>
          <w:cantSplit/>
        </w:trPr>
        <w:tc>
          <w:tcPr>
            <w:tcW w:type="dxa" w:w="460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All personas fail</w:t>
            </w:r>
          </w:p>
        </w:tc>
        <w:tc>
          <w:tcPr>
            <w:tcW w:type="dxa" w:w="475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Failed to Complete</w:t>
            </w:r>
          </w:p>
        </w:tc>
      </w:tr>
    </w:tbl>
    <w:p>
      <w:pPr>
        <w:spacing w:after="0"/>
      </w:pPr>
    </w:p>
    <w:p>
      <w:pPr>
        <w:pStyle w:val="Heading2"/>
      </w:pPr>
      <w:r>
        <w:t>11.3 Optional device-level score</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D = alpha*C + beta*G + gamma*M,  where alpha + beta + gamma = 1</w:t>
            </w:r>
          </w:p>
        </w:tc>
      </w:tr>
    </w:tbl>
    <w:p>
      <w:pPr>
        <w:spacing w:after="0"/>
      </w:pPr>
    </w:p>
    <w:p>
      <w:r>
        <w:rPr>
          <w:rFonts w:ascii="Calibri" w:hAnsi="Calibri"/>
          <w:color w:val="202A35"/>
          <w:sz w:val="22"/>
        </w:rPr>
        <w:t>Use a neutral one-third weight only when the device is intended to serve Consumer, Gaming, and Commercial use equally. Otherwise set weights from the product’s declared market position. A gaming PC may weight G more heavily; a commercial workstation may weight M more heavily. Publish the weights with the result.</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Borders>
              <w:top w:val="single" w:sz="2" w:color="F4F6F9"/>
              <w:start w:val="single" w:sz="18" w:color="2E74B5"/>
              <w:bottom w:val="single" w:sz="2" w:color="F4F6F9"/>
              <w:end w:val="single" w:sz="2" w:color="F4F6F9"/>
            </w:tcBorders>
            <w:tcMar>
              <w:top w:w="80" w:type="dxa"/>
              <w:start w:w="120" w:type="dxa"/>
              <w:bottom w:w="80" w:type="dxa"/>
              <w:end w:w="120" w:type="dxa"/>
            </w:tcMar>
            <w:vAlign w:val="center"/>
          </w:tcPr>
          <w:p>
            <w:pPr>
              <w:spacing w:after="60"/>
            </w:pPr>
            <w:r>
              <w:rPr>
                <w:rFonts w:ascii="Calibri" w:hAnsi="Calibri"/>
                <w:b/>
                <w:color w:val="0B2545"/>
                <w:sz w:val="20"/>
              </w:rPr>
              <w:t>Do not invent market weights</w:t>
            </w:r>
          </w:p>
          <w:p>
            <w:pPr>
              <w:spacing w:after="0" w:line="276" w:lineRule="auto"/>
            </w:pPr>
            <w:r>
              <w:rPr>
                <w:rFonts w:ascii="Calibri" w:hAnsi="Calibri"/>
                <w:color w:val="202A35"/>
                <w:sz w:val="19"/>
              </w:rPr>
              <w:t>If the intended product segment is unknown, report Consumer, Gaming, and Commercial separately. An optional overall device badge should not conceal important category differences.</w:t>
            </w:r>
          </w:p>
        </w:tc>
      </w:tr>
    </w:tbl>
    <w:p>
      <w:pPr>
        <w:spacing w:after="0"/>
      </w:pPr>
    </w:p>
    <w:p>
      <w:pPr>
        <w:pStyle w:val="Heading1"/>
        <w:pageBreakBefore/>
      </w:pPr>
      <w:r>
        <w:t>12. Failure, Capping, and Edge-Case Rules</w:t>
      </w:r>
    </w:p>
    <w:p>
      <w:pPr>
        <w:pStyle w:val="Heading2"/>
      </w:pPr>
      <w:r>
        <w:t>12.1 Decision order</w:t>
      </w:r>
    </w:p>
    <w:p>
      <w:pPr>
        <w:pStyle w:val="ListNumber"/>
      </w:pPr>
      <w:r>
        <w:rPr>
          <w:rFonts w:ascii="Calibri" w:hAnsi="Calibri"/>
          <w:color w:val="202A35"/>
          <w:sz w:val="22"/>
        </w:rPr>
        <w:t>Validate that the run produced a complete, gradeable response.</w:t>
      </w:r>
    </w:p>
    <w:p>
      <w:pPr>
        <w:pStyle w:val="ListNumber"/>
      </w:pPr>
      <w:r>
        <w:rPr>
          <w:rFonts w:ascii="Calibri" w:hAnsi="Calibri"/>
          <w:color w:val="202A35"/>
          <w:sz w:val="22"/>
        </w:rPr>
        <w:t>Apply scenario hard quality gates.</w:t>
      </w:r>
    </w:p>
    <w:p>
      <w:pPr>
        <w:pStyle w:val="ListNumber"/>
      </w:pPr>
      <w:r>
        <w:rPr>
          <w:rFonts w:ascii="Calibri" w:hAnsi="Calibri"/>
          <w:color w:val="202A35"/>
          <w:sz w:val="22"/>
        </w:rPr>
        <w:t>Calculate applicable quality dimensions and Qw.</w:t>
      </w:r>
    </w:p>
    <w:p>
      <w:pPr>
        <w:pStyle w:val="ListNumber"/>
      </w:pPr>
      <w:r>
        <w:rPr>
          <w:rFonts w:ascii="Calibri" w:hAnsi="Calibri"/>
          <w:color w:val="202A35"/>
          <w:sz w:val="22"/>
        </w:rPr>
        <w:t>Calculate TTFT and completion normalization, then Ew.</w:t>
      </w:r>
    </w:p>
    <w:p>
      <w:pPr>
        <w:pStyle w:val="ListNumber"/>
      </w:pPr>
      <w:r>
        <w:rPr>
          <w:rFonts w:ascii="Calibri" w:hAnsi="Calibri"/>
          <w:color w:val="202A35"/>
          <w:sz w:val="22"/>
        </w:rPr>
        <w:t>Calculate repeated-run reliability Rw.</w:t>
      </w:r>
    </w:p>
    <w:p>
      <w:pPr>
        <w:pStyle w:val="ListNumber"/>
      </w:pPr>
      <w:r>
        <w:rPr>
          <w:rFonts w:ascii="Calibri" w:hAnsi="Calibri"/>
          <w:color w:val="202A35"/>
          <w:sz w:val="22"/>
        </w:rPr>
        <w:t>Calculate raw Ww with the geometric formula.</w:t>
      </w:r>
    </w:p>
    <w:p>
      <w:pPr>
        <w:pStyle w:val="ListNumber"/>
      </w:pPr>
      <w:r>
        <w:rPr>
          <w:rFonts w:ascii="Calibri" w:hAnsi="Calibri"/>
          <w:color w:val="202A35"/>
          <w:sz w:val="22"/>
        </w:rPr>
        <w:t>Map the raw number to a candidate category.</w:t>
      </w:r>
    </w:p>
    <w:p>
      <w:pPr>
        <w:pStyle w:val="ListNumber"/>
      </w:pPr>
      <w:r>
        <w:rPr>
          <w:rFonts w:ascii="Calibri" w:hAnsi="Calibri"/>
          <w:color w:val="202A35"/>
          <w:sz w:val="22"/>
        </w:rPr>
        <w:t>Apply component floors, workload failure caps, and coverage guards.</w:t>
      </w:r>
    </w:p>
    <w:p>
      <w:pPr>
        <w:pStyle w:val="ListNumber"/>
      </w:pPr>
      <w:r>
        <w:rPr>
          <w:rFonts w:ascii="Calibri" w:hAnsi="Calibri"/>
          <w:color w:val="202A35"/>
          <w:sz w:val="22"/>
        </w:rPr>
        <w:t>Aggregate numeric results upward; repeat gates at persona and business levels.</w:t>
      </w:r>
    </w:p>
    <w:p>
      <w:pPr>
        <w:pStyle w:val="Heading2"/>
      </w:pPr>
      <w:r>
        <w:t>12.2 Completed but wrong versus no result</w:t>
      </w:r>
    </w:p>
    <w:tbl>
      <w:tblPr>
        <w:tblStyle w:val="TableGrid"/>
        <w:tblW w:type="dxa" w:w="9360"/>
        <w:jc w:val="center"/>
        <w:tblLayout w:type="fixed"/>
        <w:tblLook w:firstColumn="1" w:firstRow="1" w:lastColumn="0" w:lastRow="0" w:noHBand="0" w:noVBand="1" w:val="04A0"/>
        <w:tblInd w:w="120" w:type="dxa"/>
      </w:tblPr>
      <w:tblGrid>
        <w:gridCol w:w="3311"/>
        <w:gridCol w:w="2160"/>
        <w:gridCol w:w="3888"/>
      </w:tblGrid>
      <w:tr>
        <w:trPr>
          <w:tblHeader w:val="true"/>
          <w:cantSplit/>
        </w:trPr>
        <w:tc>
          <w:tcPr>
            <w:tcW w:type="dxa" w:w="3311"/>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Observed outcome</w:t>
            </w:r>
          </w:p>
        </w:tc>
        <w:tc>
          <w:tcPr>
            <w:tcW w:type="dxa" w:w="216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Status</w:t>
            </w:r>
          </w:p>
        </w:tc>
        <w:tc>
          <w:tcPr>
            <w:tcW w:type="dxa" w:w="388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Treatment</w:t>
            </w:r>
          </w:p>
        </w:tc>
      </w:tr>
      <w:tr>
        <w:trPr>
          <w:cantSplit/>
        </w:trPr>
        <w:tc>
          <w:tcPr>
            <w:tcW w:type="dxa" w:w="331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Complete response, wrong answer</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Gradeable</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Score quality; may be Not Acceptable.</w:t>
            </w:r>
          </w:p>
        </w:tc>
      </w:tr>
      <w:tr>
        <w:trPr>
          <w:cantSplit/>
        </w:trPr>
        <w:tc>
          <w:tcPr>
            <w:tcW w:type="dxa" w:w="331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Complete response, invalid mandatory JSON</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Gradeable but gate failure</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Workload is Not Acceptable.</w:t>
            </w:r>
          </w:p>
        </w:tc>
      </w:tr>
      <w:tr>
        <w:trPr>
          <w:cantSplit/>
        </w:trPr>
        <w:tc>
          <w:tcPr>
            <w:tcW w:type="dxa" w:w="331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Timeout after complete gradeable response</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Depends on declared technical rule</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Quality is scored; experience is penalized; if timeout invalidates run, also fail reliability.</w:t>
            </w:r>
          </w:p>
        </w:tc>
      </w:tr>
      <w:tr>
        <w:trPr>
          <w:cantSplit/>
        </w:trPr>
        <w:tc>
          <w:tcPr>
            <w:tcW w:type="dxa" w:w="331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OOM / crash before gradeable response</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Not gradeable</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Technical failure; contributes zero successful run.</w:t>
            </w:r>
          </w:p>
        </w:tc>
      </w:tr>
      <w:tr>
        <w:trPr>
          <w:cantSplit/>
        </w:trPr>
        <w:tc>
          <w:tcPr>
            <w:tcW w:type="dxa" w:w="331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Truncated response missing mandatory content</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Not gradeable or gate failure</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Use rubric-defined rule consistently.</w:t>
            </w:r>
          </w:p>
        </w:tc>
      </w:tr>
    </w:tbl>
    <w:p>
      <w:pPr>
        <w:spacing w:after="0"/>
      </w:pPr>
    </w:p>
    <w:p>
      <w:pPr>
        <w:pStyle w:val="Heading2"/>
      </w:pPr>
      <w:r>
        <w:t>12.3 Missing data</w:t>
      </w:r>
    </w:p>
    <w:p>
      <w:r>
        <w:rPr>
          <w:rFonts w:ascii="Calibri" w:hAnsi="Calibri"/>
          <w:color w:val="202A35"/>
          <w:sz w:val="22"/>
        </w:rPr>
        <w:t>Do not impute an unmeasured quality dimension, timing measure, or workload. Mark the evaluation incomplete. The interface may show “Insufficient Data,” but that state is not one of the seven match categories and should not be confused with Failed to Complete. “Failed” means a test was attempted and produced no gradeable result; “Insufficient Data” means the required test was not executed or recorded.</w:t>
      </w:r>
    </w:p>
    <w:p>
      <w:pPr>
        <w:pStyle w:val="Heading2"/>
      </w:pPr>
      <w:r>
        <w:t>12.4 Current bench timeout rule</w:t>
      </w:r>
    </w:p>
    <w:p>
      <w:r>
        <w:rPr>
          <w:rFonts w:ascii="Calibri" w:hAnsi="Calibri"/>
          <w:color w:val="202A35"/>
          <w:sz w:val="22"/>
        </w:rPr>
        <w:t>The existing 39-item pack treats a correct-but-late item as failed and applies a 15-point loss; three timeouts in one category cap that category at 40. If persona scoring adopts a different experience curve, preserve the existing pack result as its own evidence field rather than silently changing historical scores. Version the rule set and document which score consumed which timeout policy.</w:t>
      </w:r>
    </w:p>
    <w:p>
      <w:pPr>
        <w:pStyle w:val="Heading1"/>
      </w:pPr>
      <w:r>
        <w:t>13. Worked Examples</w:t>
      </w:r>
    </w:p>
    <w:p>
      <w:pPr>
        <w:pStyle w:val="Heading2"/>
      </w:pPr>
      <w:r>
        <w:t>13.1 Same model, different hardware</w:t>
      </w:r>
    </w:p>
    <w:p>
      <w:r>
        <w:rPr>
          <w:rFonts w:ascii="Calibri" w:hAnsi="Calibri"/>
          <w:color w:val="202A35"/>
          <w:sz w:val="22"/>
        </w:rPr>
        <w:t>Assume the same model produces Q = 92 and R = 100 on both systems. Only response experience changes.</w:t>
      </w:r>
    </w:p>
    <w:tbl>
      <w:tblPr>
        <w:tblStyle w:val="TableGrid"/>
        <w:tblW w:type="dxa" w:w="9360"/>
        <w:jc w:val="center"/>
        <w:tblLayout w:type="fixed"/>
        <w:tblLook w:firstColumn="1" w:firstRow="1" w:lastColumn="0" w:lastRow="0" w:noHBand="0" w:noVBand="1" w:val="04A0"/>
        <w:tblInd w:w="120" w:type="dxa"/>
      </w:tblPr>
      <w:tblGrid>
        <w:gridCol w:w="2088"/>
        <w:gridCol w:w="720"/>
        <w:gridCol w:w="720"/>
        <w:gridCol w:w="720"/>
        <w:gridCol w:w="1080"/>
        <w:gridCol w:w="1440"/>
        <w:gridCol w:w="2592"/>
      </w:tblGrid>
      <w:tr>
        <w:trPr>
          <w:tblHeader w:val="true"/>
          <w:cantSplit/>
        </w:trPr>
        <w:tc>
          <w:tcPr>
            <w:tcW w:type="dxa" w:w="208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Configuration</w:t>
            </w:r>
          </w:p>
        </w:tc>
        <w:tc>
          <w:tcPr>
            <w:tcW w:type="dxa" w:w="72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Q</w:t>
            </w:r>
          </w:p>
        </w:tc>
        <w:tc>
          <w:tcPr>
            <w:tcW w:type="dxa" w:w="72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E</w:t>
            </w:r>
          </w:p>
        </w:tc>
        <w:tc>
          <w:tcPr>
            <w:tcW w:type="dxa" w:w="72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R</w:t>
            </w:r>
          </w:p>
        </w:tc>
        <w:tc>
          <w:tcPr>
            <w:tcW w:type="dxa" w:w="108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Raw W</w:t>
            </w:r>
          </w:p>
        </w:tc>
        <w:tc>
          <w:tcPr>
            <w:tcW w:type="dxa" w:w="144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Candidate</w:t>
            </w:r>
          </w:p>
        </w:tc>
        <w:tc>
          <w:tcPr>
            <w:tcW w:type="dxa" w:w="259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Final</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Fast hardware</w:t>
            </w:r>
          </w:p>
        </w:tc>
        <w:tc>
          <w:tcPr>
            <w:tcW w:type="dxa" w:w="7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92</w:t>
            </w:r>
          </w:p>
        </w:tc>
        <w:tc>
          <w:tcPr>
            <w:tcW w:type="dxa" w:w="7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95</w:t>
            </w:r>
          </w:p>
        </w:tc>
        <w:tc>
          <w:tcPr>
            <w:tcW w:type="dxa" w:w="7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100</w:t>
            </w:r>
          </w:p>
        </w:tc>
        <w:tc>
          <w:tcPr>
            <w:tcW w:type="dxa" w:w="10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93.7</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Excellent</w:t>
            </w:r>
          </w:p>
        </w:tc>
        <w:tc>
          <w:tcPr>
            <w:tcW w:type="dxa" w:w="25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Excellent Match</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Slower hardware</w:t>
            </w:r>
          </w:p>
        </w:tc>
        <w:tc>
          <w:tcPr>
            <w:tcW w:type="dxa" w:w="7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92</w:t>
            </w:r>
          </w:p>
        </w:tc>
        <w:tc>
          <w:tcPr>
            <w:tcW w:type="dxa" w:w="7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55</w:t>
            </w:r>
          </w:p>
        </w:tc>
        <w:tc>
          <w:tcPr>
            <w:tcW w:type="dxa" w:w="72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100</w:t>
            </w:r>
          </w:p>
        </w:tc>
        <w:tc>
          <w:tcPr>
            <w:tcW w:type="dxa" w:w="10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79.5</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Good</w:t>
            </w:r>
          </w:p>
        </w:tc>
        <w:tc>
          <w:tcPr>
            <w:tcW w:type="dxa" w:w="25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Acceptable Match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Fast: 92^0.60 * 95^0.30 * 100^0.10 = 93.7</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Slow: 92^0.60 * 55^0.30 * 100^0.10 = 79.5</w:t>
            </w:r>
          </w:p>
        </w:tc>
      </w:tr>
    </w:tbl>
    <w:p>
      <w:pPr>
        <w:spacing w:after="0"/>
      </w:pPr>
    </w:p>
    <w:p>
      <w:r>
        <w:rPr>
          <w:rFonts w:ascii="Calibri" w:hAnsi="Calibri"/>
          <w:color w:val="202A35"/>
          <w:sz w:val="22"/>
        </w:rPr>
        <w:t>The slower system’s raw score falls in Good, but E = 55 does not meet the Good minimum of 60. The final category is therefore capped at Acceptable. This is the intended mechanism by which one model can be an Excellent Match on one PC and an Acceptable Match on another.</w:t>
      </w:r>
    </w:p>
    <w:p>
      <w:pPr>
        <w:pStyle w:val="Heading2"/>
      </w:pPr>
      <w:r>
        <w:t>13.2 Gaming category</w:t>
      </w:r>
    </w:p>
    <w:tbl>
      <w:tblPr>
        <w:tblStyle w:val="TableGrid"/>
        <w:tblW w:type="dxa" w:w="9360"/>
        <w:jc w:val="center"/>
        <w:tblLayout w:type="fixed"/>
        <w:tblLook w:firstColumn="1" w:firstRow="1" w:lastColumn="0" w:lastRow="0" w:noHBand="0" w:noVBand="1" w:val="04A0"/>
        <w:tblInd w:w="120" w:type="dxa"/>
      </w:tblPr>
      <w:tblGrid>
        <w:gridCol w:w="3671"/>
        <w:gridCol w:w="1728"/>
        <w:gridCol w:w="3960"/>
      </w:tblGrid>
      <w:tr>
        <w:trPr>
          <w:tblHeader w:val="true"/>
          <w:cantSplit/>
        </w:trPr>
        <w:tc>
          <w:tcPr>
            <w:tcW w:type="dxa" w:w="3671"/>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Gaming persona</w:t>
            </w:r>
          </w:p>
        </w:tc>
        <w:tc>
          <w:tcPr>
            <w:tcW w:type="dxa" w:w="17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Persona score</w:t>
            </w:r>
          </w:p>
        </w:tc>
        <w:tc>
          <w:tcPr>
            <w:tcW w:type="dxa" w:w="396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Category</w:t>
            </w:r>
          </w:p>
        </w:tc>
      </w:tr>
      <w:tr>
        <w:trPr>
          <w:cantSplit/>
        </w:trPr>
        <w:tc>
          <w:tcPr>
            <w:tcW w:type="dxa" w:w="367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Casual Gamer</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91</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Excellent Match</w:t>
            </w:r>
          </w:p>
        </w:tc>
      </w:tr>
      <w:tr>
        <w:trPr>
          <w:cantSplit/>
        </w:trPr>
        <w:tc>
          <w:tcPr>
            <w:tcW w:type="dxa" w:w="367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Power Player</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83</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Strong Match</w:t>
            </w:r>
          </w:p>
        </w:tc>
      </w:tr>
      <w:tr>
        <w:trPr>
          <w:cantSplit/>
        </w:trPr>
        <w:tc>
          <w:tcPr>
            <w:tcW w:type="dxa" w:w="367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Progressive Creator</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76</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Good Match</w:t>
            </w:r>
          </w:p>
        </w:tc>
      </w:tr>
      <w:tr>
        <w:trPr>
          <w:cantSplit/>
        </w:trPr>
        <w:tc>
          <w:tcPr>
            <w:tcW w:type="dxa" w:w="3671"/>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Rising Game Developer</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68</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Acceptable Match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EF4FA"/>
            <w:tcMar>
              <w:top w:w="80" w:type="dxa"/>
              <w:start w:w="120" w:type="dxa"/>
              <w:bottom w:w="80" w:type="dxa"/>
              <w:end w:w="120" w:type="dxa"/>
            </w:tcMar>
            <w:vAlign w:val="center"/>
          </w:tcPr>
          <w:p>
            <w:pPr>
              <w:spacing w:before="100" w:after="100"/>
              <w:jc w:val="center"/>
            </w:pPr>
            <w:r>
              <w:rPr>
                <w:rFonts w:ascii="Consolas" w:hAnsi="Consolas"/>
                <w:b/>
                <w:color w:val="0B2545"/>
                <w:sz w:val="22"/>
              </w:rPr>
              <w:t>G = (91 + 83 + 76 + 68) / 4 = 79.5</w:t>
            </w:r>
          </w:p>
        </w:tc>
      </w:tr>
    </w:tbl>
    <w:p>
      <w:pPr>
        <w:spacing w:after="0"/>
      </w:pPr>
    </w:p>
    <w:p>
      <w:r>
        <w:rPr>
          <w:rFonts w:ascii="Calibri" w:hAnsi="Calibri"/>
          <w:color w:val="202A35"/>
          <w:sz w:val="22"/>
        </w:rPr>
        <w:t>The numeric result is Good Match. Coverage also passes because every gaming persona is at least Acceptable and none failed. The business-level result is therefore Good Match.</w:t>
      </w:r>
    </w:p>
    <w:p>
      <w:pPr>
        <w:pStyle w:val="Heading2"/>
      </w:pPr>
      <w:r>
        <w:t>13.3 Why labels are never averaged</w:t>
      </w:r>
    </w:p>
    <w:p>
      <w:r>
        <w:rPr>
          <w:rFonts w:ascii="Calibri" w:hAnsi="Calibri"/>
          <w:color w:val="202A35"/>
          <w:sz w:val="22"/>
        </w:rPr>
        <w:t>“Excellent + Strong + Good + Acceptable” has no mathematically defined average. The correct process is to average the underlying numeric persona scores, then apply the category table and coverage guards once to the resulting business score.</w:t>
      </w:r>
    </w:p>
    <w:p>
      <w:pPr>
        <w:pStyle w:val="Heading1"/>
      </w:pPr>
      <w:r>
        <w:t>14. Implementation Algorithm</w:t>
      </w:r>
    </w:p>
    <w:p>
      <w:pPr>
        <w:pStyle w:val="Heading2"/>
      </w:pPr>
      <w:r>
        <w:t>14.1 Processing sequence</w:t>
      </w:r>
    </w:p>
    <w:tbl>
      <w:tblPr>
        <w:tblStyle w:val="TableGrid"/>
        <w:tblW w:type="dxa" w:w="9360"/>
        <w:jc w:val="center"/>
        <w:tblLayout w:type="fixed"/>
        <w:tblLook w:firstColumn="1" w:firstRow="1" w:lastColumn="0" w:lastRow="0" w:noHBand="0" w:noVBand="1" w:val="04A0"/>
        <w:tblInd w:w="120" w:type="dxa"/>
      </w:tblPr>
      <w:tblGrid>
        <w:gridCol w:w="792"/>
        <w:gridCol w:w="1800"/>
        <w:gridCol w:w="6768"/>
      </w:tblGrid>
      <w:tr>
        <w:trPr>
          <w:tblHeader w:val="true"/>
          <w:cantSplit/>
        </w:trPr>
        <w:tc>
          <w:tcPr>
            <w:tcW w:type="dxa" w:w="79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Step</w:t>
            </w:r>
          </w:p>
        </w:tc>
        <w:tc>
          <w:tcPr>
            <w:tcW w:type="dxa" w:w="180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Operation</w:t>
            </w:r>
          </w:p>
        </w:tc>
        <w:tc>
          <w:tcPr>
            <w:tcW w:type="dxa" w:w="676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Required action</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1</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Ingest</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Load run records; validate configuration, prompt, persona, workload, targets, and grader versions.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2</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Grade</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Score only applicable dimensions; record hard-gate outcomes.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3</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Normalize time</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Calculate TTFT and completion ratios and g(r).</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4</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Experience</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Apply the Light/Balanced/Heavy TTFT-completion mix.</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5</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Reliability</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Calculate successful technical completions across attempts.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6</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Workload</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Calculate raw Ww; assign candidate band; apply floors and gates.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7</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Persona</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Aggregate WL/WB/WH; calculate diagnostics; apply persona failure caps.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8</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Business</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Aggregate persona numbers; apply component floors and coverage guards.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9</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Device</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If market weights exist, calculate D and apply equivalent guards.</w:t>
            </w:r>
          </w:p>
        </w:tc>
      </w:tr>
      <w:tr>
        <w:trPr>
          <w:cantSplit/>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10</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Publish</w:t>
            </w:r>
          </w:p>
        </w:tc>
        <w:tc>
          <w:tcPr>
            <w:tcW w:type="dxa" w:w="676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Store raw values, rounded display values, labels, reasons for caps, and evidence links.</w:t>
            </w:r>
          </w:p>
        </w:tc>
      </w:tr>
    </w:tbl>
    <w:p>
      <w:pPr>
        <w:spacing w:after="0"/>
      </w:pPr>
    </w:p>
    <w:p>
      <w:pPr>
        <w:pStyle w:val="Heading2"/>
      </w:pPr>
      <w:r>
        <w:t>14.2 Reference pseudocode</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80" w:type="dxa"/>
              <w:start w:w="120" w:type="dxa"/>
              <w:bottom w:w="80" w:type="dxa"/>
              <w:end w:w="120" w:type="dxa"/>
            </w:tcMar>
            <w:vAlign w:val="center"/>
          </w:tcPr>
          <w:p>
            <w:pPr>
              <w:spacing w:after="0" w:line="240" w:lineRule="auto"/>
            </w:pPr>
            <w:r/>
            <w:r>
              <w:rPr>
                <w:rFonts w:ascii="Consolas" w:hAnsi="Consolas"/>
                <w:color w:val="202A35"/>
                <w:sz w:val="17"/>
              </w:rPr>
              <w:t>for configuration in configurations:</w:t>
            </w:r>
          </w:p>
          <w:p>
            <w:pPr>
              <w:spacing w:after="0" w:line="240" w:lineRule="auto"/>
            </w:pPr>
            <w:r>
              <w:rPr>
                <w:rFonts w:ascii="Consolas" w:hAnsi="Consolas"/>
                <w:color w:val="202A35"/>
                <w:sz w:val="17"/>
              </w:rPr>
              <w:t xml:space="preserve">  for scenario in persona_scenarios:</w:t>
            </w:r>
          </w:p>
          <w:p>
            <w:pPr>
              <w:spacing w:after="0" w:line="240" w:lineRule="auto"/>
            </w:pPr>
            <w:r>
              <w:rPr>
                <w:rFonts w:ascii="Consolas" w:hAnsi="Consolas"/>
                <w:color w:val="202A35"/>
                <w:sz w:val="17"/>
              </w:rPr>
              <w:t xml:space="preserve">    Q = score_applicable_quality(scenario, runs)</w:t>
            </w:r>
          </w:p>
          <w:p>
            <w:pPr>
              <w:spacing w:after="0" w:line="240" w:lineRule="auto"/>
            </w:pPr>
            <w:r>
              <w:rPr>
                <w:rFonts w:ascii="Consolas" w:hAnsi="Consolas"/>
                <w:color w:val="202A35"/>
                <w:sz w:val="17"/>
              </w:rPr>
              <w:t xml:space="preserve">    E = score_experience(scenario.targets, runs.timing)</w:t>
            </w:r>
          </w:p>
          <w:p>
            <w:pPr>
              <w:spacing w:after="0" w:line="240" w:lineRule="auto"/>
            </w:pPr>
            <w:r>
              <w:rPr>
                <w:rFonts w:ascii="Consolas" w:hAnsi="Consolas"/>
                <w:color w:val="202A35"/>
                <w:sz w:val="17"/>
              </w:rPr>
              <w:t xml:space="preserve">    R = 100 * successful_runs(runs) / attempted_runs(runs)</w:t>
            </w:r>
          </w:p>
          <w:p>
            <w:pPr>
              <w:spacing w:after="0" w:line="240" w:lineRule="auto"/>
            </w:pPr>
            <w:r>
              <w:rPr>
                <w:rFonts w:ascii="Consolas" w:hAnsi="Consolas"/>
                <w:color w:val="202A35"/>
                <w:sz w:val="17"/>
              </w:rPr>
              <w:t xml:space="preserve">    W_raw = Q**0.60 * E**0.30 * R**0.10</w:t>
            </w:r>
          </w:p>
          <w:p>
            <w:pPr>
              <w:spacing w:after="0" w:line="240" w:lineRule="auto"/>
            </w:pPr>
            <w:r>
              <w:rPr>
                <w:rFonts w:ascii="Consolas" w:hAnsi="Consolas"/>
                <w:color w:val="202A35"/>
                <w:sz w:val="17"/>
              </w:rPr>
              <w:t xml:space="preserve">    W_label = apply_workload_gates(W_raw, Q, E, R, runs)</w:t>
            </w:r>
          </w:p>
          <w:p>
            <w:pPr>
              <w:spacing w:after="0" w:line="240" w:lineRule="auto"/>
            </w:pPr>
            <w:r>
              <w:rPr>
                <w:rFonts w:ascii="Consolas" w:hAnsi="Consolas"/>
                <w:color w:val="202A35"/>
                <w:sz w:val="17"/>
              </w:rPr>
              <w:t xml:space="preserve">  P_raw = 0.25*WL + 0.40*WB + 0.35*WH</w:t>
            </w:r>
          </w:p>
          <w:p>
            <w:pPr>
              <w:spacing w:after="0" w:line="240" w:lineRule="auto"/>
            </w:pPr>
            <w:r>
              <w:rPr>
                <w:rFonts w:ascii="Consolas" w:hAnsi="Consolas"/>
                <w:color w:val="202A35"/>
                <w:sz w:val="17"/>
              </w:rPr>
              <w:t xml:space="preserve">  P_label = apply_persona_gates(P_raw, workloads)</w:t>
            </w:r>
          </w:p>
          <w:p>
            <w:pPr>
              <w:spacing w:after="0" w:line="240" w:lineRule="auto"/>
            </w:pPr>
            <w:r>
              <w:rPr>
                <w:rFonts w:ascii="Consolas" w:hAnsi="Consolas"/>
                <w:color w:val="202A35"/>
                <w:sz w:val="17"/>
              </w:rPr>
              <w:t>for business in [Consumer, Gaming, Commercial]:</w:t>
            </w:r>
          </w:p>
          <w:p>
            <w:pPr>
              <w:spacing w:after="0" w:line="240" w:lineRule="auto"/>
            </w:pPr>
            <w:r>
              <w:rPr>
                <w:rFonts w:ascii="Consolas" w:hAnsi="Consolas"/>
                <w:color w:val="202A35"/>
                <w:sz w:val="17"/>
              </w:rPr>
              <w:t xml:space="preserve">  B_raw = sum(persona_weight[p] * P_raw[p])</w:t>
            </w:r>
          </w:p>
          <w:p>
            <w:pPr>
              <w:spacing w:after="0" w:line="240" w:lineRule="auto"/>
            </w:pPr>
            <w:r>
              <w:rPr>
                <w:rFonts w:ascii="Consolas" w:hAnsi="Consolas"/>
                <w:color w:val="202A35"/>
                <w:sz w:val="17"/>
              </w:rPr>
              <w:t xml:space="preserve">  B_label = apply_business_gates(B_raw, personas, diagnostics)</w:t>
            </w:r>
          </w:p>
        </w:tc>
      </w:tr>
    </w:tbl>
    <w:p>
      <w:pPr>
        <w:pStyle w:val="Heading2"/>
        <w:pageBreakBefore/>
      </w:pPr>
      <w:r>
        <w:t>14.3 Required audit fields</w:t>
      </w:r>
    </w:p>
    <w:tbl>
      <w:tblPr>
        <w:tblStyle w:val="TableGrid"/>
        <w:tblW w:type="dxa" w:w="9360"/>
        <w:jc w:val="center"/>
        <w:tblLayout w:type="fixed"/>
        <w:tblLook w:firstColumn="1" w:firstRow="1" w:lastColumn="0" w:lastRow="0" w:noHBand="0" w:noVBand="1" w:val="04A0"/>
        <w:tblInd w:w="120" w:type="dxa"/>
      </w:tblPr>
      <w:tblGrid>
        <w:gridCol w:w="2664"/>
        <w:gridCol w:w="6696"/>
      </w:tblGrid>
      <w:tr>
        <w:trPr>
          <w:tblHeader w:val="true"/>
          <w:cantSplit/>
        </w:trPr>
        <w:tc>
          <w:tcPr>
            <w:tcW w:type="dxa" w:w="2664"/>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Output field</w:t>
            </w:r>
          </w:p>
        </w:tc>
        <w:tc>
          <w:tcPr>
            <w:tcW w:type="dxa" w:w="6696"/>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Purpose</w:t>
            </w:r>
          </w:p>
        </w:tc>
      </w:tr>
      <w:tr>
        <w:trPr>
          <w:cantSplit/>
        </w:trPr>
        <w:tc>
          <w:tcPr>
            <w:tcW w:type="dxa" w:w="266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raw_score</w:t>
            </w:r>
          </w:p>
        </w:tc>
        <w:tc>
          <w:tcPr>
            <w:tcW w:type="dxa" w:w="66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Unrounded numeric result before gates.</w:t>
            </w:r>
          </w:p>
        </w:tc>
      </w:tr>
      <w:tr>
        <w:trPr>
          <w:cantSplit/>
        </w:trPr>
        <w:tc>
          <w:tcPr>
            <w:tcW w:type="dxa" w:w="266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candidate_category</w:t>
            </w:r>
          </w:p>
        </w:tc>
        <w:tc>
          <w:tcPr>
            <w:tcW w:type="dxa" w:w="66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Category implied only by the numeric band.</w:t>
            </w:r>
          </w:p>
        </w:tc>
      </w:tr>
      <w:tr>
        <w:trPr>
          <w:cantSplit/>
        </w:trPr>
        <w:tc>
          <w:tcPr>
            <w:tcW w:type="dxa" w:w="266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final_category</w:t>
            </w:r>
          </w:p>
        </w:tc>
        <w:tc>
          <w:tcPr>
            <w:tcW w:type="dxa" w:w="66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Category after all floors and coverage rules.</w:t>
            </w:r>
          </w:p>
        </w:tc>
      </w:tr>
      <w:tr>
        <w:trPr>
          <w:cantSplit/>
        </w:trPr>
        <w:tc>
          <w:tcPr>
            <w:tcW w:type="dxa" w:w="266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cap_reason_codes</w:t>
            </w:r>
          </w:p>
        </w:tc>
        <w:tc>
          <w:tcPr>
            <w:tcW w:type="dxa" w:w="66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Machine-readable reasons such as EXPERIENCE_FLOOR or WORKLOAD_FAILED.</w:t>
            </w:r>
          </w:p>
        </w:tc>
      </w:tr>
      <w:tr>
        <w:trPr>
          <w:cantSplit/>
        </w:trPr>
        <w:tc>
          <w:tcPr>
            <w:tcW w:type="dxa" w:w="266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rule_version</w:t>
            </w:r>
          </w:p>
        </w:tc>
        <w:tc>
          <w:tcPr>
            <w:tcW w:type="dxa" w:w="66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Exact scoring specification used.</w:t>
            </w:r>
          </w:p>
        </w:tc>
      </w:tr>
      <w:tr>
        <w:trPr>
          <w:cantSplit/>
        </w:trPr>
        <w:tc>
          <w:tcPr>
            <w:tcW w:type="dxa" w:w="266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evidence_ids</w:t>
            </w:r>
          </w:p>
        </w:tc>
        <w:tc>
          <w:tcPr>
            <w:tcW w:type="dxa" w:w="669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Links to run traces, prompts, graders, and timing records.</w:t>
            </w:r>
          </w:p>
        </w:tc>
      </w:tr>
    </w:tbl>
    <w:p>
      <w:pPr>
        <w:spacing w:after="0"/>
      </w:pPr>
    </w:p>
    <w:p>
      <w:pPr>
        <w:pStyle w:val="Heading1"/>
      </w:pPr>
      <w:r>
        <w:t>15. Calibration, Validation, and Governance</w:t>
      </w:r>
    </w:p>
    <w:p>
      <w:pPr>
        <w:pStyle w:val="Heading2"/>
      </w:pPr>
      <w:r>
        <w:t>15.1 Status of the proposed weights</w:t>
      </w:r>
    </w:p>
    <w:p>
      <w:r>
        <w:rPr>
          <w:rFonts w:ascii="Calibri" w:hAnsi="Calibri"/>
          <w:color w:val="202A35"/>
          <w:sz w:val="22"/>
        </w:rPr>
        <w:t>There is no universal research standard that mandates 60% quality, 30% experience, and 10% reliability for local AI persona fit. These are reasoned version-1 product weights. Research supports multi-metric evaluation, task-dependent latency, explicit quality constraints, and avoiding one-dimensional leaderboards; product-specific weights still require empirical calibration.</w:t>
      </w:r>
    </w:p>
    <w:p>
      <w:pPr>
        <w:pStyle w:val="Heading2"/>
      </w:pPr>
      <w:r>
        <w:t>15.2 Recommended calibration study</w:t>
      </w:r>
    </w:p>
    <w:p>
      <w:pPr>
        <w:pStyle w:val="ListNumber"/>
      </w:pPr>
      <w:r>
        <w:rPr>
          <w:rFonts w:ascii="Calibri" w:hAnsi="Calibri"/>
          <w:color w:val="202A35"/>
          <w:sz w:val="22"/>
        </w:rPr>
        <w:t>Recruit representative users from Consumer, Gaming, and Commercial personas.</w:t>
      </w:r>
    </w:p>
    <w:p>
      <w:pPr>
        <w:pStyle w:val="ListNumber"/>
      </w:pPr>
      <w:r>
        <w:rPr>
          <w:rFonts w:ascii="Calibri" w:hAnsi="Calibri"/>
          <w:color w:val="202A35"/>
          <w:sz w:val="22"/>
        </w:rPr>
        <w:t>Expose them to blinded model–hardware configurations across Light, Balanced, and Heavy tasks.</w:t>
      </w:r>
    </w:p>
    <w:p>
      <w:pPr>
        <w:pStyle w:val="ListNumber"/>
      </w:pPr>
      <w:r>
        <w:rPr>
          <w:rFonts w:ascii="Calibri" w:hAnsi="Calibri"/>
          <w:color w:val="202A35"/>
          <w:sz w:val="22"/>
        </w:rPr>
        <w:t>Collect task success, perceived quality, wait satisfaction, abandonment, revision effort, and overall preference.</w:t>
      </w:r>
    </w:p>
    <w:p>
      <w:pPr>
        <w:pStyle w:val="ListNumber"/>
      </w:pPr>
      <w:r>
        <w:rPr>
          <w:rFonts w:ascii="Calibri" w:hAnsi="Calibri"/>
          <w:color w:val="202A35"/>
          <w:sz w:val="22"/>
        </w:rPr>
        <w:t>Fit or tune weights against observed satisfaction and task success, while preserving hard safety and correctness gates.</w:t>
      </w:r>
    </w:p>
    <w:p>
      <w:pPr>
        <w:pStyle w:val="ListNumber"/>
      </w:pPr>
      <w:r>
        <w:rPr>
          <w:rFonts w:ascii="Calibri" w:hAnsi="Calibri"/>
          <w:color w:val="202A35"/>
          <w:sz w:val="22"/>
        </w:rPr>
        <w:t>Check subgroup effects so one large persona group does not erase smaller but strategically important groups.</w:t>
      </w:r>
    </w:p>
    <w:p>
      <w:pPr>
        <w:pStyle w:val="ListNumber"/>
      </w:pPr>
      <w:r>
        <w:rPr>
          <w:rFonts w:ascii="Calibri" w:hAnsi="Calibri"/>
          <w:color w:val="202A35"/>
          <w:sz w:val="22"/>
        </w:rPr>
        <w:t>Publish a new rule version whenever weights, bands, gates, or target times materially change.</w:t>
      </w:r>
    </w:p>
    <w:p>
      <w:pPr>
        <w:pStyle w:val="Heading2"/>
      </w:pPr>
      <w:r>
        <w:t>15.3 Sensitivity analysis</w:t>
      </w:r>
    </w:p>
    <w:p>
      <w:r>
        <w:rPr>
          <w:rFonts w:ascii="Calibri" w:hAnsi="Calibri"/>
          <w:color w:val="202A35"/>
          <w:sz w:val="22"/>
        </w:rPr>
        <w:t>Before release, vary each top-level weight by approximately plus or minus 10 percentage points while renormalizing the others. Flag configurations whose category changes easily. Also test persona and business weights, target-time assumptions, repetition count, and component floors. A robust match should not depend on one arbitrary threshold.</w:t>
      </w:r>
    </w:p>
    <w:p>
      <w:pPr>
        <w:pStyle w:val="Heading2"/>
      </w:pPr>
      <w:r>
        <w:t>15.4 Monitoring after launch</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cantSplit/>
        </w:trPr>
        <w:tc>
          <w:tcPr>
            <w:tcW w:type="dxa" w:w="223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Signal</w:t>
            </w:r>
          </w:p>
        </w:tc>
        <w:tc>
          <w:tcPr>
            <w:tcW w:type="dxa" w:w="71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What to watch</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Category stability</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How often small reruns move a configuration across a tier.</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User agreement</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Whether reported labels match user preference and task success.</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Latency drift</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Runtime, driver, model, and thermal changes that alter TTFT or completion.</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Failure concentration</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Specific personas or workloads producing OOMs, timeouts, or gate failures.</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Rubric drift</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Automated grader changes that alter scores without model changes.</w:t>
            </w:r>
          </w:p>
        </w:tc>
      </w:tr>
      <w:tr>
        <w:trPr>
          <w:cantSplit/>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Coverage</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Missing workloads or dimensions that could overstate suitability.</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Borders>
              <w:top w:val="single" w:sz="2" w:color="F4F6F9"/>
              <w:start w:val="single" w:sz="18" w:color="2E74B5"/>
              <w:bottom w:val="single" w:sz="2" w:color="F4F6F9"/>
              <w:end w:val="single" w:sz="2" w:color="F4F6F9"/>
            </w:tcBorders>
            <w:tcMar>
              <w:top w:w="80" w:type="dxa"/>
              <w:start w:w="120" w:type="dxa"/>
              <w:bottom w:w="80" w:type="dxa"/>
              <w:end w:w="120" w:type="dxa"/>
            </w:tcMar>
            <w:vAlign w:val="center"/>
          </w:tcPr>
          <w:p>
            <w:pPr>
              <w:spacing w:after="60"/>
            </w:pPr>
            <w:r>
              <w:rPr>
                <w:rFonts w:ascii="Calibri" w:hAnsi="Calibri"/>
                <w:b/>
                <w:color w:val="0B2545"/>
                <w:sz w:val="20"/>
              </w:rPr>
              <w:t>Versioning rule</w:t>
            </w:r>
          </w:p>
          <w:p>
            <w:pPr>
              <w:spacing w:after="0" w:line="276" w:lineRule="auto"/>
            </w:pPr>
            <w:r>
              <w:rPr>
                <w:rFonts w:ascii="Calibri" w:hAnsi="Calibri"/>
                <w:color w:val="202A35"/>
                <w:sz w:val="19"/>
              </w:rPr>
              <w:t>Store rule_version, prompt_version, grader_version, model artifact hash, runtime version, and hardware fingerprint with every published score. Never compare scores across materially different rule versions without a migration note.</w:t>
            </w:r>
          </w:p>
        </w:tc>
      </w:tr>
    </w:tbl>
    <w:p>
      <w:pPr>
        <w:spacing w:after="0"/>
      </w:pPr>
    </w:p>
    <w:p>
      <w:pPr>
        <w:pStyle w:val="Heading1"/>
      </w:pPr>
      <w:r>
        <w:t>Appendix A. Symbol Glossary</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cantSplit/>
        </w:trPr>
        <w:tc>
          <w:tcPr>
            <w:tcW w:type="dxa" w:w="208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Symbol</w:t>
            </w:r>
          </w:p>
        </w:tc>
        <w:tc>
          <w:tcPr>
            <w:tcW w:type="dxa" w:w="7272"/>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Meaning</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q_d</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0–100 score for one applicable quality dimension d.</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Number of applicable quality dimensions for the scenario.</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Qw</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Quality score for workload w.</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Actual time divided by target time.</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g(r)</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Normalized time score on 0–100 scale.</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Ew</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Experience score for workload w.</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Rw</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Reliability score for workload w.</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Ww</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Final workload match score before categorical gates.</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WL, WB, WH</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Light, Balanced, and Heavy workload match scores.</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Pp</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Overall score for persona p.</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Qp, Ep, Rp</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Persona diagnostic component aggregates.</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omega_p</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Weight assigned to persona p inside a business category.</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 G, M</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Consumer, Gaming, and Commercial category scores.</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alpha, beta, gamma</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Optional market weights for Consumer, Gaming, and Commercial.</w:t>
            </w:r>
          </w:p>
        </w:tc>
      </w:tr>
      <w:tr>
        <w:trPr>
          <w:cantSplit/>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D</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8"/>
              </w:rPr>
              <w:t>Optional overall device score.</w:t>
            </w:r>
          </w:p>
        </w:tc>
      </w:tr>
    </w:tbl>
    <w:p>
      <w:pPr>
        <w:spacing w:after="0"/>
      </w:pPr>
    </w:p>
    <w:p>
      <w:pPr>
        <w:pStyle w:val="Heading2"/>
      </w:pPr>
      <w:r>
        <w:t>A.1 Category evaluation checklist</w:t>
      </w:r>
    </w:p>
    <w:p>
      <w:pPr>
        <w:pStyle w:val="ListBullet"/>
      </w:pPr>
      <w:r>
        <w:rPr>
          <w:rFonts w:ascii="Calibri" w:hAnsi="Calibri"/>
          <w:color w:val="202A35"/>
          <w:sz w:val="22"/>
        </w:rPr>
        <w:t>Was the numeric score calculated from unrounded inputs?</w:t>
      </w:r>
    </w:p>
    <w:p>
      <w:pPr>
        <w:pStyle w:val="ListBullet"/>
      </w:pPr>
      <w:r>
        <w:rPr>
          <w:rFonts w:ascii="Calibri" w:hAnsi="Calibri"/>
          <w:color w:val="202A35"/>
          <w:sz w:val="22"/>
        </w:rPr>
        <w:t>Were all non-applicable quality dimensions excluded as N/A?</w:t>
      </w:r>
    </w:p>
    <w:p>
      <w:pPr>
        <w:pStyle w:val="ListBullet"/>
      </w:pPr>
      <w:r>
        <w:rPr>
          <w:rFonts w:ascii="Calibri" w:hAnsi="Calibri"/>
          <w:color w:val="202A35"/>
          <w:sz w:val="22"/>
        </w:rPr>
        <w:t>Were TTFT and completion compared with scenario-specific targets?</w:t>
      </w:r>
    </w:p>
    <w:p>
      <w:pPr>
        <w:pStyle w:val="ListBullet"/>
      </w:pPr>
      <w:r>
        <w:rPr>
          <w:rFonts w:ascii="Calibri" w:hAnsi="Calibri"/>
          <w:color w:val="202A35"/>
          <w:sz w:val="22"/>
        </w:rPr>
        <w:t>Was reliability based on at least three attempts?</w:t>
      </w:r>
    </w:p>
    <w:p>
      <w:pPr>
        <w:pStyle w:val="ListBullet"/>
      </w:pPr>
      <w:r>
        <w:rPr>
          <w:rFonts w:ascii="Calibri" w:hAnsi="Calibri"/>
          <w:color w:val="202A35"/>
          <w:sz w:val="22"/>
        </w:rPr>
        <w:t>Were hard quality gates checked before aggregation?</w:t>
      </w:r>
    </w:p>
    <w:p>
      <w:pPr>
        <w:pStyle w:val="ListBullet"/>
      </w:pPr>
      <w:r>
        <w:rPr>
          <w:rFonts w:ascii="Calibri" w:hAnsi="Calibri"/>
          <w:color w:val="202A35"/>
          <w:sz w:val="22"/>
        </w:rPr>
        <w:t>Were component floors and failure caps applied?</w:t>
      </w:r>
    </w:p>
    <w:p>
      <w:pPr>
        <w:pStyle w:val="ListBullet"/>
      </w:pPr>
      <w:r>
        <w:rPr>
          <w:rFonts w:ascii="Calibri" w:hAnsi="Calibri"/>
          <w:color w:val="202A35"/>
          <w:sz w:val="22"/>
        </w:rPr>
        <w:t>Were numbers—not colors or labels—aggregated?</w:t>
      </w:r>
    </w:p>
    <w:p>
      <w:pPr>
        <w:pStyle w:val="ListBullet"/>
      </w:pPr>
      <w:r>
        <w:rPr>
          <w:rFonts w:ascii="Calibri" w:hAnsi="Calibri"/>
          <w:color w:val="202A35"/>
          <w:sz w:val="22"/>
        </w:rPr>
        <w:t>Are raw score, final label, cap reason, and evidence retained?</w:t>
      </w:r>
    </w:p>
    <w:p>
      <w:pPr>
        <w:pStyle w:val="Heading1"/>
        <w:pageBreakBefore/>
      </w:pPr>
      <w:r>
        <w:t>Appendix B. Research Basis</w:t>
      </w:r>
    </w:p>
    <w:p>
      <w:r>
        <w:rPr>
          <w:rFonts w:ascii="Calibri" w:hAnsi="Calibri"/>
          <w:color w:val="202A35"/>
          <w:sz w:val="22"/>
        </w:rPr>
        <w:t>The methodology is a product-specific synthesis. The following sources support its design principles; none prescribes the exact version-1 weights used here.</w:t>
      </w:r>
    </w:p>
    <w:p>
      <w:pPr>
        <w:spacing w:after="60"/>
      </w:pPr>
      <w:r>
        <w:rPr>
          <w:rFonts w:ascii="Calibri" w:hAnsi="Calibri"/>
          <w:b/>
          <w:color w:val="0B2545"/>
          <w:sz w:val="18"/>
        </w:rPr>
        <w:t xml:space="preserve">HELM: Holistic Evaluation of Language Models — </w:t>
      </w:r>
      <w:r>
        <w:rPr>
          <w:rFonts w:ascii="Calibri" w:hAnsi="Calibri"/>
          <w:color w:val="202A35"/>
          <w:sz w:val="18"/>
        </w:rPr>
        <w:t xml:space="preserve">Multi-metric, scenario-based evaluation rather than a single benchmark number. </w:t>
      </w:r>
      <w:hyperlink r:id="rId11">
        <w:r>
          <w:rPr>
            <w:color w:val="2E74B5"/>
            <w:u w:val="single"/>
          </w:rPr>
          <w:t>https://arxiv.org/abs/2211.09110</w:t>
        </w:r>
      </w:hyperlink>
    </w:p>
    <w:p>
      <w:pPr>
        <w:spacing w:after="60"/>
      </w:pPr>
      <w:r>
        <w:rPr>
          <w:rFonts w:ascii="Calibri" w:hAnsi="Calibri"/>
          <w:b/>
          <w:color w:val="0B2545"/>
          <w:sz w:val="18"/>
        </w:rPr>
        <w:t xml:space="preserve">MLPerf Inference documentation — </w:t>
      </w:r>
      <w:r>
        <w:rPr>
          <w:rFonts w:ascii="Calibri" w:hAnsi="Calibri"/>
          <w:color w:val="202A35"/>
          <w:sz w:val="18"/>
        </w:rPr>
        <w:t xml:space="preserve">Performance comparison under explicit quality and task constraints. </w:t>
      </w:r>
      <w:hyperlink r:id="rId12">
        <w:r>
          <w:rPr>
            <w:color w:val="2E74B5"/>
            <w:u w:val="single"/>
          </w:rPr>
          <w:t>https://docs.mlcommons.org/inference/</w:t>
        </w:r>
      </w:hyperlink>
    </w:p>
    <w:p>
      <w:pPr>
        <w:spacing w:after="60"/>
      </w:pPr>
      <w:r>
        <w:rPr>
          <w:rFonts w:ascii="Calibri" w:hAnsi="Calibri"/>
          <w:b/>
          <w:color w:val="0B2545"/>
          <w:sz w:val="18"/>
        </w:rPr>
        <w:t xml:space="preserve">Human–LLM latency study — </w:t>
      </w:r>
      <w:r>
        <w:rPr>
          <w:rFonts w:ascii="Calibri" w:hAnsi="Calibri"/>
          <w:color w:val="202A35"/>
          <w:sz w:val="18"/>
        </w:rPr>
        <w:t xml:space="preserve">User tolerance and productivity effects vary with task and delay. </w:t>
      </w:r>
      <w:hyperlink r:id="rId13">
        <w:r>
          <w:rPr>
            <w:color w:val="2E74B5"/>
            <w:u w:val="single"/>
          </w:rPr>
          <w:t>https://arxiv.org/html/2604.06183v1</w:t>
        </w:r>
      </w:hyperlink>
    </w:p>
    <w:p>
      <w:pPr>
        <w:spacing w:after="60"/>
      </w:pPr>
      <w:r>
        <w:rPr>
          <w:rFonts w:ascii="Calibri" w:hAnsi="Calibri"/>
          <w:b/>
          <w:color w:val="0B2545"/>
          <w:sz w:val="18"/>
        </w:rPr>
        <w:t xml:space="preserve">Conversational delay research — </w:t>
      </w:r>
      <w:r>
        <w:rPr>
          <w:rFonts w:ascii="Calibri" w:hAnsi="Calibri"/>
          <w:color w:val="202A35"/>
          <w:sz w:val="18"/>
        </w:rPr>
        <w:t xml:space="preserve">Long response delays can materially degrade conversational experience. </w:t>
      </w:r>
      <w:hyperlink r:id="rId14">
        <w:r>
          <w:rPr>
            <w:color w:val="2E74B5"/>
            <w:u w:val="single"/>
          </w:rPr>
          <w:t>https://dl.acm.org/doi/10.1145/3719160.3736636</w:t>
        </w:r>
      </w:hyperlink>
    </w:p>
    <w:p>
      <w:pPr>
        <w:spacing w:after="60"/>
      </w:pPr>
      <w:r>
        <w:rPr>
          <w:rFonts w:ascii="Calibri" w:hAnsi="Calibri"/>
          <w:b/>
          <w:color w:val="0B2545"/>
          <w:sz w:val="18"/>
        </w:rPr>
        <w:t xml:space="preserve">Nielsen Norman Group response-time limits — </w:t>
      </w:r>
      <w:r>
        <w:rPr>
          <w:rFonts w:ascii="Calibri" w:hAnsi="Calibri"/>
          <w:color w:val="202A35"/>
          <w:sz w:val="18"/>
        </w:rPr>
        <w:t xml:space="preserve">Foundational human-interface thresholds for perceived immediacy and attention. </w:t>
      </w:r>
      <w:hyperlink r:id="rId15">
        <w:r>
          <w:rPr>
            <w:color w:val="2E74B5"/>
            <w:u w:val="single"/>
          </w:rPr>
          <w:t>https://www.nngroup.com/articles/response-times-3-important-limits/</w:t>
        </w:r>
      </w:hyperlink>
    </w:p>
    <w:p>
      <w:pPr>
        <w:spacing w:after="60"/>
      </w:pPr>
      <w:r>
        <w:rPr>
          <w:rFonts w:ascii="Calibri" w:hAnsi="Calibri"/>
          <w:b/>
          <w:color w:val="0B2545"/>
          <w:sz w:val="18"/>
        </w:rPr>
        <w:t xml:space="preserve">IFEval — </w:t>
      </w:r>
      <w:r>
        <w:rPr>
          <w:rFonts w:ascii="Calibri" w:hAnsi="Calibri"/>
          <w:color w:val="202A35"/>
          <w:sz w:val="18"/>
        </w:rPr>
        <w:t xml:space="preserve">Objective evaluation of instruction-following constraints. </w:t>
      </w:r>
      <w:hyperlink r:id="rId16">
        <w:r>
          <w:rPr>
            <w:color w:val="2E74B5"/>
            <w:u w:val="single"/>
          </w:rPr>
          <w:t>https://arxiv.org/abs/2311.07911</w:t>
        </w:r>
      </w:hyperlink>
    </w:p>
    <w:p>
      <w:pPr>
        <w:spacing w:after="60"/>
      </w:pPr>
      <w:r>
        <w:rPr>
          <w:rFonts w:ascii="Calibri" w:hAnsi="Calibri"/>
          <w:b/>
          <w:color w:val="0B2545"/>
          <w:sz w:val="18"/>
        </w:rPr>
        <w:t xml:space="preserve">GSM8K — </w:t>
      </w:r>
      <w:r>
        <w:rPr>
          <w:rFonts w:ascii="Calibri" w:hAnsi="Calibri"/>
          <w:color w:val="202A35"/>
          <w:sz w:val="18"/>
        </w:rPr>
        <w:t xml:space="preserve">Grade-school mathematical reasoning benchmark. </w:t>
      </w:r>
      <w:hyperlink r:id="rId17">
        <w:r>
          <w:rPr>
            <w:color w:val="2E74B5"/>
            <w:u w:val="single"/>
          </w:rPr>
          <w:t>https://arxiv.org/abs/2110.14168</w:t>
        </w:r>
      </w:hyperlink>
    </w:p>
    <w:p>
      <w:pPr>
        <w:spacing w:after="60"/>
      </w:pPr>
      <w:r>
        <w:rPr>
          <w:rFonts w:ascii="Calibri" w:hAnsi="Calibri"/>
          <w:b/>
          <w:color w:val="0B2545"/>
          <w:sz w:val="18"/>
        </w:rPr>
        <w:t xml:space="preserve">HumanEval — </w:t>
      </w:r>
      <w:r>
        <w:rPr>
          <w:rFonts w:ascii="Calibri" w:hAnsi="Calibri"/>
          <w:color w:val="202A35"/>
          <w:sz w:val="18"/>
        </w:rPr>
        <w:t xml:space="preserve">Functional correctness evaluation for generated code. </w:t>
      </w:r>
      <w:hyperlink r:id="rId18">
        <w:r>
          <w:rPr>
            <w:color w:val="2E74B5"/>
            <w:u w:val="single"/>
          </w:rPr>
          <w:t>https://arxiv.org/abs/2107.03374</w:t>
        </w:r>
      </w:hyperlink>
    </w:p>
    <w:p>
      <w:pPr>
        <w:spacing w:after="60"/>
      </w:pPr>
      <w:r>
        <w:rPr>
          <w:rFonts w:ascii="Calibri" w:hAnsi="Calibri"/>
          <w:b/>
          <w:color w:val="0B2545"/>
          <w:sz w:val="18"/>
        </w:rPr>
        <w:t xml:space="preserve">JSONSchemaBench — </w:t>
      </w:r>
      <w:r>
        <w:rPr>
          <w:rFonts w:ascii="Calibri" w:hAnsi="Calibri"/>
          <w:color w:val="202A35"/>
          <w:sz w:val="18"/>
        </w:rPr>
        <w:t xml:space="preserve">Constrained decoding and JSON Schema compliance evaluation. </w:t>
      </w:r>
      <w:hyperlink r:id="rId19">
        <w:r>
          <w:rPr>
            <w:color w:val="2E74B5"/>
            <w:u w:val="single"/>
          </w:rPr>
          <w:t>https://github.com/guidance-ai/jsonschemabench</w:t>
        </w:r>
      </w:hyperlink>
    </w:p>
    <w:p>
      <w:pPr>
        <w:spacing w:after="60"/>
      </w:pPr>
      <w:r>
        <w:rPr>
          <w:rFonts w:ascii="Calibri" w:hAnsi="Calibri"/>
          <w:b/>
          <w:color w:val="0B2545"/>
          <w:sz w:val="18"/>
        </w:rPr>
        <w:t xml:space="preserve">SimpleQA — </w:t>
      </w:r>
      <w:r>
        <w:rPr>
          <w:rFonts w:ascii="Calibri" w:hAnsi="Calibri"/>
          <w:color w:val="202A35"/>
          <w:sz w:val="18"/>
        </w:rPr>
        <w:t xml:space="preserve">Short-form factuality evaluation. </w:t>
      </w:r>
      <w:hyperlink r:id="rId20">
        <w:r>
          <w:rPr>
            <w:color w:val="2E74B5"/>
            <w:u w:val="single"/>
          </w:rPr>
          <w:t>https://openai.com/index/introducing-simpleqa/</w:t>
        </w:r>
      </w:hyperlink>
    </w:p>
    <w:p>
      <w:pPr>
        <w:spacing w:after="60"/>
      </w:pPr>
      <w:r>
        <w:rPr>
          <w:rFonts w:ascii="Calibri" w:hAnsi="Calibri"/>
          <w:b/>
          <w:color w:val="0B2545"/>
          <w:sz w:val="18"/>
        </w:rPr>
        <w:t xml:space="preserve">FActScore — </w:t>
      </w:r>
      <w:r>
        <w:rPr>
          <w:rFonts w:ascii="Calibri" w:hAnsi="Calibri"/>
          <w:color w:val="202A35"/>
          <w:sz w:val="18"/>
        </w:rPr>
        <w:t xml:space="preserve">Fine-grained factual precision for long-form generation. </w:t>
      </w:r>
      <w:hyperlink r:id="rId21">
        <w:r>
          <w:rPr>
            <w:color w:val="2E74B5"/>
            <w:u w:val="single"/>
          </w:rPr>
          <w:t>https://arxiv.org/abs/2305.14251</w:t>
        </w:r>
      </w:hyperlink>
    </w:p>
    <w:p>
      <w:pPr>
        <w:spacing w:after="60"/>
      </w:pPr>
      <w:r>
        <w:rPr>
          <w:rFonts w:ascii="Calibri" w:hAnsi="Calibri"/>
          <w:b/>
          <w:color w:val="0B2545"/>
          <w:sz w:val="18"/>
        </w:rPr>
        <w:t xml:space="preserve">Applied Sciences: LLM creative-writing evaluation — </w:t>
      </w:r>
      <w:r>
        <w:rPr>
          <w:rFonts w:ascii="Calibri" w:hAnsi="Calibri"/>
          <w:color w:val="202A35"/>
          <w:sz w:val="18"/>
        </w:rPr>
        <w:t xml:space="preserve">Research context for evaluating creativity across multiple criteria. </w:t>
      </w:r>
      <w:hyperlink r:id="rId22">
        <w:r>
          <w:rPr>
            <w:color w:val="2E74B5"/>
            <w:u w:val="single"/>
          </w:rPr>
          <w:t>https://www.mdpi.com/2076-3417/15/6/2971</w:t>
        </w:r>
      </w:hyperlink>
    </w:p>
    <w:p>
      <w:pPr>
        <w:pStyle w:val="Heading2"/>
      </w:pPr>
      <w:r>
        <w:t>B.1 Interpretation</w:t>
      </w:r>
    </w:p>
    <w:p>
      <w:r>
        <w:rPr>
          <w:rFonts w:ascii="Calibri" w:hAnsi="Calibri"/>
          <w:color w:val="202A35"/>
          <w:sz w:val="22"/>
        </w:rPr>
        <w:t>HELM motivates transparent, multidimensional evaluation. MLPerf demonstrates the importance of measuring performance under quality constraints. Human-computer interaction research shows that latency expectations depend on the interaction and task. Benchmark-specific sources provide established patterns for evaluating instruction following, math, code, structured output, factuality, and creative quality. The geometric aggregation, component floors, persona weights, and category guards are the proposed Haval scoring design derived from these principles.</w:t>
      </w:r>
    </w:p>
    <w:p>
      <w:pPr>
        <w:pStyle w:val="Heading1"/>
        <w:pageBreakBefore/>
      </w:pPr>
      <w:r>
        <w:t>Appendix C. Calculation Worksheet</w:t>
      </w:r>
    </w:p>
    <w:p>
      <w:pPr>
        <w:pStyle w:val="Heading2"/>
      </w:pPr>
      <w:r>
        <w:t>C.1 Workload worksheet</w:t>
      </w:r>
    </w:p>
    <w:tbl>
      <w:tblPr>
        <w:tblStyle w:val="TableGrid"/>
        <w:tblW w:type="dxa" w:w="9360"/>
        <w:jc w:val="center"/>
        <w:tblLayout w:type="fixed"/>
        <w:tblLook w:firstColumn="1" w:firstRow="1" w:lastColumn="0" w:lastRow="0" w:noHBand="0" w:noVBand="1" w:val="04A0"/>
        <w:tblInd w:w="120" w:type="dxa"/>
      </w:tblPr>
      <w:tblGrid>
        <w:gridCol w:w="2736"/>
        <w:gridCol w:w="1944"/>
        <w:gridCol w:w="4680"/>
      </w:tblGrid>
      <w:tr>
        <w:trPr>
          <w:tblHeader w:val="true"/>
          <w:cantSplit/>
        </w:trPr>
        <w:tc>
          <w:tcPr>
            <w:tcW w:type="dxa" w:w="2736"/>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Input / result</w:t>
            </w:r>
          </w:p>
        </w:tc>
        <w:tc>
          <w:tcPr>
            <w:tcW w:type="dxa" w:w="1944"/>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Value</w:t>
            </w:r>
          </w:p>
        </w:tc>
        <w:tc>
          <w:tcPr>
            <w:tcW w:type="dxa" w:w="468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Formula or note</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Primary quality dimension</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Declared before scoring</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Applicable dimensions</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N/A dimensions excluded</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Qw</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Primary 40%; secondaries share 60%</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Actual TTFT / target TTFT</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 / 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r_TTFT = actual / target</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Actual completion / target</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 / 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r_completion = actual / target</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Ew</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Apply L, B, or H timing mix</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Successful / attempted runs</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 / 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Rw = 100 * successes / attempts</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Raw Ww</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Qw^0.60 * Ew^0.30 * Rw^0.10</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Candidate category</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From numeric band</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Gate / cap reason</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None or reason code</w:t>
            </w:r>
          </w:p>
        </w:tc>
      </w:tr>
      <w:tr>
        <w:trPr>
          <w:cantSplit/>
        </w:trPr>
        <w:tc>
          <w:tcPr>
            <w:tcW w:type="dxa" w:w="2736"/>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Final category</w:t>
            </w:r>
          </w:p>
        </w:tc>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Lowest category permitted</w:t>
            </w:r>
          </w:p>
        </w:tc>
      </w:tr>
    </w:tbl>
    <w:p>
      <w:pPr>
        <w:spacing w:after="0"/>
      </w:pPr>
    </w:p>
    <w:p>
      <w:pPr>
        <w:pStyle w:val="Heading2"/>
      </w:pPr>
      <w:r>
        <w:t>C.2 Persona and business worksheet</w:t>
      </w:r>
    </w:p>
    <w:tbl>
      <w:tblPr>
        <w:tblStyle w:val="TableGrid"/>
        <w:tblW w:type="dxa" w:w="9360"/>
        <w:jc w:val="center"/>
        <w:tblLayout w:type="fixed"/>
        <w:tblLook w:firstColumn="1" w:firstRow="1" w:lastColumn="0" w:lastRow="0" w:noHBand="0" w:noVBand="1" w:val="04A0"/>
        <w:tblInd w:w="120" w:type="dxa"/>
      </w:tblPr>
      <w:tblGrid>
        <w:gridCol w:w="1800"/>
        <w:gridCol w:w="2448"/>
        <w:gridCol w:w="1728"/>
        <w:gridCol w:w="1655"/>
        <w:gridCol w:w="1728"/>
      </w:tblGrid>
      <w:tr>
        <w:trPr>
          <w:tblHeader w:val="true"/>
          <w:cantSplit/>
        </w:trPr>
        <w:tc>
          <w:tcPr>
            <w:tcW w:type="dxa" w:w="1800"/>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Level</w:t>
            </w:r>
          </w:p>
        </w:tc>
        <w:tc>
          <w:tcPr>
            <w:tcW w:type="dxa" w:w="244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Inputs</w:t>
            </w:r>
          </w:p>
        </w:tc>
        <w:tc>
          <w:tcPr>
            <w:tcW w:type="dxa" w:w="17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Numeric result</w:t>
            </w:r>
          </w:p>
        </w:tc>
        <w:tc>
          <w:tcPr>
            <w:tcW w:type="dxa" w:w="1655"/>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Guard result</w:t>
            </w:r>
          </w:p>
        </w:tc>
        <w:tc>
          <w:tcPr>
            <w:tcW w:type="dxa" w:w="1728"/>
            <w:shd w:fill="E8EEF5"/>
            <w:tcMar>
              <w:top w:w="80" w:type="dxa"/>
              <w:start w:w="120" w:type="dxa"/>
              <w:bottom w:w="80" w:type="dxa"/>
              <w:end w:w="120" w:type="dxa"/>
            </w:tcMar>
            <w:vAlign w:val="center"/>
          </w:tcPr>
          <w:p>
            <w:pPr>
              <w:spacing w:before="0" w:after="0" w:line="252" w:lineRule="auto"/>
              <w:jc w:val="left"/>
            </w:pPr>
            <w:r/>
            <w:r>
              <w:rPr>
                <w:rFonts w:ascii="Calibri" w:hAnsi="Calibri"/>
                <w:b/>
                <w:color w:val="0B2545"/>
                <w:sz w:val="18"/>
              </w:rPr>
              <w:t>Final category</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Persona</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WL ___ / WB ___ / WH ___</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Pp = ____</w:t>
            </w:r>
          </w:p>
        </w:tc>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Consumer</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8 persona scores</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 = ____</w:t>
            </w:r>
          </w:p>
        </w:tc>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Gaming</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4 persona scores</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G = ____</w:t>
            </w:r>
          </w:p>
        </w:tc>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Commercial</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8 persona scores</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M = ____</w:t>
            </w:r>
          </w:p>
        </w:tc>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Device (optional)</w:t>
            </w:r>
          </w:p>
        </w:tc>
        <w:tc>
          <w:tcPr>
            <w:tcW w:type="dxa" w:w="244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C ___ / G ___ / M ___</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D = ____</w:t>
            </w:r>
          </w:p>
        </w:tc>
        <w:tc>
          <w:tcPr>
            <w:tcW w:type="dxa" w:w="1655"/>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202A35"/>
                <w:sz w:val="17"/>
              </w:rPr>
              <w:t>____</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EAF2F8"/>
            <w:tcBorders>
              <w:top w:val="single" w:sz="2" w:color="EAF2F8"/>
              <w:start w:val="single" w:sz="18" w:color="2E74B5"/>
              <w:bottom w:val="single" w:sz="2" w:color="EAF2F8"/>
              <w:end w:val="single" w:sz="2" w:color="EAF2F8"/>
            </w:tcBorders>
            <w:tcMar>
              <w:top w:w="80" w:type="dxa"/>
              <w:start w:w="120" w:type="dxa"/>
              <w:bottom w:w="80" w:type="dxa"/>
              <w:end w:w="120" w:type="dxa"/>
            </w:tcMar>
            <w:vAlign w:val="center"/>
          </w:tcPr>
          <w:p>
            <w:pPr>
              <w:spacing w:after="60"/>
            </w:pPr>
            <w:r>
              <w:rPr>
                <w:rFonts w:ascii="Calibri" w:hAnsi="Calibri"/>
                <w:b/>
                <w:color w:val="0B2545"/>
                <w:sz w:val="20"/>
              </w:rPr>
              <w:t>Final implementation note</w:t>
            </w:r>
          </w:p>
          <w:p>
            <w:pPr>
              <w:spacing w:after="0" w:line="276" w:lineRule="auto"/>
            </w:pPr>
            <w:r>
              <w:rPr>
                <w:rFonts w:ascii="Calibri" w:hAnsi="Calibri"/>
                <w:color w:val="202A35"/>
                <w:sz w:val="19"/>
              </w:rPr>
              <w:t>Keep the full evidence chain. A user-facing badge should always be explainable as: “This score came from these tasks, on this hardware, with these response-time targets, quality rubrics, reliability attempts, weights, and gates.”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673"/>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673"/>
        <w:sz w:val="16"/>
      </w:rPr>
      <w:t>HAVAL LOCALAI BENCH  |  PERSONA MATCH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211.09110" TargetMode="External"/><Relationship Id="rId12" Type="http://schemas.openxmlformats.org/officeDocument/2006/relationships/hyperlink" Target="https://docs.mlcommons.org/inference/" TargetMode="External"/><Relationship Id="rId13" Type="http://schemas.openxmlformats.org/officeDocument/2006/relationships/hyperlink" Target="https://arxiv.org/html/2604.06183v1" TargetMode="External"/><Relationship Id="rId14" Type="http://schemas.openxmlformats.org/officeDocument/2006/relationships/hyperlink" Target="https://dl.acm.org/doi/10.1145/3719160.3736636" TargetMode="External"/><Relationship Id="rId15" Type="http://schemas.openxmlformats.org/officeDocument/2006/relationships/hyperlink" Target="https://www.nngroup.com/articles/response-times-3-important-limits/" TargetMode="External"/><Relationship Id="rId16" Type="http://schemas.openxmlformats.org/officeDocument/2006/relationships/hyperlink" Target="https://arxiv.org/abs/2311.07911" TargetMode="External"/><Relationship Id="rId17" Type="http://schemas.openxmlformats.org/officeDocument/2006/relationships/hyperlink" Target="https://arxiv.org/abs/2110.14168" TargetMode="External"/><Relationship Id="rId18" Type="http://schemas.openxmlformats.org/officeDocument/2006/relationships/hyperlink" Target="https://arxiv.org/abs/2107.03374" TargetMode="External"/><Relationship Id="rId19" Type="http://schemas.openxmlformats.org/officeDocument/2006/relationships/hyperlink" Target="https://github.com/guidance-ai/jsonschemabench" TargetMode="External"/><Relationship Id="rId20" Type="http://schemas.openxmlformats.org/officeDocument/2006/relationships/hyperlink" Target="https://openai.com/index/introducing-simpleqa/" TargetMode="External"/><Relationship Id="rId21" Type="http://schemas.openxmlformats.org/officeDocument/2006/relationships/hyperlink" Target="https://arxiv.org/abs/2305.14251" TargetMode="External"/><Relationship Id="rId22" Type="http://schemas.openxmlformats.org/officeDocument/2006/relationships/hyperlink" Target="https://www.mdpi.com/2076-3417/15/6/2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 AI Match Scoring Methodology</dc:title>
  <dc:subject>Quality, experience, reliability, persona, business, and device scoring for Haval LocalAI Bench</dc:subject>
  <dc:creator>Haval LocalAI Bench</dc:creator>
  <cp:keywords>local AI, LLM benchmark, persona, scoring, quality, latency, reliability</cp:keywords>
  <dc:description>Version 1.0 proposed scoring specification</dc:description>
  <cp:lastModifiedBy/>
  <cp:revision>1</cp:revision>
  <dcterms:created xsi:type="dcterms:W3CDTF">2013-12-23T23:15:00Z</dcterms:created>
  <dcterms:modified xsi:type="dcterms:W3CDTF">2013-12-23T23:15:00Z</dcterms:modified>
  <cp:category/>
</cp:coreProperties>
</file>