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TechNova Solutions - Company Report</w:t>
      </w:r>
    </w:p>
    <w:p>
      <w:r>
        <w:t>TechNova Solutions is a software development company headquartered in San Francisco, CA. Founded in 2016, the company specializes in SaaS platforms, API licensing, and consulting services.</w:t>
      </w:r>
    </w:p>
    <w:p>
      <w:pPr>
        <w:pStyle w:val="Heading2"/>
      </w:pPr>
      <w:r>
        <w:t>Financial Overview (2019–2024)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Year</w:t>
            </w:r>
          </w:p>
        </w:tc>
        <w:tc>
          <w:tcPr>
            <w:tcW w:type="dxa" w:w="1728"/>
          </w:tcPr>
          <w:p>
            <w:r>
              <w:t>Revenue (M$)</w:t>
            </w:r>
          </w:p>
        </w:tc>
        <w:tc>
          <w:tcPr>
            <w:tcW w:type="dxa" w:w="1728"/>
          </w:tcPr>
          <w:p>
            <w:r>
              <w:t>Expenses (M$)</w:t>
            </w:r>
          </w:p>
        </w:tc>
        <w:tc>
          <w:tcPr>
            <w:tcW w:type="dxa" w:w="1728"/>
          </w:tcPr>
          <w:p>
            <w:r>
              <w:t>Profit (M$)</w:t>
            </w:r>
          </w:p>
        </w:tc>
        <w:tc>
          <w:tcPr>
            <w:tcW w:type="dxa" w:w="1728"/>
          </w:tcPr>
          <w:p>
            <w:r>
              <w:t>Employees</w:t>
            </w:r>
          </w:p>
        </w:tc>
      </w:tr>
      <w:tr>
        <w:tc>
          <w:tcPr>
            <w:tcW w:type="dxa" w:w="1728"/>
          </w:tcPr>
          <w:p>
            <w:r>
              <w:t>2019</w:t>
            </w:r>
          </w:p>
        </w:tc>
        <w:tc>
          <w:tcPr>
            <w:tcW w:type="dxa" w:w="1728"/>
          </w:tcPr>
          <w:p>
            <w:r>
              <w:t>4.2</w:t>
            </w:r>
          </w:p>
        </w:tc>
        <w:tc>
          <w:tcPr>
            <w:tcW w:type="dxa" w:w="1728"/>
          </w:tcPr>
          <w:p>
            <w:r>
              <w:t>2.9</w:t>
            </w:r>
          </w:p>
        </w:tc>
        <w:tc>
          <w:tcPr>
            <w:tcW w:type="dxa" w:w="1728"/>
          </w:tcPr>
          <w:p>
            <w:r>
              <w:t>1.3</w:t>
            </w:r>
          </w:p>
        </w:tc>
        <w:tc>
          <w:tcPr>
            <w:tcW w:type="dxa" w:w="1728"/>
          </w:tcPr>
          <w:p>
            <w:r>
              <w:t>35</w:t>
            </w:r>
          </w:p>
        </w:tc>
      </w:tr>
      <w:tr>
        <w:tc>
          <w:tcPr>
            <w:tcW w:type="dxa" w:w="1728"/>
          </w:tcPr>
          <w:p>
            <w:r>
              <w:t>2020</w:t>
            </w:r>
          </w:p>
        </w:tc>
        <w:tc>
          <w:tcPr>
            <w:tcW w:type="dxa" w:w="1728"/>
          </w:tcPr>
          <w:p>
            <w:r>
              <w:t>5.8</w:t>
            </w:r>
          </w:p>
        </w:tc>
        <w:tc>
          <w:tcPr>
            <w:tcW w:type="dxa" w:w="1728"/>
          </w:tcPr>
          <w:p>
            <w:r>
              <w:t>3.7</w:t>
            </w:r>
          </w:p>
        </w:tc>
        <w:tc>
          <w:tcPr>
            <w:tcW w:type="dxa" w:w="1728"/>
          </w:tcPr>
          <w:p>
            <w:r>
              <w:t>2.1</w:t>
            </w:r>
          </w:p>
        </w:tc>
        <w:tc>
          <w:tcPr>
            <w:tcW w:type="dxa" w:w="1728"/>
          </w:tcPr>
          <w:p>
            <w:r>
              <w:t>48</w:t>
            </w:r>
          </w:p>
        </w:tc>
      </w:tr>
      <w:tr>
        <w:tc>
          <w:tcPr>
            <w:tcW w:type="dxa" w:w="1728"/>
          </w:tcPr>
          <w:p>
            <w:r>
              <w:t>2021</w:t>
            </w:r>
          </w:p>
        </w:tc>
        <w:tc>
          <w:tcPr>
            <w:tcW w:type="dxa" w:w="1728"/>
          </w:tcPr>
          <w:p>
            <w:r>
              <w:t>8.4</w:t>
            </w:r>
          </w:p>
        </w:tc>
        <w:tc>
          <w:tcPr>
            <w:tcW w:type="dxa" w:w="1728"/>
          </w:tcPr>
          <w:p>
            <w:r>
              <w:t>5.6</w:t>
            </w:r>
          </w:p>
        </w:tc>
        <w:tc>
          <w:tcPr>
            <w:tcW w:type="dxa" w:w="1728"/>
          </w:tcPr>
          <w:p>
            <w:r>
              <w:t>2.8</w:t>
            </w:r>
          </w:p>
        </w:tc>
        <w:tc>
          <w:tcPr>
            <w:tcW w:type="dxa" w:w="1728"/>
          </w:tcPr>
          <w:p>
            <w:r>
              <w:t>63</w:t>
            </w:r>
          </w:p>
        </w:tc>
      </w:tr>
      <w:tr>
        <w:tc>
          <w:tcPr>
            <w:tcW w:type="dxa" w:w="1728"/>
          </w:tcPr>
          <w:p>
            <w:r>
              <w:t>2022</w:t>
            </w:r>
          </w:p>
        </w:tc>
        <w:tc>
          <w:tcPr>
            <w:tcW w:type="dxa" w:w="1728"/>
          </w:tcPr>
          <w:p>
            <w:r>
              <w:t>12.1</w:t>
            </w:r>
          </w:p>
        </w:tc>
        <w:tc>
          <w:tcPr>
            <w:tcW w:type="dxa" w:w="1728"/>
          </w:tcPr>
          <w:p>
            <w:r>
              <w:t>7.8</w:t>
            </w:r>
          </w:p>
        </w:tc>
        <w:tc>
          <w:tcPr>
            <w:tcW w:type="dxa" w:w="1728"/>
          </w:tcPr>
          <w:p>
            <w:r>
              <w:t>4.3</w:t>
            </w:r>
          </w:p>
        </w:tc>
        <w:tc>
          <w:tcPr>
            <w:tcW w:type="dxa" w:w="1728"/>
          </w:tcPr>
          <w:p>
            <w:r>
              <w:t>90</w:t>
            </w:r>
          </w:p>
        </w:tc>
      </w:tr>
      <w:tr>
        <w:tc>
          <w:tcPr>
            <w:tcW w:type="dxa" w:w="1728"/>
          </w:tcPr>
          <w:p>
            <w:r>
              <w:t>2023</w:t>
            </w:r>
          </w:p>
        </w:tc>
        <w:tc>
          <w:tcPr>
            <w:tcW w:type="dxa" w:w="1728"/>
          </w:tcPr>
          <w:p>
            <w:r>
              <w:t>15.6</w:t>
            </w:r>
          </w:p>
        </w:tc>
        <w:tc>
          <w:tcPr>
            <w:tcW w:type="dxa" w:w="1728"/>
          </w:tcPr>
          <w:p>
            <w:r>
              <w:t>10.4</w:t>
            </w:r>
          </w:p>
        </w:tc>
        <w:tc>
          <w:tcPr>
            <w:tcW w:type="dxa" w:w="1728"/>
          </w:tcPr>
          <w:p>
            <w:r>
              <w:t>5.2</w:t>
            </w:r>
          </w:p>
        </w:tc>
        <w:tc>
          <w:tcPr>
            <w:tcW w:type="dxa" w:w="1728"/>
          </w:tcPr>
          <w:p>
            <w:r>
              <w:t>120</w:t>
            </w:r>
          </w:p>
        </w:tc>
      </w:tr>
      <w:tr>
        <w:tc>
          <w:tcPr>
            <w:tcW w:type="dxa" w:w="1728"/>
          </w:tcPr>
          <w:p>
            <w:r>
              <w:t>2024</w:t>
            </w:r>
          </w:p>
        </w:tc>
        <w:tc>
          <w:tcPr>
            <w:tcW w:type="dxa" w:w="1728"/>
          </w:tcPr>
          <w:p>
            <w:r>
              <w:t>18.9</w:t>
            </w:r>
          </w:p>
        </w:tc>
        <w:tc>
          <w:tcPr>
            <w:tcW w:type="dxa" w:w="1728"/>
          </w:tcPr>
          <w:p>
            <w:r>
              <w:t>12.7</w:t>
            </w:r>
          </w:p>
        </w:tc>
        <w:tc>
          <w:tcPr>
            <w:tcW w:type="dxa" w:w="1728"/>
          </w:tcPr>
          <w:p>
            <w:r>
              <w:t>6.2</w:t>
            </w:r>
          </w:p>
        </w:tc>
        <w:tc>
          <w:tcPr>
            <w:tcW w:type="dxa" w:w="1728"/>
          </w:tcPr>
          <w:p>
            <w:r>
              <w:t>140</w:t>
            </w:r>
          </w:p>
        </w:tc>
      </w:tr>
    </w:tbl>
    <w:p>
      <w:r>
        <w:t>Over the past six years, TechNova Solutions has experienced consistent revenue growth, driven by strong SaaS product adoption and expansion into new markets. Employee growth has also kept pace, increasing from 35 in 2019 to 140 in 2024.</w:t>
      </w:r>
    </w:p>
    <w:p>
      <w:pPr>
        <w:pStyle w:val="Heading2"/>
      </w:pPr>
      <w:r>
        <w:t>Key Insights</w:t>
      </w:r>
    </w:p>
    <w:p>
      <w:r>
        <w:t>• Average annual revenue growth: ~35%</w:t>
      </w:r>
    </w:p>
    <w:p>
      <w:r>
        <w:t>• Profit margin stable around 25–30%</w:t>
      </w:r>
    </w:p>
    <w:p>
      <w:r>
        <w:t>• Strongest revenue region: North America</w:t>
      </w:r>
    </w:p>
    <w:p>
      <w:r>
        <w:t>• Top-performing product: SaaS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