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INTERVIEW FAQ — PREPARED ANSWERS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17"/>
                <w:szCs w:val="17"/>
              </w:rPr>
              <w:t xml:space="preserve">Mohamed Amine Bayar, PhD  |  Biostatistics Consultant  |  Oncology &amp; Hematology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3C6E7"/>
                <w:sz w:val="15"/>
                <w:szCs w:val="15"/>
              </w:rPr>
              <w:t xml:space="preserve">Bullet-point scripts — ideas to hold in your head, not paragraphs to recite</w:t>
            </w:r>
          </w:p>
        </w:tc>
      </w:tr>
    </w:tbl>
    <w:p>
      <w:pPr>
        <w:spacing w:after="12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 &amp; BACKGROUND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Walk me through your CV / background.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PhD Paris-Saclay (biostatistics), 13+ years clinical trials — all in oncology/hematology.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Started at Gustave Roussy (6y9m): led 7 trials from Phase I to III, built ML prognostic models, co-invented patent, published 15+ papers.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Novartis (3y3m): lead stat for asciminib (Scemblix) Phase II (ASC4MORE) and pediatric bridging study (ASC4KIDS). Also a 6-month pharmacometrics secondment.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J&amp;J (3y2m): Principal Statistician across teclistamab, cilta-cel, and ramantamig programs. 10+ high-stakes analysis milestones; designed and ran EOP2 for first Phase III of a first-in-class trispecific (ramantamig vs teclistamab).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Now: independent consultant through BioSpark. Developing at the intersection of classical biostatistics and AI/ML.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is your core expertise?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Survival analysis, adaptive/group sequential designs, Bayesian dose-finding (BOIN, BLRM), estimand framework.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Deep oncology + hematology disease knowledge: multiple myeloma, CML, NSCLC, solid tumors.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Statistical programming: R (tidyverse, ggplot2, Shiny, OncoBayes2, rpact), SAS, Python.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Regulatory experience: FDA + EMA direct interactions; EOP2; PIP/iPSP pediatric plans; BLA/NDA contributions.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ML/AI applied to clinical and genomic data — patent on ML genomic signature in TNBC.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Why are you leaving J&amp;J / Why did you go independent?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J&amp;J contract ended March 2026 — the ramantamig Phase III (TRIlogy-5) design was complete and submitted to FDA/EMA.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 wanted to build something of my own: BioSpark — independent statistical consulting bridging rigorous biostatistics with emerging AI/ML methods.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Also: after 13 years in big pharma, I want to work across multiple compounds and disease areas simultaneously.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[Keep it positive — emphasise what you're building, not what you left]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Tell me about your PhD research.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Topic: long-term evaluation of Phase III trials in rare diseases with biomarker subtypes.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question: given limited sample sizes in rare diseases, what trial design strategy maximises long-term survival benefit across a series of trials?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Main finding: relaxing alpha to 10-20% can increase long-term benefit; group sequential adaptive designs with 3 arms outperform 2-arm designs.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Also developed CRM2DIM — a dual-agent Bayesian CRM SAS macro (CMPB 2019) — applied directly to CHIPASTIN ovarian cancer Phase I.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Mayo Clinic visiting scientist (Prof. Daniel Sargent): exposed me to global RCT methodology outside France.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&amp; METHODOLOGY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How does BOIN work and when did you use it?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Bayesian Optimal Interval design for Phase I dose-escalation (MTD finding).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Core idea: pre-specified decision table. If observed DLT rate falls in [0, lambda_e] → escalate; [lambda_d, 1] → de-escalate; in between → stay.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lambda_e and lambda_d are calculated once from target DLT rate (phi) before the trial starts — no real-time model fitting needed.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Advantages over 3+3: more flexible cohort sizes, better MTD accuracy. Simpler than BLRM: no Bayesian posterior updating required real-time.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FDA-endorsed in 2019 guidance on model-assisted designs.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Applied in TRIlogy-2: designed BOIN for ramantamig combination Phase 1b, 5 regimens, N=140.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is the difference between BOIN and BLRM?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BOIN: model-assisted. Decision table is fixed at design. Simple to implement and explain to clinical team.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BLRM: model-based. Fits a Bayesian logistic regression dose-toxicity curve, updated with each cohort. More flexible, more complex.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BLRM uses EWOC (Escalation With Overdose Control): ensures P(next dose &gt; MTD) stays &lt;= 25%.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 used BLRM in ASC4KIDS for safety monitoring (not primary dose selection — that was PK-driven).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For most practical Phase I oncology needs: BOIN is now preferred. BLRM adds value when dose-toxicity relationship is more complex or prior data is rich.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Explain group sequential designs and how you've used them.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Planned interim analyses with pre-specified stopping rules — controls overall Type I error via alpha-spending function.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Most common: O'Brien-Fleming (conservative at early looks), Lan-DeMets (flexible alpha-spending).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Can stop early for: efficacy (positive result), futility (unlikely to succeed), or harm monitoring.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 MARIPOSA-2: OS was monitored at an interim with O'Brien-Fleming boundary (alpha = 0.000197 for AC arm).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 TRIlogy-5: designed both efficacy and OS harm monitoring boundaries for the Phase III. Used rpact and gsDesign packages.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message: alpha-spending does NOT inflate the overall Type I error — it distributes it across looks.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is the ICH E9(R1) estimand framework?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 framework for precisely defining the treatment effect to be estimated, before design and analysis.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Five attributes: population, variable (endpoint), intercurrent event handling, summary measure.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Four strategies for intercurrent events: treatment policy (ignore IE, analyse as-treated); hypothetical (what if IE hadn't happened?); composite (IE = event); while-on-treatment (only while receiving treatment).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Why it matters: avoids ambiguity — ensures objective, design, analysis all address the SAME question.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Directly applied in regulatory submissions and SAPs at J&amp;J and Novartis.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Explain MRD negativity as a primary endpoint in myeloma.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MRD = minimal residual disease. Measures how deep the response is below the clinical CR threshold.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Standard threshold: 10 to the power -5 (1 malignant cell per 100,000 normal cells) by NGS or NGF.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Requires adequate bone marrow aspirate — if aspirate quality is insufficient, patient is evaluability-excluded.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statistical issue: denominator. ITT MRD neg rate vs evaluable MRD neg rate — must pre-specify in SAP.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Used as primary endpoint in CARTITUDE-2 (cohorts A/B/D) and MajesTEC-5.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Regulatory context: FDA Oncology Center of Excellence accepts MRD as primary in certain settings, but OS/PFS remains the gold standard for registration.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Describe your experience with regulatory interactions (FDA/EMA).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EOP2 (FDA Type B meeting) for TRIlogy-5: lead statistician. Prepared briefing book including Phase III design rationale, estimand, sample size, adaptive design document (event re-estimation). Aligned FDA on pivotal design before first patient.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EMA Scientific Advice for TRIlogy-5: parallel interaction — similar content, different format (written questions).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PIP (EMA) + iPSP (FDA) for ASC4KIDS: prepared statistical sections of both pediatric plan submissions. Joint EMA/FDA framework for pediatric oncology.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Written responses to health authority queries (FDA/EMA) on analysis methods and endpoints — MARIPOSA-2, TRIlogy-5.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learning: FDA cares about: estimand precision, Type I error control, adaptive design documentation. EMA adds emphasis on long-term follow-up and European patient populations.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STUDY-SPECIFIC QUESTIONS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Tell me about CARTITUDE-4 and your role.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III: cilta-cel (BCMA CAR-T) vs standard of care (PVd or DPd) in lenalidomide-refractory MM, 1-3 prior lines. N=419, 1:1.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Primary endpoint: PFS (BICR). PFS HR 0.26 — one of the strongest PFS effects seen in myeloma.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Updated OS (Lancet Oncol 2025): HR 0.55 (0.39-0.79), P=0.0009 — CAR-T showing survival benefit.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ODAC (March 2024): I contributed to the statistical package for ODAC preparation. 11-0 vote in favour.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ODAC complexity: early mortality signal (14% cilta-cel vs 12% SOC at 6 months). We prepared RMST analysis showing 4.7 months net gain offsetting early risk. Also: 2 CAR-T lymphoma cases (NEJMoa2309728).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My specific work: subgroup PFS forest plots, time-to-response KM plots, MRD-negative vs positive landmark analyses.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Tell me about TRIlogy-5 — the Phase III you designed.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Ramantamig (BCMA x GPRC5D x CD3 trispecific, first-in-class) vs teclistamab (BCMA bispecific, approved competitor). RRMM, &gt;=3 prior lines.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Why trispecific vs bispecific? Dual-target engagement (BCMA + GPRC5D) hypothesised to overcome resistance to BCMA-alone therapies.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N=700; dual primary endpoints: CR rate and PFS (BICR). Independent testing with graphical multiplicity.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design features: event re-estimation (adaptive), OS harm monitoring (early mortality precedent from cilta-cel).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Regulatory: direct FDA EOP2 + EMA Scientific Advice. Prepared briefing book, responded to queries, achieved alignment on design.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Not yet recruiting — start planned June 2026. I left J&amp;J March 2026 — handed off execution-ready.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Tell me about your work in the asciminib (Scemblix) program.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Scemblix: STAMP inhibitor targeting ABL myristoyl pocket — allosteric, complementary to ATP-competitive TKIs. First in class. FDA approved Nov 2021.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ASC4MORE: 4-arm Phase II (asciminib 40/60mg + imatinib vs continued imatinib vs nilotinib). Primary: MR4.5 rate at W48. Result: 19-29% vs 0% (imatinib). I was lead stat — full delivery (SAP, TFLs, CSR).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ASC4KIDS: pediatric CML-CP bridging. PK-driven dose selection + BLRM safety monitoring. PIP (EMA) + iPSP (FDA). I designed and submitted both regulatory documents.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PMX rotation (6 months): PKPD and tumor growth inhibition modeling using nlmixr. Insights fed directly into ASC4KIDS adult-to-pediatric PK extrapolation.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message: I own the full Scemblix clinical statistics story from adult Phase II through pediatric regulatory program.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Describe your ML patent and the TNBC genomic work.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Goal: build a prognostic genomic signature in Triple Negative Breast Cancer (TNBC) — one of the hardest subtypes to treat with few biomarkers.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Full pipeline: raw gene expression data → fRMA normalization (cross-platform) → merging multiple datasets → penalized regression (variable selection) → internal validation (cross-validation) → external validation (independent cohort).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Outcome: patent WO2018002385A1 (co-inventor). Published in Annals of Oncology (Criscitiello et al. 2018).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What makes it ML: penalized regression (Lasso-type) for variable selection in high-dimensional genomic space (10,000+ genes → signature genes). External validation on independent datasets.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message: I own the full pipeline — from raw biology to a validated clinical tool. Not just analysis, but engineering a reproducible, validated prediction model.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BEHAVIOURAL / LEADERSHIP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Describe a time you faced a complex statistical challenge and how you solved 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[Good answer: CARTITUDE-4 ODAC — early mortality signal]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Situation: CARTITUDE-4 primary PFS showed HR 0.26 (strong), but early mortality was 14% vs 12% — raising safety concerns for ODAC.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Challenge: conventional HR analysis showed early crossing of KM curves. FDA and clinical team concerned about net benefit.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Solution: proposed RMST (restricted mean survival time) analysis — captures net survival benefit over entire follow-up including early crossing. Result: 4.7 months net gain even accounting for early risk.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ODAC outcome: 11-0 vote in favour. CAR-T approved in this earlier line setting.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Key: I translated a regulatory/safety concern into a specific statistical question and provided the right method to answer it.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Tell me about a time you led a cross-functional team or managed stakeholders.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[Good answer: TRIlogy-5 Phase III design + EOP2]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Led statistical strategy for a pivotal Phase III from concept through FDA/EMA alignment.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Stakeholders: Clinical team (endpoint choice, feasibility), Regulatory affairs (FDA/EMA strategy), Data management (data collection plan), Biometrics leadership (governance), External consultants.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decision: dual primary endpoints (CR and PFS) — had to defend this choice to FDA who initially preferred single primary. Prepared statistical rationale demonstrating multiplicity control and power.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Result: FDA alignment at EOP2. Trial design locked and ready for first patient.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What I learned: regulatory alignment requires translating statistical complexity into clinical logic — the statistician must bridge both worlds.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Describe a situation where you had to simplify a complex statistical concept for non-statisticians.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[Good options: explaining BOIN to clinical team, or OS harm monitoring to oncologists]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BOIN decision table: instead of showing equations, showed a simple 3-zone traffic light (green = escalate, yellow = stay, red = de-escalate) with the actual DLT numbers per cohort size. Clinical team immediately understood.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OS harm monitoring in TRIlogy-5: explained as a surveillance rule — 'if mortality excess exceeds X% difference at any review, we flag and stop'. Put it in terms oncologists understand.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Key: always anchor statistics to the clinical question. The statistician who can do this earns trust with clinical colleagues and has more influence on study design.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is your greatest strength as a biostatistician?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Breadth: I can move from Bayesian dose-escalation design in the morning to regulatory submission strategy in the afternoon to ML genomic modeling — and speak credibly in each space.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Full lifecycle ownership: I have delivered from Phase I first-in-human through pivotal Phase III, regulatory submission, and ODAC preparation. I understand how early statistical decisions have downstream consequences.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Communication: I have presented complex statistical designs directly to FDA and EMA, written regulatory briefing documents, and explained methods to oncologists without a statistical background.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Independence: as lead statistician on multiple studies simultaneously, I have learned to manage ambiguity, set priorities, and deliver under pressure.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TRICKY &amp; PERSONAL QUESTIONS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Why did you leave J&amp;J to start BioSpark?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J&amp;J contract ended March 2026 — natural end point. The biggest deliverable (TRIlogy-5 Phase III design, EOP2) was complete and submitted.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The timing was right: 13+ years across GR, Novartis, and J&amp;J gave me enough depth to be credible independently.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BioSpark gives me variety: I can work across multiple companies and disease areas simultaneously, rather than being embedded in one franchise.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Entrepreneurial ambition: I want to build consulting at the intersection of classical biostatistics and AI/ML — harder to pursue inside a large pharma structure.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[Frame: running towards something, not away from something. Never sound like J&amp;J pushed you out.]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would your manager say about you if I reached out to them? Would they recommend you?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Yes — without hesitation. I can give you their contact directly.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They would say: takes full ownership of complex deliverables — you can hand him an EOP2 briefing book or a pivotal Phase III design and trust it will be done to regulatory standard, without chasing.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Technically very strong, credible in direct FDA/EMA interactions, reliable under pressure with multiple analysis milestones running in parallel.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One honest development area they might mention: I sometimes get heads-down in the technical work and could communicate upward more proactively on progress and blockers.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[Say this one yourself — showing a real development area builds more credibility than saying 'I work too hard'.]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Why were you not promoted to Director / Senior Principal at J&amp;J?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Be direct, don't be defensive: 'I was Principal Statistician for 3 years. Director promotion in pharma typically requires 3-4+ years at level and at least one full annual review cycle.'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 joined February 2023 and left March 2026 — the promotion timeline hadn't fully completed. The contract ended before the next cycle.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Remote, France-based: reduced day-to-day visibility compared to US/Belgium-based colleagues — that matters for internal advancement.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Honest add: once I had decided to build BioSpark, I focused on delivering the work (TRIlogy-5, EOP2) rather than internal positioning.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[Do not over-explain or apologise. State it cleanly and redirect to what you delivered. The interviewer respects honesty over excuses.]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4B5" w:sz="2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What is your hourly / day rate?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280"/>
              <w:bottom w:type="dxa" w:w="100"/>
              <w:right w:type="dxa" w:w="140"/>
            </w:tcMar>
          </w:tcPr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Don't anchor low and don't give a number immediately — frame the engagement first.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'My rate depends on the scope, duration, and type of engagement: short deliverable vs ongoing program statistician vs regulatory advisory.'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Market reference for senior oncology biostatistics consultants (Principal/Director level) in Western Europe: roughly 150-250 EUR/hour or 1,200-2,000 EUR/day. Regulatory advisory (EOP2, ODAC prep, Phase III design) commands the upper end.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'I would rather align on scope and value first — I am happy to discuss commercial terms once we understand what the engagement looks like.'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If pushed for a number: give the upper part of the range. You can always negotiate down; you cannot negotiate up.</w:t>
            </w:r>
          </w:p>
          <w:p>
            <w:pPr>
              <w:spacing w:after="30" w:before="30"/>
              <w:ind w:left="280" w:hanging="200"/>
            </w:pPr>
            <w:r>
              <w:rPr>
                <w:rFonts w:ascii="Arial" w:cs="Arial" w:eastAsia="Arial" w:hAnsi="Arial"/>
                <w:b/>
                <w:bCs/>
                <w:color w:val="2E74B5"/>
                <w:sz w:val="17"/>
                <w:szCs w:val="17"/>
              </w:rPr>
              <w:t xml:space="preserve">•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[Note: fill in your actual target rate here once decided. Never accept the first number offered without a counter.]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QUESTIONS — TO FILL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AAAAAA" w:sz="2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[QUESTION]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80"/>
              <w:right w:type="dxa" w:w="140"/>
            </w:tcMar>
          </w:tcPr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AAAAAA" w:sz="2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[QUESTION]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80"/>
              <w:right w:type="dxa" w:w="140"/>
            </w:tcMar>
          </w:tcPr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</w:tc>
      </w:tr>
    </w:tbl>
    <w:p>
      <w:pPr>
        <w:spacing w:after="8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AAAAAA" w:sz="2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Q: [QUESTION]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60"/>
              <w:left w:type="dxa" w:w="280"/>
              <w:bottom w:type="dxa" w:w="80"/>
              <w:right w:type="dxa" w:w="140"/>
            </w:tcMar>
          </w:tcPr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  <w:p>
            <w:pPr>
              <w:spacing w:after="20" w:before="20"/>
              <w:ind w:left="280" w:hanging="20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•  [TO FILL]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CONFIDENTIAL — FAQ Prepared Answers — Mohamed Amine Bayar, PhD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2026-04-30T12:45:11.974Z</dcterms:created>
  <dcterms:modified xsi:type="dcterms:W3CDTF">2026-04-30T12:45:11.975Z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