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BOIN — Bayesian Optimal Interval Design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D0D8E0"/>
                <w:sz w:val="16"/>
                <w:szCs w:val="16"/>
              </w:rPr>
              <w:t xml:space="preserve">Phase I dose-escalation · Model-assisted · FDA-endorsed 2019</w:t>
            </w:r>
          </w:p>
        </w:tc>
      </w:tr>
    </w:tbl>
    <w:p>
      <w:pPr>
        <w:spacing w:after="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THE MATH &amp; CORE MECHANISM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Boundaries derived by minimising expected loss under a Bayesian framework. Two critical values: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λ_e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(escalation) and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λ_d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(de-escalation) — both fixed before trial starts from φ, φ_1, φ_2.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λ_e = log[(1−φ_1)/(1−φ)] / log[φ(1−φ_1)/φ_1(1−φ)] — lower; λ_d = log[(1−φ)/(1−φ_2)] / log[φ_2(1−φ)/φ(1−φ_2)] — upper. Computed once at design; never updated in-trial.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Decision at each cohort: p̂ ≤ λ_e → escalate; p̂ ≥ λ_d → de-escalate; between → stay.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MTD selection (post-trial):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isotonic regression (PAVA algorithm) on all DLT data across dose levels — select dose whose isotonically-smoothed DLT rate is closest to φ.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PARAMETERS — KNOW COLD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Default target DLT rate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φ = 0.25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; defaults: φ_1 = 0.6φ = 0.15, φ_2 = 1.4φ = 0.35 (tuning parameters in BOIN R package).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Dose elimination rule: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Pr(true DLT rate &gt; φ | data) &gt; 0.95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— dose and all higher eliminated. Prevents escalating into toxicity.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Cohort size: default = 3; minimum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6 patients per dose level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before MTD selection is reliable.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Trial typically 30–60 patients; typical DLT window = Cycle 1 (21–28 days) — window definition critically affects evaluability.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REGULATORY ANGLE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Project Optimus (2023 draft)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encourages model-assisted designs over 3+3 for oncology dose optimisation; CDER reviewers expect explicit justification if 3+3 is used.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FDA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Complex Innovative Trial Designs (CID) Pilot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program guidance (2020): BOIN listed as acceptable model-assisted design — sponsors can request Type B CID meeting for BOIN trials.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Operating characteristics (OC) tables required: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% correct MTD selection, % patients treated at MTD, % overdosing across ≥1000 simulated trials under multiple true DLT scenarios.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SHARP DETAILS — WHAT SEPARATES EXPERTS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BOIN is model-assisted, not model-based: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decision table pre-computed at design; no real-time posterior updates. This is why it's accepted without MCMC implementation — decisions are auditable look-up rules.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Interviewer trap — "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Is BOIN Bayesian?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 → correct answer: boundaries derived from a Bayesian loss function minimisation, but real-time decisions are frequentist rule-based (no posterior update at each cohort).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PAVA (isotonic regression) MTD selection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step is frequently skipped or misapplied. Picking the dose with most patients treated ≠ MTD selection — this is wrong when observed DLT rates are non-monotone.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Know the variants: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BOIN vs BOIN-ET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(efficacy-toxicity co-primary)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vs BOIN12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(multiple toxicity grades) — stating the wrong variant in an interview is a major red flag.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R: `BOIN` package (Ying Yuan, CRAN) — `get.boundary()` generates the table; `select.mtd()` runs isotonic regression. Web tool: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trialdesign.org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(FDA-referenced).</w:t>
      </w:r>
    </w:p>
    <w:p>
      <w:pPr>
        <w:spacing w:after="30" w:before="0"/>
      </w:pPr>
    </w:p>
    <w:p>
      <w:pPr>
        <w:spacing w:after="10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4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BLRM / EWOC — Bayesian Logistic Regression Model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D0D8E0"/>
                <w:sz w:val="16"/>
                <w:szCs w:val="16"/>
              </w:rPr>
              <w:t xml:space="preserve">Phase I dose-finding · Model-based · Overdose control · Adult-to-pediatric bridging</w:t>
            </w:r>
          </w:p>
        </w:tc>
      </w:tr>
    </w:tbl>
    <w:p>
      <w:pPr>
        <w:spacing w:after="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F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THE MATH &amp; CORE MECHANISM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Dose-toxicity curve: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logit[Pr(DLT|d)] = log(α) + β·log(d/d*)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 α = DLT probability at reference dose d*. β &gt; 0 enforces monotonicity. d* = reference dose (typically geometric mean of dose range).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Prior on (log α, log β):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bivariate normal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, typically centred at (log 0.1, log 1). Prior effective sample size (ESS) set to 1–2 pseudo-observations — weakly informative to avoid constraining early escalation.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EWOC constraint: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Pr(Pr(DLT|d_next) &gt; TGDLT | current data) ≤ 0.25 — escalation allowed only if posterior probability of overdose is ≤ 25%. Computed via MCMC at each decision.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Posterior updated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with each cohort via MCMC (Stan/JAGS). MTD = posterior median dose satisfying Pr(DLT) = target (typically 0.33 for monotherapy in oncology).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F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PARAMETERS — KNOW COLD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TGDLT: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0.33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for single-agent cytotoxics;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0.25 or 0.16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for combinations with overlapping toxicities — the most design-sensitive parameter.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EWOC feasibility bound: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0.25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(default) — probability of true DLT exceeding target at next dose must stay below 25%.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Elimination threshold: Pr(DLT rate &gt; TGDLT + 0.10 | data) &gt;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0.95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→ dose eliminated (Neuenschwander et al. 2008 parameterisation).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Prior ESS: target 1–2 pseudo-obs. Too informative (ESS &gt;5) = prior dominates early decisions. Too vague = posterior instability.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F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REGULATORY ANGLE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Neuenschwander, Branson &amp; Gsponer (2008, Statistics in Medicine)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— foundational reference; FDA reviewers specifically ask for this citation when BLRM is in the design.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EMA OWP 2017 reflection paper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on early-phase dose-finding: pre-specified priors required; prior sensitivity analyses mandatory; OC tables needed (same as BOIN).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In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PIP (EMA) and iPSP (FDA)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pediatric oncology programs: BLRM used for safety monitoring when full efficacy extrapolation from adults is accepted — as in ASC4KIDS. Prior calibrated from adult data.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F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SHARP DETAILS — WHAT SEPARATES EXPERTS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Identifiability issue with small samples: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with &lt;6 DLT events, the β (slope) parameter is barely identified — posterior driven almost entirely by the prior. Prior sensitivity analysis is non-negotiable, not optional.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2D BLRM for combinations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adds interaction: logit[Pr(DLT|d1,d2)] = log(α) + β1·log(d1/d1*) + β2·log(d2/d2*) +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γ·log(d1/d1*)·log(d2/d2*)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 γ &gt; 0 signals synergistic toxicity. Relevant for combination Phase I.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Reference dose d* trap: setting d* to the starting dose when early dose levels are skipped causes numerical instability in the log transform.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Best practice: geometric mean of the dose range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R packages: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OncoBayes2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(Novartis open-source, Stan-based, most current industry standard);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RBesT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for prior elicitation and ESS calculation; `PROC MCMC` in SAS for custom implementations.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Interviewer: "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Why EWOC over CRM?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 → EWOC has an explicit pre-specified overdose constraint interpretable to clinical teams and regulators. CRM optimises MTD accuracy but lacks the transparent guardrail.</w:t>
      </w:r>
    </w:p>
    <w:p>
      <w:pPr>
        <w:spacing w:after="30" w:before="0"/>
      </w:pPr>
    </w:p>
    <w:p>
      <w:pPr>
        <w:spacing w:after="10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Group Sequential Designs (GSD) — Interim Analyses with α-Spending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D0D8E0"/>
                <w:sz w:val="16"/>
                <w:szCs w:val="16"/>
              </w:rPr>
              <w:t xml:space="preserve">Phase II/III · Efficacy / futility / harm monitoring · Type I error control</w:t>
            </w:r>
          </w:p>
        </w:tc>
      </w:tr>
    </w:tbl>
    <w:p>
      <w:pPr>
        <w:spacing w:after="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2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THE MATH &amp; CORE MECHANISM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Test statistic at look k: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Z_k = B(t_k)/√(t_k)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; t_k = information fraction (events_k / planned events for TTE). Consecutive Z_k are correlated: Cov(Z_j, Z_k) = √(t_j / t_k) for j &lt; k.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α-spending function f(t)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: O'Brien-Fleming: f(t) = 2[1 − Φ(z_α/2 / √t)] — very conservative early. Pocock: f(t) = α·log(1 + (e−1)·t) — flat (same critical value each look). Lan-DeMets: flexible OBF-type approximation.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Boundary c_k derived so that incremental α spent at look k = f(t_k) − f(t_{k-1}), computed via numerical integration of the multivariate normal (Genz algorithm).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Futility: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conditional power (CP) = Φ(−z_α + [D−d_k]·|θ̂| / [2√(D−d_k)]). CP &lt; 20% under alternative = standard futility trigger. Binding futility = MUST stop; non-binding = may continue.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2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PARAMETERS — KNOW COLD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OBF 3-look boundaries (equal spacing, 2-sided α=0.05):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~4.33 / 3.20 / 2.24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 Pocock 3-look: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~2.36 / 2.36 / 2.36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 Memorise the OBF values — interviewers test these.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MARIPOSA-2 OS interim (OBF): α spent =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0.000197 for AC arm; 0.000138 for ALC arm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— extremely conservative first look, as expected with early immature OS data.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Futility CP threshold: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&lt; 20%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under the alternative (standard convention); &lt; 10% = near-certain futility; &gt; 80% = trial on track, no event re-estimation needed.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Information fraction =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events-based, not calendar-time-based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for TTE trials (FDA preference): each event = one unit of statistical information.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2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REGULATORY ANGLE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Adaptive Designs guidance (2019, final):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all interim analyses pre-specified in SAP before any unblinding; post-hoc changes require documented Type I error re-analysis — this is a major finding category in FDA review.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ICH E9 (1998) + ICH E9(R1) (2019):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all looks — including DMC-only safety reviews — must be declared. Undeclared DMC looks do not consume α but must be documented in the protocol.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EMA CHMP adaptive design guideline (2007, 2018 reflection):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binding futility must be reflected in tighter efficacy boundaries; non-binding futility acceptable with unambiguous DMC stopping rules.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2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SHARP DETAILS — WHAT SEPARATES EXPERTS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OBF preserves alpha for the final analysis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(early boundary ~4.33σ) — default choice for most Phase III oncology because it allows early stopping only for overwhelming efficacy evidence, not borderline results.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Critical distinction: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non-binding futility — trial CAN continue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past the futility boundary (clinical/operational reasons) and Type I error is still controlled.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Binding futility — MUST stop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and efficacy boundaries are tighter.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Common mistake: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a DMC safety review using blinded pooled data does NOT consume α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 Only unblinded, treatment-specific efficacy looks require α-spending. Confusing these two inflates stated power.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R: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rpact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(most complete, supports all spending functions, conditional power, adaptive re-estimation);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gsDesign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(industry-standard, Merck-developed). SAS: PROC SEQDESIGN / PROC SEQTEST (9.4+).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Interviewer trap: "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What happens if you take an unplanned interim?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 → Type I error inflation. Remedy requires Müller-Schäfer conditional error approach or accepting the α hit. This is a major protocol deviation.</w:t>
      </w:r>
    </w:p>
    <w:p>
      <w:pPr>
        <w:spacing w:after="30" w:before="0"/>
      </w:pPr>
    </w:p>
    <w:p>
      <w:pPr>
        <w:spacing w:after="10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Event Re-estimation — Adaptive Adjustment of Target Events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D0D8E0"/>
                <w:sz w:val="16"/>
                <w:szCs w:val="16"/>
              </w:rPr>
              <w:t xml:space="preserve">Adaptive design for TTE trials · Blinded vs unblinded · Type I error preservation</w:t>
            </w:r>
          </w:p>
        </w:tc>
      </w:tr>
    </w:tbl>
    <w:p>
      <w:pPr>
        <w:spacing w:after="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THE MATH &amp; CORE MECHANISM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Schoenfeld (1981) formula — memorise: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D = 4(z_α/2 + z_β)² / [log(HR)]². Assumes proportional hazards and 1:1 randomisation. Backbone of all event calculations in TTE oncology trials.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Blinded re-estimation: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uses only the pooled observed event rate and/or accrual rate — no treatment-group unblinding. Type I error preserved by construction (Shih 1992). Corrects event rate / accrual assumptions only; cannot correct a wrong HR assumption.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Unblinded re-estimation: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uses observed treatment-specific HR to update target events via conditional power. Requires DMC firewall (operational blind for sponsor).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Cui-Hung-Wang (1999)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method: no α penalty if adaptation is within pre-specified D_max.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Conditional power for unblinded decision: CP = Φ(−z_α + (D_planned − d_interim) · |θ̂| / [2√(D_planned − d_interim)]). Promising zone (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Mehta &amp; Pocock 2011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): increase events when 30% ≤ CP ≤ 80%.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PARAMETERS — KNOW COLD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D_max cap: typically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1.5 × D_original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 Exceeding this cap without additional α penalty requires the Müller-Schäfer conditional error framework.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Promising zone: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30% ≤ CP ≤ 80%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→ increase events. CP &lt; 30% → futility stop. CP &gt; 80% → trial on track, no change needed.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Schoenfeld formula assumptions: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PH + 1:1 randomisation + large sample. Fails under NPH (crossing KM curves) and unequal allocation — know when to switch to simulation.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α penalty from unblinded look: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Posch et al. (2003)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showed inflation up to 0.005 with naive re-estimation. Cui-Hung-Wang method avoids this within pre-specified D_max.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REGULATORY ANGLE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Adaptive Designs 2019: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unblinded re-estimation with independent DMC firewall is acceptable without Type I error penalty, provided adaptation rule fully pre-specified and operational blind maintained for sponsor.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EMA stance: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blinded re-estimation preferred over unblinded; unblinded requires simulation-based Type I error confirmation. Stronger prior scrutiny than FDA.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Estimand impact: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if re-estimation substantially changes trial duration, the censoring mechanism changes — must address in SAP. Event re-estimation ≠ sample size re-estimation (the latter is secondary in TTE trials).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SHARP DETAILS — WHAT SEPARATES EXPERTS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Blinded vs unblinded: blinded corrects event rate / accrual only.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If the original HR assumption was wrong (e.g., assumed 0.75, actual ~0.85), blinded re-estimation cannot recover power. Only unblinded via DMC can correct this.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Common mistake: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re-estimating events using the mid-trial observed HR without DMC firewall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= effectively unblinded re-estimation = Type I error inflation, regardless of stated intent.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Non-proportional hazards (NPH) breaks Schoenfeld: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with MaxCombo / modestly-weighted log-rank, power depends on the weight function applied to the accruing event stream — simulation required. `gsDesign2` package handles NPH settings.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R: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rpact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(adaptive event re-estimation, `getDesignSurvival()` with adaptive options);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gsDesign2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for NPH. SAS: no native PROC — custom macros required for unblinded re-estimation.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Interviewer: "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Can you increase events after seeing the HR?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 → only if fully pre-specified, via DMC firewall, using conditional error method. If the sponsor saw unblinded data without a firewall, trial credibility is destroyed regardless of methodology.</w:t>
      </w:r>
    </w:p>
    <w:p>
      <w:pPr>
        <w:spacing w:after="30" w:before="0"/>
      </w:pPr>
    </w:p>
    <w:p>
      <w:pPr>
        <w:spacing w:after="10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ICH E9(R1) — Estimand Framework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D0D8E0"/>
                <w:sz w:val="16"/>
                <w:szCs w:val="16"/>
              </w:rPr>
              <w:t xml:space="preserve">Defines what is estimated · Finalised Nov 2019 · FDA effective ~2021 · EMA required in MAAs from 2022</w:t>
            </w:r>
          </w:p>
        </w:tc>
      </w:tr>
    </w:tbl>
    <w:p>
      <w:pPr>
        <w:spacing w:after="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6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THE MATH &amp; CORE MECHANISM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5 attributes: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Treatment | Population | Variable (endpoint) | Intercurrent event strategy | Population-level summary measure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. All five must be specified before the estimand is complete.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5 intercurrent event (ICE) strategies: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(1) Treatment policy: use all data regardless of ICE. (2) Hypothetical: what if ICE had not occurred? (3) Composite: ICE = bad outcome incorporated into endpoint. (4) While-on-treatment: data after ICE censored. (5) Principal stratum: restrict to subpopulation unaffected by ICE.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Estimand → Estimator mapping: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treatment policy → ITT analysis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; hypothetical → reference-based MI (J2R, CR, CIR); composite → responder analysis; while-on-treatment → censored at discontinuation.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Sensitivity analyses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must vary the ICE strategy, not just the imputation model. E.g., if primary = treatment policy, a hypothetical sensitivity shows effect absent treatment switching.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6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PARAMETERS — KNOW COLD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E9(R1) finalised Nov 2019.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FDA effective in oncology trials ~2021. EMA required estimand section in all new MAAs from 2022 (CTD Module 2.5 and Section 5).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Reference-based MI for hypothetical strategy: R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rbmi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package; SAS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%refbasedmi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(Roger &amp; Kenward macro). Methods: J2R (jump to reference), CR (copy reference), CIR (copy increments from reference).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TTE impact: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treatment policy vs while-on-treatment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can produce materially different HRs — the direction of difference depends on whether post-discontinuation data favours treatment or control. Know your trial.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Principal stratum ≠ per-protocol: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PS is counterfactual (patients who would not experience ICE regardless of arm); PP excludes observed protocol deviators. Fundamentally different estimands with different bias profiles.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6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REGULATORY ANGLE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CDER oncology reviewers: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"What is your primary estimand and how does it map to your primary analysis?" is now a standard SAP review question. A SAP without an estimand statement is considered incomplete.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FDA 2023 draft PRO guidance for cancer trials: ICE strategy for treatment discontinuation must be explicitly specified as a separate estimand consideration — extends E9(R1) to PRO endpoints.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EMA EMA/CHMP/EWP/2459/02 Rev. 2 (2021 update):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estimand required in the clinical overview. Missing estimand = deficiency letter during validation of the dossier.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6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SHARP DETAILS — WHAT SEPARATES EXPERTS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Treatment policy ≠ 'ignore missing data'.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Data collection must CONTINUE after ICE (e.g., after treatment switch). Missing data is a separate problem from the ICE strategy. Conflating these two is a common interview error.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The estimand framework exposes what practitioners already implicitly assumed.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 The ICH E9(R1) addendum is not a new statistical method — it is disciplined transparency. Interviewers probe whether you understand this.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Composite strategy in myeloma: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MRD neg + PFS composite, or EFS where death/progression before MRD = treatment failure. Avoids counterfactual modeling entirely — the cleanest estimand for regulatory submissions.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Cox HR approximates the treatment policy estimand under PH.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Under NPH (delayed effect, crossing curves), Cox HR approximates neither treatment policy nor any other clean estimand — this is why MaxCombo tests and RMST are increasingly used.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Common trap: "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silence on a question = agreement.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 Wrong. FDA silence at review = did not object at this stage, not affirmative agreement. Document this distinction in meeting minutes and the SAP.</w:t>
      </w:r>
    </w:p>
    <w:p>
      <w:pPr>
        <w:spacing w:after="30" w:before="0"/>
      </w:pPr>
    </w:p>
    <w:p>
      <w:pPr>
        <w:spacing w:after="10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1E1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MRD Negativity — Minimal Residual Disease Endpoint (Multiple Myeloma)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D0D8E0"/>
                <w:sz w:val="16"/>
                <w:szCs w:val="16"/>
              </w:rPr>
              <w:t xml:space="preserve">Binary endpoint · 10⁻⁵ / 10⁻⁶ threshold · NGS / NGF assays · Evaluability denominator critical</w:t>
            </w:r>
          </w:p>
        </w:tc>
      </w:tr>
    </w:tbl>
    <w:p>
      <w:pPr>
        <w:spacing w:after="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THE MATH &amp; CORE MECHANISM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MRD threshold: 10⁻⁵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(1 myeloma cell per 100,000 marrow cells) = regulatory minimum;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10⁻⁶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(1 per million) = preferred for deep response claims and BLA submissions.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NGS — clonoSEQ (Adaptive Biotechnologies):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sequences patient-specific VDJ immunoglobulin rearrangement from diagnosis biopsy; tracks clonotype at follow-up BMA; maps variant allele frequency to absolute clone count per cells sequenced.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NGF — EuroFlow protocol: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8-colour flow cytometry; ≥5 million cells evaluated; aberrant plasma cells identified by immunophenotypic deviation: CD38+/CD138+/CD45−/CD19−/CD56+/−. Minimum 2 million cells for evaluability.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Sustained MRD negativity (IMWG 2016):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two consecutive MRD-negative assessments ≥12 months apart — more stringent endpoint, increasingly used in confirmatory trials as it mitigates transient MRD negativity.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PARAMETERS — KNOW COLD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clonoSEQ: FDA-cleared IVD since 2018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at 10⁻⁶ for MM and ALL. Lab-developed tests (LDTs) are NOT regulatory-grade for a primary endpoint in a BLA/NDA without extensive analytical validation.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IMWG 2016 response criteria: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NGS or NGF at 10⁻⁵ required for 'MRD-negative CR' designation. This is the cross-trial comparability standard.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Evaluability rate: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typically 70–85% in practice. Main reasons for non-evaluability: inadequate marrow volume, hemodilution (&lt; 20% plasma cells in differential → false negative risk).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Statistical analysis: typically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exact binomial (Clopper-Pearson) 95% CI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, or Wilson CI; CMH test or logistic regression for controlled settings. Rarely hypothesis-tested as primary in Phase II (descriptive).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REGULATORY ANGLE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2020 draft guidance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'Hematologic Malignancies: Regulatory Considerations for Use of MRD': MRD accepted as primary endpoint for accelerated approval in MM. Full approval still requires PFS/OS data.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Analytical validation required in BLA: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sensitivity, specificity, LOD, LOQ, reproducibility. clonoSEQ has a pre-existing FDA clearance letter — sponsors cross-reference it; other assays need full validation package.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EMA CHMP Scientific Advice: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consistently requires surrogacy validation of MRD vs PFS/OS in the specific treatment line and patient population (trial-level correlation, Labopin et al. framework). More conservative than FDA.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SHARP DETAILS — WHAT SEPARATES EXPERTS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Hemodilution is the most under-discussed confounder: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a poorly-aspirated BMA (&lt; 20% plasma cells in differential) dilutes myeloma cells with peripheral blood, causing false MRD negativity. IMWG requires reporting hemodiluted samples as non-evaluable.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Immortal time bias: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using MRD status assessed at 'best response' (variable time) without a fixed landmark is a fundamental statistical error. Correct approach: define a fixed landmark time point (e.g., Cycle 6 Day 1) prospectively in the SAP.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Estimand for MRD: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patients who die or progress before BMA assessment are a major ICE. Composite strategy (death/progression before assessment = MRD positive) is the most defensible. Treatment policy requires explicit SAP language on handling early deaths.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MRD conversion (negative → positive)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has prognostic signal but is NOT validated as a surrogate for retreatment decisions — do not conflate MRD kinetics with the binary threshold endpoint.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Phase III confirmatory: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surrogacy of MRD for PFS/OS not yet established across treatment lines.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Primary MRD endpoint = accelerated approval tool only for now. This is the most actively contested regulatory question in myeloma biostatistics.</w:t>
      </w:r>
    </w:p>
    <w:p>
      <w:pPr>
        <w:spacing w:after="30" w:before="0"/>
      </w:pPr>
    </w:p>
    <w:p>
      <w:pPr>
        <w:spacing w:after="10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EOP2 — FDA End-of-Phase 2 Meeting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D0D8E0"/>
                <w:sz w:val="16"/>
                <w:szCs w:val="16"/>
              </w:rPr>
              <w:t xml:space="preserve">Type B meeting · Phase III design alignment · Not legally binding but creates regulatory expectation</w:t>
            </w:r>
          </w:p>
        </w:tc>
      </w:tr>
    </w:tbl>
    <w:p>
      <w:pPr>
        <w:spacing w:after="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D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THE MATH &amp; CORE MECHANISM (PROCESS)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Type B meeting (PDUFA VII, 2023–2027):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FDA target = 30 calendar days for written-only response; or meeting within 70 calendar days of BP receipt. Timeline resets if background package (BP) is deficient.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Meeting request submitted as IND amendment.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BP must be received ≥30 days before the meeting date. Recommended length &lt; 50 pages (excluding appendices) — over-long BPs receive incomplete responses.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Specific, answerable questions only: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each question should be structured as 'Does FDA agree that [specific design element] is acceptable?' Open-ended questions receive correspondingly vague answers.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SPA (21 CFR 312.82(e)):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Special Protocol Assessment — a separate, binding FDA commitment on Phase III protocol design, endpoints, and analysis plan. Must be requested explicitly; separate submission from EOP2 minutes.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D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PARAMETERS — KNOW COLD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PDUFA VII timelines: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30 days (written)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70 days (meeting)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from BP receipt. Meeting date ≠ response date — FDA may respond in writing before the meeting.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minutes issued within 30 days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of the meeting — these are the regulatory record. Discrepancies between sponsor notes and FDA minutes → follow up with a meeting minute reconciliation letter within 30 days.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SPA vs EOP2: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EOP2 minutes = non-binding ('FDA did not object'). SPA = binding FDA written agreement letter under 21 CFR 312.82(e). Confusing them is a material risk — sponsors have proceeded to Phase III believing they had binding agreement when they did not.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No EOP2 ≠ blocked: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FDA does not mandate EOP2, but skipping it is a known risk factor for design disagreement at NDA/BLA review, which almost certainly triggers an Advisory Committee.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D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REGULATORY ANGLE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21 CFR 312.47(b):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codifies EOP2 as the opportunity to discuss Phase III design, endpoints, and safety concerns before pivotal study initiation.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'Formal Meetings' guidance (2009, updated 2017):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defines meeting types (A/B/C), timelines, BP requirements, and meeting conduct. The operative document for EOP2 preparation.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Project Optimus (2023):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EOP2 equivalent for oncology is the 'Type B Dose-Optimisation Meeting' — sponsor must include RP2D justification package (not just Phase I summary) in the BP.</w:t>
      </w:r>
    </w:p>
    <w:p>
      <w:pPr>
        <w:spacing w:after="30" w:before="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D8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SHARP DETAILS — WHAT SEPARATES EXPERTS</w:t>
            </w:r>
          </w:p>
        </w:tc>
      </w:tr>
    </w:tbl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Statistical questions that actually matter at EOP2: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(1) primary endpoint agreement (OS vs PFS vs EFS), (2) alpha + number of planned interims, (3) stratification factors for randomisation AND primary analysis, (4) multiplicity strategy for co-primary or key secondary endpoints. Get explicit FDA agreement on all four.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'FDA silence ≠ agreement':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FDA silence on a question in the written response = 'did not object at this stage.' Document this explicitly in the BP cover letter and revisit in the meeting.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BP must include near-final statistical content: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estimand, sample size derivation with full assumptions (HR, event rate, dropout, median PFS), alpha-spending function. A vague protocol synopsis yields a vague FDA answer — then at NDA review, FDA says 'we never agreed to this.'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/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Unresolved EOP2 disagreement: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 if FDA objects to the Phase III design and the sponsor proceeds anyway, FDA raises it at NDA/BLA review. This is not a filing bar but is the primary trigger for an Advisory Committee — ODAC, ODAC, ODAC.</w:t>
      </w:r>
    </w:p>
    <w:p>
      <w:pPr>
        <w:spacing w:after="30" w:before="30"/>
        <w:ind w:left="340" w:hanging="220"/>
      </w:pPr>
      <w:r>
        <w:rPr>
          <w:rFonts w:ascii="Arial" w:cs="Arial" w:eastAsia="Arial" w:hAnsi="Arial"/>
          <w:b/>
          <w:bCs/>
          <w:color w:val="2E75B5"/>
          <w:sz w:val="16"/>
          <w:szCs w:val="16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Interviewer: "</w:t>
      </w: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FDA said in EOP2 minutes 'the proposed endpoint appears acceptable' — is that an SPA?</w:t>
      </w: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" → NO. 'Appears acceptable' = not objected to at this stage. SPA requires a formal separate process under 21 CFR 312.82, an explicit written agreement letter, and a 45-day FDA review clock.</w:t>
      </w:r>
    </w:p>
    <w:p>
      <w:pPr>
        <w:spacing w:after="30" w:before="0"/>
      </w:pPr>
    </w:p>
    <w:p>
      <w:pPr>
        <w:spacing w:after="100" w:before="0"/>
      </w:pPr>
    </w:p>
    <w:sectPr>
      <w:headerReference w:type="default" r:id="rId7"/>
      <w:footerReference w:type="default" r:id="rId8"/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CONFIDENTIAL — Statistical Methods Deep-Dive — Mohamed Amine Bayar, PhD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2026-05-06T10:38:20.834Z</dcterms:created>
  <dcterms:modified xsi:type="dcterms:W3CDTF">2026-05-06T10:38:20.834Z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