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7C" w:rsidRPr="0043607C" w:rsidRDefault="0043607C" w:rsidP="001C4CA7">
      <w:pPr>
        <w:spacing w:after="0" w:line="240" w:lineRule="auto"/>
        <w:rPr>
          <w:rFonts w:ascii="Times New Roman" w:eastAsia="Times New Roman" w:hAnsi="Times New Roman" w:cs="Times New Roman"/>
          <w:sz w:val="18"/>
          <w:szCs w:val="24"/>
        </w:rPr>
      </w:pPr>
      <w:bookmarkStart w:id="0" w:name="_GoBack"/>
      <w:bookmarkEnd w:id="0"/>
      <w:r w:rsidRPr="0043607C">
        <w:rPr>
          <w:rFonts w:ascii="Times New Roman" w:eastAsia="Times New Roman" w:hAnsi="Times New Roman" w:cs="Times New Roman"/>
          <w:b/>
          <w:bCs/>
          <w:color w:val="000000"/>
          <w:kern w:val="36"/>
          <w:sz w:val="36"/>
          <w:szCs w:val="48"/>
        </w:rPr>
        <w:t>Infix, Postfix and Prefix</w:t>
      </w:r>
    </w:p>
    <w:p w:rsidR="0043607C" w:rsidRPr="0043607C" w:rsidRDefault="0043607C" w:rsidP="0043607C">
      <w:pPr>
        <w:spacing w:after="0"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Infix, Postfix and Prefix notations are three different but equivalent ways of writing expressions. It is easiest to demonstrate the differences by looking at examples of operators that take two operands.</w:t>
      </w:r>
    </w:p>
    <w:p w:rsidR="0043607C" w:rsidRPr="0043607C" w:rsidRDefault="0043607C" w:rsidP="0043607C">
      <w:pPr>
        <w:spacing w:after="0"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Infix notation: X + Y</w:t>
      </w:r>
    </w:p>
    <w:p w:rsidR="0043607C" w:rsidRPr="0043607C" w:rsidRDefault="0043607C" w:rsidP="0043607C">
      <w:pPr>
        <w:spacing w:after="0" w:line="240" w:lineRule="auto"/>
        <w:ind w:left="720"/>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Operators are written in-between their operands. This is the usual way we write expressions. An expression such as</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A * </w:t>
      </w:r>
      <w:proofErr w:type="gramStart"/>
      <w:r w:rsidRPr="001C4CA7">
        <w:rPr>
          <w:rFonts w:ascii="Courier New" w:eastAsia="Times New Roman" w:hAnsi="Courier New" w:cs="Courier New"/>
          <w:color w:val="000000"/>
          <w:sz w:val="14"/>
          <w:szCs w:val="20"/>
        </w:rPr>
        <w:t>( B</w:t>
      </w:r>
      <w:proofErr w:type="gramEnd"/>
      <w:r w:rsidRPr="001C4CA7">
        <w:rPr>
          <w:rFonts w:ascii="Courier New" w:eastAsia="Times New Roman" w:hAnsi="Courier New" w:cs="Courier New"/>
          <w:color w:val="000000"/>
          <w:sz w:val="14"/>
          <w:szCs w:val="20"/>
        </w:rPr>
        <w:t> + C ) / D</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is usually taken to mean something like: "First add B and C together, then multiply the result by A, then divide by D to give the final answer."</w:t>
      </w:r>
    </w:p>
    <w:p w:rsidR="0043607C" w:rsidRPr="0043607C" w:rsidRDefault="0043607C" w:rsidP="0043607C">
      <w:pPr>
        <w:spacing w:before="100" w:beforeAutospacing="1" w:after="100" w:afterAutospacing="1" w:line="240" w:lineRule="auto"/>
        <w:ind w:left="720"/>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Infix notation needs extra information to make the order of evaluation of the operators clear: rules built into the language about operator precedence and associativity, and brackets</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to allow users to override these rules. For example, the usual rules for associativity say that we perform operations from left to right, so the multiplication by A is assumed to come before the division by D. Similarly, the usual rules for precedence say that we perform multiplication and division before we perform addition and subtraction. (</w:t>
      </w:r>
      <w:proofErr w:type="gramStart"/>
      <w:r w:rsidRPr="0043607C">
        <w:rPr>
          <w:rFonts w:ascii="Times New Roman" w:eastAsia="Times New Roman" w:hAnsi="Times New Roman" w:cs="Times New Roman"/>
          <w:color w:val="000000"/>
          <w:sz w:val="20"/>
          <w:szCs w:val="27"/>
        </w:rPr>
        <w:t>see</w:t>
      </w:r>
      <w:proofErr w:type="gramEnd"/>
      <w:r w:rsidRPr="001C4CA7">
        <w:rPr>
          <w:rFonts w:ascii="Times New Roman" w:eastAsia="Times New Roman" w:hAnsi="Times New Roman" w:cs="Times New Roman"/>
          <w:color w:val="000000"/>
          <w:sz w:val="20"/>
          <w:szCs w:val="27"/>
        </w:rPr>
        <w:t> </w:t>
      </w:r>
      <w:hyperlink r:id="rId4" w:anchor="SECTION00031000000000000000" w:history="1">
        <w:r w:rsidRPr="001C4CA7">
          <w:rPr>
            <w:rFonts w:ascii="Times New Roman" w:eastAsia="Times New Roman" w:hAnsi="Times New Roman" w:cs="Times New Roman"/>
            <w:color w:val="0000FF"/>
            <w:sz w:val="20"/>
            <w:szCs w:val="27"/>
            <w:u w:val="single"/>
          </w:rPr>
          <w:t>CS2121 lecture</w:t>
        </w:r>
      </w:hyperlink>
      <w:r w:rsidRPr="0043607C">
        <w:rPr>
          <w:rFonts w:ascii="Times New Roman" w:eastAsia="Times New Roman" w:hAnsi="Times New Roman" w:cs="Times New Roman"/>
          <w:color w:val="000000"/>
          <w:sz w:val="20"/>
          <w:szCs w:val="27"/>
        </w:rPr>
        <w:t>).</w:t>
      </w:r>
    </w:p>
    <w:p w:rsidR="0043607C" w:rsidRPr="0043607C" w:rsidRDefault="0043607C" w:rsidP="0043607C">
      <w:pPr>
        <w:spacing w:after="0"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Postfix notation (also known as "Reverse Polish notation"): X Y +</w:t>
      </w:r>
    </w:p>
    <w:p w:rsidR="0043607C" w:rsidRPr="0043607C" w:rsidRDefault="0043607C" w:rsidP="0043607C">
      <w:pPr>
        <w:spacing w:after="0" w:line="240" w:lineRule="auto"/>
        <w:ind w:left="720"/>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Operators are written after their operands. The infix expression given above is equivalent to</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A B C + * D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t>The order of evaluation of operators is always left-to-right, and brackets cannot be used to change this order. Because the "+" is to the left of the "*" in the example above, the addition must be performed before the multiplication.</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t>Operators act on values immediately to the left of them. For example, the "+" above uses the "B" and "C". We can add (totally unnecessary) brackets to make this explicit:</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r>
      <w:proofErr w:type="gramStart"/>
      <w:r w:rsidRPr="001C4CA7">
        <w:rPr>
          <w:rFonts w:ascii="Courier New" w:eastAsia="Times New Roman" w:hAnsi="Courier New" w:cs="Courier New"/>
          <w:color w:val="000000"/>
          <w:sz w:val="14"/>
          <w:szCs w:val="20"/>
        </w:rPr>
        <w:t>( (</w:t>
      </w:r>
      <w:proofErr w:type="gramEnd"/>
      <w:r w:rsidRPr="001C4CA7">
        <w:rPr>
          <w:rFonts w:ascii="Courier New" w:eastAsia="Times New Roman" w:hAnsi="Courier New" w:cs="Courier New"/>
          <w:color w:val="000000"/>
          <w:sz w:val="14"/>
          <w:szCs w:val="20"/>
        </w:rPr>
        <w:t>A (B C +) *) D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t>Thus, the "*" uses the two values immediately preceding: "A", and the result of the addition. Similarly, the "/" uses the result of the multiplication and the "D".</w:t>
      </w:r>
    </w:p>
    <w:p w:rsidR="0043607C" w:rsidRPr="0043607C" w:rsidRDefault="0043607C" w:rsidP="0043607C">
      <w:pPr>
        <w:spacing w:after="0"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Prefix notation (also known as "Polish notation"): + X Y</w:t>
      </w:r>
    </w:p>
    <w:p w:rsidR="0043607C" w:rsidRPr="0043607C" w:rsidRDefault="0043607C" w:rsidP="0043607C">
      <w:pPr>
        <w:spacing w:after="0" w:line="240" w:lineRule="auto"/>
        <w:ind w:left="720"/>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Operators are written before their operands. The expressions given above are equivalent to</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 * A + B C D</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t>As for Postfix, operators are evaluated left-to-right and brackets are superfluous. Operators act on the two nearest values on the right. I have again added (totally unnecessary) brackets to make this clear:</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r>
      <w:r w:rsidRPr="001C4CA7">
        <w:rPr>
          <w:rFonts w:ascii="Courier New" w:eastAsia="Times New Roman" w:hAnsi="Courier New" w:cs="Courier New"/>
          <w:color w:val="000000"/>
          <w:sz w:val="14"/>
          <w:szCs w:val="20"/>
        </w:rPr>
        <w:t>(/ (* A (+ B C</w:t>
      </w:r>
      <w:proofErr w:type="gramStart"/>
      <w:r w:rsidRPr="001C4CA7">
        <w:rPr>
          <w:rFonts w:ascii="Courier New" w:eastAsia="Times New Roman" w:hAnsi="Courier New" w:cs="Courier New"/>
          <w:color w:val="000000"/>
          <w:sz w:val="14"/>
          <w:szCs w:val="20"/>
        </w:rPr>
        <w:t>) )</w:t>
      </w:r>
      <w:proofErr w:type="gramEnd"/>
      <w:r w:rsidRPr="001C4CA7">
        <w:rPr>
          <w:rFonts w:ascii="Courier New" w:eastAsia="Times New Roman" w:hAnsi="Courier New" w:cs="Courier New"/>
          <w:color w:val="000000"/>
          <w:sz w:val="14"/>
          <w:szCs w:val="20"/>
        </w:rPr>
        <w:t xml:space="preserve"> D)</w:t>
      </w:r>
    </w:p>
    <w:p w:rsidR="0043607C" w:rsidRPr="0043607C" w:rsidRDefault="0043607C" w:rsidP="0043607C">
      <w:pPr>
        <w:spacing w:before="100" w:beforeAutospacing="1" w:after="100" w:afterAutospacing="1" w:line="240" w:lineRule="auto"/>
        <w:ind w:left="720"/>
        <w:rPr>
          <w:rFonts w:ascii="Times New Roman" w:eastAsia="Times New Roman" w:hAnsi="Times New Roman" w:cs="Times New Roman"/>
          <w:color w:val="000000"/>
          <w:sz w:val="20"/>
          <w:szCs w:val="27"/>
        </w:rPr>
      </w:pPr>
      <w:bookmarkStart w:id="1" w:name="L2R"/>
      <w:r w:rsidRPr="0043607C">
        <w:rPr>
          <w:rFonts w:ascii="Times New Roman" w:eastAsia="Times New Roman" w:hAnsi="Times New Roman" w:cs="Times New Roman"/>
          <w:color w:val="000000"/>
          <w:sz w:val="20"/>
          <w:szCs w:val="27"/>
        </w:rPr>
        <w:t>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br/>
        <w:t>Because Postfix operators use values to their left, any values involving computations will already have been calculated as we go left-to-right, and so the order of evaluation of the operators is not disrupted in the same way as in Prefix expressions.</w:t>
      </w:r>
      <w:bookmarkEnd w:id="1"/>
    </w:p>
    <w:p w:rsidR="0043607C" w:rsidRPr="0043607C" w:rsidRDefault="0043607C" w:rsidP="0043607C">
      <w:pPr>
        <w:spacing w:before="100" w:beforeAutospacing="1" w:after="100" w:afterAutospacing="1"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In all three versions, the operands occur in the same order, and just the operators have to be moved to keep the meaning correct. (This is particularly important for asymmetric operators like subtraction and division:</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A - B</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does not mean the same as</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B - A</w:t>
      </w:r>
      <w:r w:rsidRPr="0043607C">
        <w:rPr>
          <w:rFonts w:ascii="Times New Roman" w:eastAsia="Times New Roman" w:hAnsi="Times New Roman" w:cs="Times New Roman"/>
          <w:color w:val="000000"/>
          <w:sz w:val="20"/>
          <w:szCs w:val="27"/>
        </w:rPr>
        <w:t>; the former is equivalent to</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A B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or</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 A B</w:t>
      </w:r>
      <w:r w:rsidRPr="0043607C">
        <w:rPr>
          <w:rFonts w:ascii="Times New Roman" w:eastAsia="Times New Roman" w:hAnsi="Times New Roman" w:cs="Times New Roman"/>
          <w:color w:val="000000"/>
          <w:sz w:val="20"/>
          <w:szCs w:val="27"/>
        </w:rPr>
        <w:t>, the latter to</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B A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or</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 B A</w:t>
      </w:r>
      <w:r w:rsidRPr="0043607C">
        <w:rPr>
          <w:rFonts w:ascii="Times New Roman" w:eastAsia="Times New Roman" w:hAnsi="Times New Roman" w:cs="Times New Roman"/>
          <w:color w:val="000000"/>
          <w:sz w:val="20"/>
          <w:szCs w:val="27"/>
        </w:rPr>
        <w:t>).</w:t>
      </w:r>
    </w:p>
    <w:p w:rsidR="0043607C" w:rsidRPr="0043607C" w:rsidRDefault="0043607C" w:rsidP="0043607C">
      <w:pPr>
        <w:spacing w:before="100" w:beforeAutospacing="1" w:after="100" w:afterAutospacing="1"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83"/>
        <w:gridCol w:w="1183"/>
        <w:gridCol w:w="1405"/>
      </w:tblGrid>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Infix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Notes</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lastRenderedPageBreak/>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B * C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 A B /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sz w:val="18"/>
                <w:szCs w:val="24"/>
              </w:rPr>
              <w:t>multiply A and B,</w:t>
            </w:r>
            <w:r w:rsidRPr="0043607C">
              <w:rPr>
                <w:rFonts w:ascii="Times New Roman" w:eastAsia="Times New Roman" w:hAnsi="Times New Roman" w:cs="Times New Roman"/>
                <w:sz w:val="18"/>
                <w:szCs w:val="24"/>
              </w:rPr>
              <w:br/>
              <w:t>divide C by D,</w:t>
            </w:r>
            <w:r w:rsidRPr="0043607C">
              <w:rPr>
                <w:rFonts w:ascii="Times New Roman" w:eastAsia="Times New Roman" w:hAnsi="Times New Roman" w:cs="Times New Roman"/>
                <w:sz w:val="18"/>
                <w:szCs w:val="24"/>
              </w:rPr>
              <w:br/>
              <w:t>add the results</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B C +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 A + B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sz w:val="18"/>
                <w:szCs w:val="24"/>
              </w:rPr>
              <w:t>add B and C,</w:t>
            </w:r>
            <w:r w:rsidRPr="0043607C">
              <w:rPr>
                <w:rFonts w:ascii="Times New Roman" w:eastAsia="Times New Roman" w:hAnsi="Times New Roman" w:cs="Times New Roman"/>
                <w:sz w:val="18"/>
                <w:szCs w:val="24"/>
              </w:rPr>
              <w:br/>
              <w:t>multiply by A,</w:t>
            </w:r>
            <w:r w:rsidRPr="0043607C">
              <w:rPr>
                <w:rFonts w:ascii="Times New Roman" w:eastAsia="Times New Roman" w:hAnsi="Times New Roman" w:cs="Times New Roman"/>
                <w:sz w:val="18"/>
                <w:szCs w:val="24"/>
              </w:rPr>
              <w:br/>
              <w:t>divide by D</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B C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A + B /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sz w:val="18"/>
                <w:szCs w:val="24"/>
              </w:rPr>
              <w:t>divide C by D,</w:t>
            </w:r>
            <w:r w:rsidRPr="0043607C">
              <w:rPr>
                <w:rFonts w:ascii="Times New Roman" w:eastAsia="Times New Roman" w:hAnsi="Times New Roman" w:cs="Times New Roman"/>
                <w:sz w:val="18"/>
                <w:szCs w:val="24"/>
              </w:rPr>
              <w:br/>
              <w:t>add B,</w:t>
            </w:r>
            <w:r w:rsidRPr="0043607C">
              <w:rPr>
                <w:rFonts w:ascii="Times New Roman" w:eastAsia="Times New Roman" w:hAnsi="Times New Roman" w:cs="Times New Roman"/>
                <w:sz w:val="18"/>
                <w:szCs w:val="24"/>
              </w:rPr>
              <w:br/>
              <w:t>multiply by A</w:t>
            </w:r>
          </w:p>
        </w:tc>
      </w:tr>
    </w:tbl>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sz w:val="18"/>
          <w:szCs w:val="24"/>
        </w:rPr>
        <w:pict>
          <v:rect id="_x0000_i1025" style="width:0;height:1.5pt" o:hralign="center" o:hrstd="t" o:hrnoshade="t" o:hr="t" fillcolor="black" stroked="f"/>
        </w:pict>
      </w:r>
    </w:p>
    <w:p w:rsidR="0043607C" w:rsidRPr="0043607C" w:rsidRDefault="0043607C" w:rsidP="0043607C">
      <w:pPr>
        <w:spacing w:before="100" w:beforeAutospacing="1" w:after="100" w:afterAutospacing="1" w:line="240" w:lineRule="auto"/>
        <w:outlineLvl w:val="1"/>
        <w:rPr>
          <w:rFonts w:ascii="Times New Roman" w:eastAsia="Times New Roman" w:hAnsi="Times New Roman" w:cs="Times New Roman"/>
          <w:b/>
          <w:bCs/>
          <w:color w:val="000000"/>
          <w:sz w:val="24"/>
          <w:szCs w:val="36"/>
        </w:rPr>
      </w:pPr>
      <w:r w:rsidRPr="0043607C">
        <w:rPr>
          <w:rFonts w:ascii="Times New Roman" w:eastAsia="Times New Roman" w:hAnsi="Times New Roman" w:cs="Times New Roman"/>
          <w:b/>
          <w:bCs/>
          <w:color w:val="000000"/>
          <w:sz w:val="24"/>
          <w:szCs w:val="36"/>
        </w:rPr>
        <w:t>Converting between these notations</w:t>
      </w:r>
    </w:p>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color w:val="000000"/>
          <w:sz w:val="20"/>
          <w:szCs w:val="27"/>
        </w:rPr>
        <w:t>The most straightforward method is to start by inserting all the implicit brackets that show the order of evaluation e.g.: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0"/>
        <w:gridCol w:w="1771"/>
        <w:gridCol w:w="1870"/>
      </w:tblGrid>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Infix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jc w:val="center"/>
              <w:rPr>
                <w:rFonts w:ascii="Times New Roman" w:eastAsia="Times New Roman" w:hAnsi="Times New Roman" w:cs="Times New Roman"/>
                <w:b/>
                <w:bCs/>
                <w:sz w:val="18"/>
                <w:szCs w:val="24"/>
              </w:rPr>
            </w:pPr>
            <w:r w:rsidRPr="0043607C">
              <w:rPr>
                <w:rFonts w:ascii="Times New Roman" w:eastAsia="Times New Roman" w:hAnsi="Times New Roman" w:cs="Times New Roman"/>
                <w:b/>
                <w:bCs/>
                <w:sz w:val="18"/>
                <w:szCs w:val="24"/>
              </w:rPr>
              <w:t>Prefix</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(A * B) + (C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(A B *) (C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 A B) (/ C D) )</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 (B + C) ) / D)</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(A (B C +)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 A (+ B C) ) D)</w:t>
            </w:r>
          </w:p>
        </w:tc>
      </w:tr>
      <w:tr w:rsidR="0043607C" w:rsidRPr="0043607C" w:rsidTr="004360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 (B + (C /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(A (B (C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43607C" w:rsidRPr="0043607C" w:rsidRDefault="0043607C" w:rsidP="0043607C">
            <w:pPr>
              <w:spacing w:after="0" w:line="240" w:lineRule="auto"/>
              <w:rPr>
                <w:rFonts w:ascii="Times New Roman" w:eastAsia="Times New Roman" w:hAnsi="Times New Roman" w:cs="Times New Roman"/>
                <w:sz w:val="18"/>
                <w:szCs w:val="24"/>
              </w:rPr>
            </w:pPr>
            <w:r w:rsidRPr="001C4CA7">
              <w:rPr>
                <w:rFonts w:ascii="Courier New" w:eastAsia="Times New Roman" w:hAnsi="Courier New" w:cs="Courier New"/>
                <w:sz w:val="14"/>
                <w:szCs w:val="20"/>
              </w:rPr>
              <w:t>(* A (+ B (/ C D) ) )</w:t>
            </w:r>
          </w:p>
        </w:tc>
      </w:tr>
    </w:tbl>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color w:val="000000"/>
          <w:sz w:val="20"/>
          <w:szCs w:val="27"/>
        </w:rPr>
        <w:t>You can convert directly between these bracketed forms simply by moving the operator within the brackets e.g.</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(X + Y)</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or</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(X Y +)</w:t>
      </w:r>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or</w:t>
      </w:r>
      <w:r w:rsidRPr="001C4CA7">
        <w:rPr>
          <w:rFonts w:ascii="Times New Roman" w:eastAsia="Times New Roman" w:hAnsi="Times New Roman" w:cs="Times New Roman"/>
          <w:color w:val="000000"/>
          <w:sz w:val="20"/>
          <w:szCs w:val="27"/>
        </w:rPr>
        <w:t> </w:t>
      </w:r>
      <w:r w:rsidRPr="001C4CA7">
        <w:rPr>
          <w:rFonts w:ascii="Courier New" w:eastAsia="Times New Roman" w:hAnsi="Courier New" w:cs="Courier New"/>
          <w:color w:val="000000"/>
          <w:sz w:val="14"/>
          <w:szCs w:val="20"/>
        </w:rPr>
        <w:t>(+ X Y)</w:t>
      </w:r>
      <w:r w:rsidRPr="0043607C">
        <w:rPr>
          <w:rFonts w:ascii="Times New Roman" w:eastAsia="Times New Roman" w:hAnsi="Times New Roman" w:cs="Times New Roman"/>
          <w:color w:val="000000"/>
          <w:sz w:val="20"/>
          <w:szCs w:val="27"/>
        </w:rPr>
        <w:t>. Repeat this for all the operators in an expression, and finally remove any superfluous brackets.</w:t>
      </w:r>
    </w:p>
    <w:p w:rsidR="0043607C" w:rsidRPr="0043607C" w:rsidRDefault="0043607C" w:rsidP="0043607C">
      <w:pPr>
        <w:spacing w:before="100" w:beforeAutospacing="1" w:after="100" w:afterAutospacing="1"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You can use a similar trick to convert to and from parse trees - each bracketed triplet of an operator and its two operands (or sub-expressions) corresponds to a node of the tree. The corresponding parse trees are:</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D</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A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A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B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 \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 \</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 xml:space="preserve"> A   B C   D</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B   C</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     </w:t>
      </w:r>
      <w:proofErr w:type="spellStart"/>
      <w:r w:rsidRPr="0043607C">
        <w:rPr>
          <w:rFonts w:ascii="Courier New" w:eastAsia="Times New Roman" w:hAnsi="Courier New" w:cs="Courier New"/>
          <w:color w:val="000000"/>
          <w:sz w:val="14"/>
          <w:szCs w:val="20"/>
        </w:rPr>
        <w:t>C</w:t>
      </w:r>
      <w:proofErr w:type="spellEnd"/>
      <w:r w:rsidRPr="0043607C">
        <w:rPr>
          <w:rFonts w:ascii="Courier New" w:eastAsia="Times New Roman" w:hAnsi="Courier New" w:cs="Courier New"/>
          <w:color w:val="000000"/>
          <w:sz w:val="14"/>
          <w:szCs w:val="20"/>
        </w:rPr>
        <w:t xml:space="preserve">   D</w:t>
      </w: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p>
    <w:p w:rsidR="0043607C" w:rsidRPr="0043607C" w:rsidRDefault="0043607C" w:rsidP="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43607C">
        <w:rPr>
          <w:rFonts w:ascii="Courier New" w:eastAsia="Times New Roman" w:hAnsi="Courier New" w:cs="Courier New"/>
          <w:color w:val="000000"/>
          <w:sz w:val="14"/>
          <w:szCs w:val="20"/>
        </w:rPr>
        <w:t>((A*B</w:t>
      </w:r>
      <w:proofErr w:type="gramStart"/>
      <w:r w:rsidRPr="0043607C">
        <w:rPr>
          <w:rFonts w:ascii="Courier New" w:eastAsia="Times New Roman" w:hAnsi="Courier New" w:cs="Courier New"/>
          <w:color w:val="000000"/>
          <w:sz w:val="14"/>
          <w:szCs w:val="20"/>
        </w:rPr>
        <w:t>)+</w:t>
      </w:r>
      <w:proofErr w:type="gramEnd"/>
      <w:r w:rsidRPr="0043607C">
        <w:rPr>
          <w:rFonts w:ascii="Courier New" w:eastAsia="Times New Roman" w:hAnsi="Courier New" w:cs="Courier New"/>
          <w:color w:val="000000"/>
          <w:sz w:val="14"/>
          <w:szCs w:val="20"/>
        </w:rPr>
        <w:t>(C/D))</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 xml:space="preserve">((A*(B+C))/D) </w:t>
      </w:r>
      <w:r w:rsidRPr="0043607C">
        <w:rPr>
          <w:rFonts w:ascii="Courier New" w:eastAsia="Times New Roman" w:hAnsi="Courier New" w:cs="Courier New"/>
          <w:color w:val="000000"/>
          <w:sz w:val="14"/>
          <w:szCs w:val="20"/>
        </w:rPr>
        <w:tab/>
      </w:r>
      <w:r w:rsidRPr="0043607C">
        <w:rPr>
          <w:rFonts w:ascii="Courier New" w:eastAsia="Times New Roman" w:hAnsi="Courier New" w:cs="Courier New"/>
          <w:color w:val="000000"/>
          <w:sz w:val="14"/>
          <w:szCs w:val="20"/>
        </w:rPr>
        <w:tab/>
        <w:t>(A*(B</w:t>
      </w:r>
      <w:proofErr w:type="gramStart"/>
      <w:r w:rsidRPr="0043607C">
        <w:rPr>
          <w:rFonts w:ascii="Courier New" w:eastAsia="Times New Roman" w:hAnsi="Courier New" w:cs="Courier New"/>
          <w:color w:val="000000"/>
          <w:sz w:val="14"/>
          <w:szCs w:val="20"/>
        </w:rPr>
        <w:t>+(</w:t>
      </w:r>
      <w:proofErr w:type="gramEnd"/>
      <w:r w:rsidRPr="0043607C">
        <w:rPr>
          <w:rFonts w:ascii="Courier New" w:eastAsia="Times New Roman" w:hAnsi="Courier New" w:cs="Courier New"/>
          <w:color w:val="000000"/>
          <w:sz w:val="14"/>
          <w:szCs w:val="20"/>
        </w:rPr>
        <w:t>C/D)))</w:t>
      </w:r>
    </w:p>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sz w:val="18"/>
          <w:szCs w:val="24"/>
        </w:rPr>
        <w:pict>
          <v:rect id="_x0000_i1026" style="width:0;height:1.5pt" o:hralign="center" o:hrstd="t" o:hrnoshade="t" o:hr="t" fillcolor="black" stroked="f"/>
        </w:pict>
      </w:r>
    </w:p>
    <w:p w:rsidR="0043607C" w:rsidRPr="0043607C" w:rsidRDefault="0043607C" w:rsidP="0043607C">
      <w:pPr>
        <w:spacing w:before="100" w:beforeAutospacing="1" w:after="100" w:afterAutospacing="1" w:line="240" w:lineRule="auto"/>
        <w:outlineLvl w:val="1"/>
        <w:rPr>
          <w:rFonts w:ascii="Times New Roman" w:eastAsia="Times New Roman" w:hAnsi="Times New Roman" w:cs="Times New Roman"/>
          <w:b/>
          <w:bCs/>
          <w:color w:val="000000"/>
          <w:sz w:val="24"/>
          <w:szCs w:val="36"/>
        </w:rPr>
      </w:pPr>
      <w:r w:rsidRPr="0043607C">
        <w:rPr>
          <w:rFonts w:ascii="Times New Roman" w:eastAsia="Times New Roman" w:hAnsi="Times New Roman" w:cs="Times New Roman"/>
          <w:b/>
          <w:bCs/>
          <w:color w:val="000000"/>
          <w:sz w:val="24"/>
          <w:szCs w:val="36"/>
        </w:rPr>
        <w:t>Computer Languages</w:t>
      </w:r>
    </w:p>
    <w:p w:rsidR="0043607C" w:rsidRPr="0043607C" w:rsidRDefault="0043607C" w:rsidP="0043607C">
      <w:pPr>
        <w:spacing w:after="0" w:line="240" w:lineRule="auto"/>
        <w:rPr>
          <w:rFonts w:ascii="Times New Roman" w:eastAsia="Times New Roman" w:hAnsi="Times New Roman" w:cs="Times New Roman"/>
          <w:sz w:val="18"/>
          <w:szCs w:val="24"/>
        </w:rPr>
      </w:pPr>
      <w:r w:rsidRPr="0043607C">
        <w:rPr>
          <w:rFonts w:ascii="Times New Roman" w:eastAsia="Times New Roman" w:hAnsi="Times New Roman" w:cs="Times New Roman"/>
          <w:color w:val="000000"/>
          <w:sz w:val="20"/>
          <w:szCs w:val="27"/>
        </w:rPr>
        <w:t>Because Infix is so common in mathematics, it is much easier to read, and so is used in most computer languages (e.g.</w:t>
      </w:r>
      <w:r w:rsidRPr="001C4CA7">
        <w:rPr>
          <w:rFonts w:ascii="Times New Roman" w:eastAsia="Times New Roman" w:hAnsi="Times New Roman" w:cs="Times New Roman"/>
          <w:color w:val="000000"/>
          <w:sz w:val="20"/>
          <w:szCs w:val="27"/>
        </w:rPr>
        <w:t> </w:t>
      </w:r>
      <w:hyperlink r:id="rId5" w:history="1">
        <w:r w:rsidRPr="001C4CA7">
          <w:rPr>
            <w:rFonts w:ascii="Times New Roman" w:eastAsia="Times New Roman" w:hAnsi="Times New Roman" w:cs="Times New Roman"/>
            <w:color w:val="0000FF"/>
            <w:sz w:val="20"/>
            <w:szCs w:val="27"/>
            <w:u w:val="single"/>
          </w:rPr>
          <w:t>a simple Infix calculator</w:t>
        </w:r>
      </w:hyperlink>
      <w:r w:rsidRPr="0043607C">
        <w:rPr>
          <w:rFonts w:ascii="Times New Roman" w:eastAsia="Times New Roman" w:hAnsi="Times New Roman" w:cs="Times New Roman"/>
          <w:color w:val="000000"/>
          <w:sz w:val="20"/>
          <w:szCs w:val="27"/>
        </w:rPr>
        <w:t>). However, Prefix is often used for operators that take a single operand (e.g. negation) and function calls.</w:t>
      </w:r>
    </w:p>
    <w:p w:rsidR="0043607C" w:rsidRPr="0043607C" w:rsidRDefault="0043607C" w:rsidP="0043607C">
      <w:pPr>
        <w:spacing w:before="100" w:beforeAutospacing="1" w:after="100" w:afterAutospacing="1"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Although Postfix and Prefix notations have similar complexity, Postfix is slightly easier to evaluate in simple circumstances, such as in some calculators (e.g.</w:t>
      </w:r>
      <w:r w:rsidRPr="001C4CA7">
        <w:rPr>
          <w:rFonts w:ascii="Times New Roman" w:eastAsia="Times New Roman" w:hAnsi="Times New Roman" w:cs="Times New Roman"/>
          <w:color w:val="000000"/>
          <w:sz w:val="20"/>
          <w:szCs w:val="27"/>
        </w:rPr>
        <w:t> </w:t>
      </w:r>
      <w:hyperlink r:id="rId6" w:history="1">
        <w:r w:rsidRPr="001C4CA7">
          <w:rPr>
            <w:rFonts w:ascii="Times New Roman" w:eastAsia="Times New Roman" w:hAnsi="Times New Roman" w:cs="Times New Roman"/>
            <w:color w:val="0000FF"/>
            <w:sz w:val="20"/>
            <w:szCs w:val="27"/>
            <w:u w:val="single"/>
          </w:rPr>
          <w:t>a simple Postfix calculator</w:t>
        </w:r>
      </w:hyperlink>
      <w:r w:rsidRPr="0043607C">
        <w:rPr>
          <w:rFonts w:ascii="Times New Roman" w:eastAsia="Times New Roman" w:hAnsi="Times New Roman" w:cs="Times New Roman"/>
          <w:color w:val="000000"/>
          <w:sz w:val="20"/>
          <w:szCs w:val="27"/>
        </w:rPr>
        <w:t>), as the operators really are evaluated strictly left-to-right (see</w:t>
      </w:r>
      <w:r w:rsidRPr="001C4CA7">
        <w:rPr>
          <w:rFonts w:ascii="Times New Roman" w:eastAsia="Times New Roman" w:hAnsi="Times New Roman" w:cs="Times New Roman"/>
          <w:color w:val="000000"/>
          <w:sz w:val="20"/>
          <w:szCs w:val="27"/>
        </w:rPr>
        <w:t> </w:t>
      </w:r>
      <w:hyperlink r:id="rId7" w:anchor="L2R" w:history="1">
        <w:r w:rsidRPr="001C4CA7">
          <w:rPr>
            <w:rFonts w:ascii="Times New Roman" w:eastAsia="Times New Roman" w:hAnsi="Times New Roman" w:cs="Times New Roman"/>
            <w:color w:val="0000FF"/>
            <w:sz w:val="20"/>
            <w:szCs w:val="27"/>
            <w:u w:val="single"/>
          </w:rPr>
          <w:t>note</w:t>
        </w:r>
      </w:hyperlink>
      <w:r w:rsidRPr="001C4CA7">
        <w:rPr>
          <w:rFonts w:ascii="Times New Roman" w:eastAsia="Times New Roman" w:hAnsi="Times New Roman" w:cs="Times New Roman"/>
          <w:color w:val="000000"/>
          <w:sz w:val="20"/>
          <w:szCs w:val="27"/>
        </w:rPr>
        <w:t> </w:t>
      </w:r>
      <w:r w:rsidRPr="0043607C">
        <w:rPr>
          <w:rFonts w:ascii="Times New Roman" w:eastAsia="Times New Roman" w:hAnsi="Times New Roman" w:cs="Times New Roman"/>
          <w:color w:val="000000"/>
          <w:sz w:val="20"/>
          <w:szCs w:val="27"/>
        </w:rPr>
        <w:t>above).</w:t>
      </w:r>
    </w:p>
    <w:p w:rsidR="0043607C" w:rsidRPr="0043607C" w:rsidRDefault="0043607C" w:rsidP="0043607C">
      <w:pPr>
        <w:spacing w:before="100" w:beforeAutospacing="1" w:after="100" w:afterAutospacing="1" w:line="240" w:lineRule="auto"/>
        <w:rPr>
          <w:rFonts w:ascii="Times New Roman" w:eastAsia="Times New Roman" w:hAnsi="Times New Roman" w:cs="Times New Roman"/>
          <w:color w:val="000000"/>
          <w:sz w:val="20"/>
          <w:szCs w:val="27"/>
        </w:rPr>
      </w:pPr>
      <w:r w:rsidRPr="0043607C">
        <w:rPr>
          <w:rFonts w:ascii="Times New Roman" w:eastAsia="Times New Roman" w:hAnsi="Times New Roman" w:cs="Times New Roman"/>
          <w:color w:val="000000"/>
          <w:sz w:val="20"/>
          <w:szCs w:val="27"/>
        </w:rPr>
        <w:t>For lots more information about notations for expressions, see</w:t>
      </w:r>
      <w:r w:rsidRPr="001C4CA7">
        <w:rPr>
          <w:rFonts w:ascii="Times New Roman" w:eastAsia="Times New Roman" w:hAnsi="Times New Roman" w:cs="Times New Roman"/>
          <w:color w:val="000000"/>
          <w:sz w:val="20"/>
          <w:szCs w:val="27"/>
        </w:rPr>
        <w:t> </w:t>
      </w:r>
      <w:hyperlink r:id="rId8" w:history="1">
        <w:r w:rsidRPr="001C4CA7">
          <w:rPr>
            <w:rFonts w:ascii="Times New Roman" w:eastAsia="Times New Roman" w:hAnsi="Times New Roman" w:cs="Times New Roman"/>
            <w:color w:val="0000FF"/>
            <w:sz w:val="20"/>
            <w:szCs w:val="27"/>
            <w:u w:val="single"/>
          </w:rPr>
          <w:t>my CS2111 lectures</w:t>
        </w:r>
      </w:hyperlink>
      <w:r w:rsidRPr="0043607C">
        <w:rPr>
          <w:rFonts w:ascii="Times New Roman" w:eastAsia="Times New Roman" w:hAnsi="Times New Roman" w:cs="Times New Roman"/>
          <w:color w:val="000000"/>
          <w:sz w:val="20"/>
          <w:szCs w:val="27"/>
        </w:rPr>
        <w:t>.</w:t>
      </w:r>
    </w:p>
    <w:p w:rsidR="00F03A14" w:rsidRPr="001C4CA7" w:rsidRDefault="00F03A14">
      <w:pPr>
        <w:rPr>
          <w:sz w:val="16"/>
        </w:rPr>
      </w:pPr>
    </w:p>
    <w:sectPr w:rsidR="00F03A14" w:rsidRPr="001C4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45"/>
    <w:rsid w:val="001C4CA7"/>
    <w:rsid w:val="0043607C"/>
    <w:rsid w:val="00EB7345"/>
    <w:rsid w:val="00F0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F022D-18E1-42D6-8C30-6526C2D9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0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607C"/>
    <w:rPr>
      <w:color w:val="0000FF"/>
      <w:u w:val="single"/>
    </w:rPr>
  </w:style>
  <w:style w:type="character" w:customStyle="1" w:styleId="apple-converted-space">
    <w:name w:val="apple-converted-space"/>
    <w:basedOn w:val="DefaultParagraphFont"/>
    <w:rsid w:val="0043607C"/>
  </w:style>
  <w:style w:type="character" w:styleId="HTMLCode">
    <w:name w:val="HTML Code"/>
    <w:basedOn w:val="DefaultParagraphFont"/>
    <w:uiPriority w:val="99"/>
    <w:semiHidden/>
    <w:unhideWhenUsed/>
    <w:rsid w:val="0043607C"/>
    <w:rPr>
      <w:rFonts w:ascii="Courier New" w:eastAsia="Times New Roman" w:hAnsi="Courier New" w:cs="Courier New"/>
      <w:sz w:val="20"/>
      <w:szCs w:val="20"/>
    </w:rPr>
  </w:style>
  <w:style w:type="paragraph" w:styleId="NormalWeb">
    <w:name w:val="Normal (Web)"/>
    <w:basedOn w:val="Normal"/>
    <w:uiPriority w:val="99"/>
    <w:unhideWhenUsed/>
    <w:rsid w:val="004360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0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an.ac.uk/~pjj/cs2111/ho/node2.html" TargetMode="External"/><Relationship Id="rId3" Type="http://schemas.openxmlformats.org/officeDocument/2006/relationships/webSettings" Target="webSettings.xml"/><Relationship Id="rId7" Type="http://schemas.openxmlformats.org/officeDocument/2006/relationships/hyperlink" Target="http://www.cs.man.ac.uk/~pjj/cs212/fi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man.ac.uk/~pjj/cs212/ho/node4.html" TargetMode="External"/><Relationship Id="rId5" Type="http://schemas.openxmlformats.org/officeDocument/2006/relationships/hyperlink" Target="http://www.cs.man.ac.uk/~pjj/cs212/ho/node5.html" TargetMode="External"/><Relationship Id="rId10" Type="http://schemas.openxmlformats.org/officeDocument/2006/relationships/theme" Target="theme/theme1.xml"/><Relationship Id="rId4" Type="http://schemas.openxmlformats.org/officeDocument/2006/relationships/hyperlink" Target="http://www.cs.man.ac.uk/~pjj/cs212/ho/node3.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2017-01-27T18:25:00Z</dcterms:created>
  <dcterms:modified xsi:type="dcterms:W3CDTF">2017-01-27T18:25:00Z</dcterms:modified>
</cp:coreProperties>
</file>