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微生太MGE分析 结题报告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分析步骤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420" w:lineRule="atLeast"/>
        <w:ind w:left="0" w:firstLine="0"/>
        <w:jc w:val="left"/>
        <w:rPr>
          <w:rFonts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1）使用FMAP</w:t>
      </w: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  <w:vertAlign w:val="superscript"/>
        </w:rPr>
        <w:t>[</w:t>
      </w:r>
      <w:r>
        <w:rPr>
          <w:rFonts w:hint="eastAsia" w:ascii="Microsoft YaHei" w:hAnsi="Microsoft YaHei" w:eastAsia="宋体" w:cs="Microsoft YaHei"/>
          <w:i w:val="0"/>
          <w:caps w:val="0"/>
          <w:color w:val="212529"/>
          <w:spacing w:val="0"/>
          <w:sz w:val="24"/>
          <w:szCs w:val="24"/>
          <w:vertAlign w:val="superscript"/>
          <w:lang w:val="en-US" w:eastAsia="zh-CN"/>
        </w:rPr>
        <w:t>1</w:t>
      </w: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  <w:vertAlign w:val="superscript"/>
        </w:rPr>
        <w:t>]</w:t>
      </w: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软件将各样本质控和去宿主之后的序列与</w:t>
      </w:r>
      <w:r>
        <w:rPr>
          <w:rFonts w:hint="eastAsia" w:ascii="Microsoft YaHei" w:hAnsi="Microsoft YaHei" w:eastAsia="宋体" w:cs="Microsoft YaHei"/>
          <w:i w:val="0"/>
          <w:caps w:val="0"/>
          <w:color w:val="212529"/>
          <w:spacing w:val="0"/>
          <w:sz w:val="24"/>
          <w:szCs w:val="24"/>
          <w:lang w:val="en-US" w:eastAsia="zh-CN"/>
        </w:rPr>
        <w:t>MGE</w:t>
      </w: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数据库</w:t>
      </w:r>
      <w:r>
        <w:rPr>
          <w:rFonts w:hint="eastAsia" w:ascii="Microsoft YaHei" w:hAnsi="Microsoft YaHei" w:eastAsia="宋体" w:cs="Microsoft YaHei"/>
          <w:i w:val="0"/>
          <w:caps w:val="0"/>
          <w:color w:val="212529"/>
          <w:spacing w:val="0"/>
          <w:sz w:val="24"/>
          <w:szCs w:val="24"/>
          <w:vertAlign w:val="superscript"/>
          <w:lang w:val="en-US" w:eastAsia="zh-CN"/>
        </w:rPr>
        <w:t>[2]</w:t>
      </w: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进行比对（基于DIAMOND），过滤掉比对失败的序列；参数：-e 0.01 （evalue 阈值）；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420" w:lineRule="atLeast"/>
        <w:ind w:left="0" w:firstLine="0"/>
        <w:jc w:val="left"/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2）根据比对结果，统计出每个样本比对到各</w:t>
      </w:r>
      <w:r>
        <w:rPr>
          <w:rFonts w:hint="eastAsia" w:ascii="Microsoft YaHei" w:hAnsi="Microsoft YaHei" w:eastAsia="宋体" w:cs="Microsoft YaHei"/>
          <w:i w:val="0"/>
          <w:caps w:val="0"/>
          <w:color w:val="212529"/>
          <w:spacing w:val="0"/>
          <w:sz w:val="24"/>
          <w:szCs w:val="24"/>
          <w:lang w:val="en-US" w:eastAsia="zh-CN"/>
        </w:rPr>
        <w:t>MGE</w:t>
      </w: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参考序列的reads数，从而计算相对丰度（RPKM ，reads per kilobase per million，校正样本比对成功reads(mapped reads)以及基因长度后的丰度)；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420" w:lineRule="atLeast"/>
        <w:ind w:left="0" w:firstLine="0"/>
        <w:jc w:val="left"/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3）从</w:t>
      </w:r>
      <w:r>
        <w:rPr>
          <w:rFonts w:hint="eastAsia" w:ascii="Microsoft YaHei" w:hAnsi="Microsoft YaHei" w:eastAsia="宋体" w:cs="Microsoft YaHei"/>
          <w:i w:val="0"/>
          <w:caps w:val="0"/>
          <w:color w:val="212529"/>
          <w:spacing w:val="0"/>
          <w:sz w:val="24"/>
          <w:szCs w:val="24"/>
          <w:lang w:val="en-US" w:eastAsia="zh-CN"/>
        </w:rPr>
        <w:t>MGE</w:t>
      </w: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的丰度出发，进行丰度柱形图展示，丰度聚类热图展示，丰度分布圈图展示，组间</w:t>
      </w:r>
      <w:r>
        <w:rPr>
          <w:rFonts w:hint="eastAsia" w:ascii="Microsoft YaHei" w:hAnsi="Microsoft YaHei" w:eastAsia="宋体" w:cs="Microsoft YaHei"/>
          <w:i w:val="0"/>
          <w:caps w:val="0"/>
          <w:color w:val="212529"/>
          <w:spacing w:val="0"/>
          <w:sz w:val="24"/>
          <w:szCs w:val="24"/>
          <w:lang w:val="en-US" w:eastAsia="zh-CN"/>
        </w:rPr>
        <w:t>MGE</w:t>
      </w:r>
      <w:r>
        <w:rPr>
          <w:rFonts w:hint="default" w:ascii="Microsoft YaHei" w:hAnsi="Microsoft YaHei" w:eastAsia="Microsoft YaHei" w:cs="Microsoft YaHei"/>
          <w:i w:val="0"/>
          <w:caps w:val="0"/>
          <w:color w:val="212529"/>
          <w:spacing w:val="0"/>
          <w:sz w:val="24"/>
          <w:szCs w:val="24"/>
        </w:rPr>
        <w:t>差异分析。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结果解读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结果的解读与宏基组结题报告中相应图表的解读方式相同，请参照宏基因组结题报告解读本部分结果。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Microsoft YaHei" w:hAnsi="Microsoft YaHei" w:eastAsia="Microsoft YaHei" w:cs="Microsoft YaHei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Kim J, Kim MS, Koh AY, Xie Y, Zhan X. "FMAP: Functional Mapping and Analysis Pipeline for metagenomics and metatranscriptomics studies" BMC Bioinformatics. 2016 Oct 10;17(1):420. PMID: 27724866.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2）</w:t>
      </w: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(2018). Maternal gut and breast milk microbiota affect infant gut antibiotic resistome and mobile genetic elements.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Nature communications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AFCB1"/>
    <w:multiLevelType w:val="singleLevel"/>
    <w:tmpl w:val="37FAFC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7E3425"/>
    <w:multiLevelType w:val="singleLevel"/>
    <w:tmpl w:val="777E342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BB970"/>
    <w:rsid w:val="677B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608</Characters>
  <Lines>0</Lines>
  <Paragraphs>0</Paragraphs>
  <TotalTime>13</TotalTime>
  <ScaleCrop>false</ScaleCrop>
  <LinksUpToDate>false</LinksUpToDate>
  <CharactersWithSpaces>662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2020-03-18T15:51:00Z</dcterms:created>
  <dc:creator>Bayegy</dc:creator>
  <cp:lastModifiedBy>Bayegy</cp:lastModifiedBy>
  <dcterms:modified xsi:type="dcterms:W3CDTF">2020-03-18T16:04:04Z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