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3B" w:rsidRPr="003D0680" w:rsidRDefault="00BE2365" w:rsidP="00BE2365">
      <w:pPr>
        <w:jc w:val="center"/>
        <w:rPr>
          <w:rFonts w:ascii="Arial" w:hAnsi="Arial" w:cs="Arial"/>
          <w:b/>
          <w:sz w:val="44"/>
        </w:rPr>
      </w:pPr>
      <w:r w:rsidRPr="003D0680">
        <w:rPr>
          <w:rFonts w:ascii="Arial" w:hAnsi="Arial" w:cs="Arial"/>
          <w:b/>
          <w:sz w:val="44"/>
        </w:rPr>
        <w:t xml:space="preserve">Jogos </w:t>
      </w:r>
      <w:r w:rsidR="000F1383" w:rsidRPr="003D0680">
        <w:rPr>
          <w:rFonts w:ascii="Arial" w:hAnsi="Arial" w:cs="Arial"/>
          <w:b/>
          <w:sz w:val="44"/>
        </w:rPr>
        <w:t>C</w:t>
      </w:r>
      <w:r w:rsidRPr="003D0680">
        <w:rPr>
          <w:rFonts w:ascii="Arial" w:hAnsi="Arial" w:cs="Arial"/>
          <w:b/>
          <w:sz w:val="44"/>
        </w:rPr>
        <w:t>ooperativos na</w:t>
      </w:r>
      <w:r w:rsidRPr="003D0680">
        <w:rPr>
          <w:rFonts w:ascii="Arial" w:hAnsi="Arial" w:cs="Arial"/>
          <w:b/>
          <w:sz w:val="44"/>
        </w:rPr>
        <w:t xml:space="preserve"> </w:t>
      </w:r>
      <w:r w:rsidR="000F1383" w:rsidRPr="003D0680">
        <w:rPr>
          <w:rFonts w:ascii="Arial" w:hAnsi="Arial" w:cs="Arial"/>
          <w:b/>
          <w:sz w:val="44"/>
        </w:rPr>
        <w:t>G</w:t>
      </w:r>
      <w:r w:rsidRPr="003D0680">
        <w:rPr>
          <w:rFonts w:ascii="Arial" w:hAnsi="Arial" w:cs="Arial"/>
          <w:b/>
          <w:sz w:val="44"/>
        </w:rPr>
        <w:t xml:space="preserve">estão da </w:t>
      </w:r>
      <w:r w:rsidR="000F1383" w:rsidRPr="003D0680">
        <w:rPr>
          <w:rFonts w:ascii="Arial" w:hAnsi="Arial" w:cs="Arial"/>
          <w:b/>
          <w:sz w:val="44"/>
        </w:rPr>
        <w:t>C</w:t>
      </w:r>
      <w:r w:rsidRPr="003D0680">
        <w:rPr>
          <w:rFonts w:ascii="Arial" w:hAnsi="Arial" w:cs="Arial"/>
          <w:b/>
          <w:sz w:val="44"/>
        </w:rPr>
        <w:t xml:space="preserve">adeia de </w:t>
      </w:r>
      <w:r w:rsidR="000F1383" w:rsidRPr="003D0680">
        <w:rPr>
          <w:rFonts w:ascii="Arial" w:hAnsi="Arial" w:cs="Arial"/>
          <w:b/>
          <w:sz w:val="44"/>
        </w:rPr>
        <w:t>S</w:t>
      </w:r>
      <w:r w:rsidRPr="003D0680">
        <w:rPr>
          <w:rFonts w:ascii="Arial" w:hAnsi="Arial" w:cs="Arial"/>
          <w:b/>
          <w:sz w:val="44"/>
        </w:rPr>
        <w:t>uprimentos</w:t>
      </w:r>
    </w:p>
    <w:p w:rsidR="00BE2365" w:rsidRPr="003D0680" w:rsidRDefault="00BE2365" w:rsidP="00BE2365">
      <w:pPr>
        <w:rPr>
          <w:rFonts w:ascii="Arial" w:hAnsi="Arial" w:cs="Arial"/>
          <w:b/>
          <w:sz w:val="28"/>
        </w:rPr>
      </w:pPr>
    </w:p>
    <w:p w:rsidR="00BE2365" w:rsidRPr="003D0680" w:rsidRDefault="00BE2365" w:rsidP="00BE2365">
      <w:pPr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 xml:space="preserve">João B. G. Brito, </w:t>
      </w:r>
      <w:r w:rsidRPr="003D0680">
        <w:rPr>
          <w:rFonts w:ascii="Arial" w:hAnsi="Arial" w:cs="Arial"/>
          <w:i/>
          <w:iCs/>
          <w:sz w:val="20"/>
          <w:szCs w:val="20"/>
        </w:rPr>
        <w:t>Esp.</w:t>
      </w:r>
      <w:r w:rsidRPr="003D0680">
        <w:rPr>
          <w:rFonts w:ascii="Arial" w:hAnsi="Arial" w:cs="Arial"/>
          <w:sz w:val="20"/>
          <w:szCs w:val="20"/>
        </w:rPr>
        <w:br/>
      </w:r>
      <w:hyperlink r:id="rId7" w:history="1">
        <w:r w:rsidRPr="003D0680">
          <w:rPr>
            <w:rStyle w:val="Hyperlink"/>
            <w:rFonts w:ascii="Arial" w:hAnsi="Arial" w:cs="Arial"/>
            <w:color w:val="auto"/>
            <w:sz w:val="20"/>
            <w:szCs w:val="20"/>
          </w:rPr>
          <w:t>jbgb@uol.com.br</w:t>
        </w:r>
      </w:hyperlink>
    </w:p>
    <w:p w:rsidR="00BE2365" w:rsidRDefault="00BE2365" w:rsidP="00BE2365">
      <w:pPr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br/>
        <w:t xml:space="preserve">Michel J. </w:t>
      </w:r>
      <w:proofErr w:type="spellStart"/>
      <w:r w:rsidRPr="003D0680">
        <w:rPr>
          <w:rFonts w:ascii="Arial" w:hAnsi="Arial" w:cs="Arial"/>
          <w:sz w:val="20"/>
          <w:szCs w:val="20"/>
        </w:rPr>
        <w:t>Anzanello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D0680">
        <w:rPr>
          <w:rFonts w:ascii="Arial" w:hAnsi="Arial" w:cs="Arial"/>
          <w:i/>
          <w:iCs/>
          <w:sz w:val="20"/>
          <w:szCs w:val="20"/>
        </w:rPr>
        <w:t>Phd</w:t>
      </w:r>
      <w:proofErr w:type="spellEnd"/>
      <w:r w:rsidRPr="003D0680">
        <w:rPr>
          <w:rFonts w:ascii="Arial" w:hAnsi="Arial" w:cs="Arial"/>
          <w:sz w:val="20"/>
          <w:szCs w:val="20"/>
        </w:rPr>
        <w:br/>
      </w:r>
      <w:hyperlink r:id="rId8" w:history="1">
        <w:r w:rsidRPr="003D0680">
          <w:rPr>
            <w:rStyle w:val="Hyperlink"/>
            <w:rFonts w:ascii="Arial" w:hAnsi="Arial" w:cs="Arial"/>
            <w:color w:val="auto"/>
            <w:sz w:val="20"/>
            <w:szCs w:val="20"/>
          </w:rPr>
          <w:t>michel.anzanello@gmail.com</w:t>
        </w:r>
      </w:hyperlink>
    </w:p>
    <w:p w:rsidR="00BE2365" w:rsidRPr="003D0680" w:rsidRDefault="00BE2365" w:rsidP="00BE2365">
      <w:pPr>
        <w:rPr>
          <w:rFonts w:ascii="Arial" w:hAnsi="Arial" w:cs="Arial"/>
          <w:sz w:val="28"/>
          <w:szCs w:val="28"/>
        </w:rPr>
      </w:pPr>
    </w:p>
    <w:p w:rsidR="00BE2365" w:rsidRPr="003D0680" w:rsidRDefault="00BE2365" w:rsidP="00BE2365">
      <w:pPr>
        <w:rPr>
          <w:rFonts w:ascii="Arial" w:hAnsi="Arial" w:cs="Arial"/>
          <w:b/>
          <w:sz w:val="28"/>
        </w:rPr>
      </w:pPr>
      <w:r w:rsidRPr="003D0680">
        <w:rPr>
          <w:rFonts w:ascii="Arial" w:hAnsi="Arial" w:cs="Arial"/>
          <w:b/>
          <w:sz w:val="28"/>
        </w:rPr>
        <w:t>Resumo</w:t>
      </w:r>
      <w:r w:rsidRPr="003D0680">
        <w:rPr>
          <w:rFonts w:ascii="Arial" w:hAnsi="Arial" w:cs="Arial"/>
          <w:sz w:val="28"/>
          <w:szCs w:val="28"/>
        </w:rPr>
        <w:br/>
      </w:r>
    </w:p>
    <w:p w:rsidR="00BE2365" w:rsidRPr="003D0680" w:rsidRDefault="00BE2365" w:rsidP="0077782E">
      <w:pPr>
        <w:ind w:left="567" w:right="566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>No ambiente de uma gestão cadeia de suprimentos (GCS) as decisões de cada organização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tendem a refletir nos seus elos. A análise destas interações é importante para avaliar a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colaboração entre seus membros, sugerir acordos e buscar o equilíbrio mais rentável. Para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explorar problemas desta espécie prop</w:t>
      </w:r>
      <w:r w:rsidR="0077782E">
        <w:rPr>
          <w:rFonts w:ascii="Arial" w:hAnsi="Arial" w:cs="Arial"/>
          <w:sz w:val="20"/>
          <w:szCs w:val="20"/>
        </w:rPr>
        <w:t>õe-se o</w:t>
      </w:r>
      <w:r w:rsidRPr="003D0680">
        <w:rPr>
          <w:rFonts w:ascii="Arial" w:hAnsi="Arial" w:cs="Arial"/>
          <w:sz w:val="20"/>
          <w:szCs w:val="20"/>
        </w:rPr>
        <w:t xml:space="preserve"> emprego da teoria dos jogos cooperativos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 xml:space="preserve">(TJC) com o algoritmo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Shapley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V</w:t>
      </w:r>
      <w:r w:rsidRPr="003D0680">
        <w:rPr>
          <w:rFonts w:ascii="Arial" w:hAnsi="Arial" w:cs="Arial"/>
          <w:i/>
          <w:sz w:val="20"/>
          <w:szCs w:val="20"/>
        </w:rPr>
        <w:t>alue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que pondera a participação nos custos de cada parceiro.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Para execução, iniciamos com a apreciação dos conceitos da TJC relacionando com a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 xml:space="preserve">GCS, para então explorar o raciocínio </w:t>
      </w:r>
      <w:r w:rsidR="0077782E">
        <w:rPr>
          <w:rFonts w:ascii="Arial" w:hAnsi="Arial" w:cs="Arial"/>
          <w:sz w:val="20"/>
          <w:szCs w:val="20"/>
        </w:rPr>
        <w:t>do modelo na aplicação de um cenário hipotético</w:t>
      </w:r>
      <w:r w:rsidRPr="003D0680">
        <w:rPr>
          <w:rFonts w:ascii="Arial" w:hAnsi="Arial" w:cs="Arial"/>
          <w:sz w:val="20"/>
          <w:szCs w:val="20"/>
        </w:rPr>
        <w:t>. Como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resultados, encontramos (adicionar os resultados). Concluímos que a aplicação do</w:t>
      </w:r>
      <w:r w:rsidRPr="003D068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Shapley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V</w:t>
      </w:r>
      <w:r w:rsidRPr="003D0680">
        <w:rPr>
          <w:rFonts w:ascii="Arial" w:hAnsi="Arial" w:cs="Arial"/>
          <w:i/>
          <w:sz w:val="20"/>
          <w:szCs w:val="20"/>
        </w:rPr>
        <w:t>alue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tem potencial de instrumentar apoio na definição de diretrizes da GCS pois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seu emprego oferece recursos para racionalizar relacionamentos, estratégias conflitantes e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colaborativas</w:t>
      </w:r>
      <w:r w:rsidRPr="003D0680">
        <w:rPr>
          <w:rFonts w:ascii="Arial" w:hAnsi="Arial" w:cs="Arial"/>
          <w:sz w:val="20"/>
          <w:szCs w:val="20"/>
        </w:rPr>
        <w:t>.</w:t>
      </w:r>
    </w:p>
    <w:p w:rsidR="00BE2365" w:rsidRPr="003D0680" w:rsidRDefault="00BE2365" w:rsidP="00BE2365">
      <w:pPr>
        <w:jc w:val="both"/>
        <w:rPr>
          <w:rFonts w:ascii="Arial" w:hAnsi="Arial" w:cs="Arial"/>
          <w:sz w:val="20"/>
          <w:szCs w:val="20"/>
        </w:rPr>
      </w:pPr>
    </w:p>
    <w:p w:rsidR="00BE2365" w:rsidRDefault="00BE2365" w:rsidP="00BE2365">
      <w:pPr>
        <w:jc w:val="both"/>
        <w:rPr>
          <w:rFonts w:ascii="Arial" w:hAnsi="Arial" w:cs="Arial"/>
          <w:b/>
          <w:sz w:val="28"/>
        </w:rPr>
      </w:pPr>
      <w:r w:rsidRPr="003D0680">
        <w:rPr>
          <w:rFonts w:ascii="Arial" w:hAnsi="Arial" w:cs="Arial"/>
          <w:b/>
          <w:sz w:val="28"/>
        </w:rPr>
        <w:t>Introdução</w:t>
      </w:r>
    </w:p>
    <w:p w:rsidR="0077782E" w:rsidRPr="003D0680" w:rsidRDefault="0077782E" w:rsidP="00BE2365">
      <w:pPr>
        <w:jc w:val="both"/>
        <w:rPr>
          <w:rFonts w:ascii="Arial" w:hAnsi="Arial" w:cs="Arial"/>
          <w:b/>
          <w:sz w:val="28"/>
        </w:rPr>
      </w:pPr>
    </w:p>
    <w:p w:rsidR="00BE2365" w:rsidRPr="003D0680" w:rsidRDefault="00BE2365" w:rsidP="00BE236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>Na profusão do mundo profissional organizações deparam-se com decisões difíceis de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serem tomadas, tanto pela importância de suas consequências, quanto pelos resultados, muitas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vezes, incertos (BEKMAN; NETO, 2009). Silver</w:t>
      </w:r>
      <w:r w:rsidRPr="003D0680">
        <w:rPr>
          <w:rFonts w:ascii="Arial" w:hAnsi="Arial" w:cs="Arial"/>
          <w:sz w:val="20"/>
          <w:szCs w:val="20"/>
        </w:rPr>
        <w:t xml:space="preserve"> (2012) destaca que a incerteza</w:t>
      </w:r>
      <w:r w:rsidRPr="003D0680">
        <w:rPr>
          <w:rStyle w:val="Refdenotaderodap"/>
          <w:rFonts w:ascii="Arial" w:hAnsi="Arial" w:cs="Arial"/>
          <w:sz w:val="20"/>
          <w:szCs w:val="20"/>
        </w:rPr>
        <w:footnoteReference w:id="1"/>
      </w:r>
      <w:r w:rsidRPr="003D0680">
        <w:rPr>
          <w:rFonts w:ascii="Arial" w:hAnsi="Arial" w:cs="Arial"/>
          <w:sz w:val="20"/>
          <w:szCs w:val="20"/>
        </w:rPr>
        <w:t xml:space="preserve"> é usualmente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interpretada como risco</w:t>
      </w:r>
      <w:r w:rsidRPr="003D0680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3D0680">
        <w:rPr>
          <w:rFonts w:ascii="Arial" w:hAnsi="Arial" w:cs="Arial"/>
          <w:sz w:val="20"/>
          <w:szCs w:val="20"/>
        </w:rPr>
        <w:t>, complementando que</w:t>
      </w:r>
      <w:r w:rsidRPr="003D0680">
        <w:rPr>
          <w:rFonts w:ascii="Arial" w:hAnsi="Arial" w:cs="Arial"/>
          <w:sz w:val="20"/>
          <w:szCs w:val="20"/>
        </w:rPr>
        <w:t>:</w:t>
      </w:r>
    </w:p>
    <w:p w:rsidR="00BE2365" w:rsidRPr="003D0680" w:rsidRDefault="00BE2365" w:rsidP="00BE2365">
      <w:pPr>
        <w:ind w:left="2977"/>
        <w:jc w:val="both"/>
        <w:rPr>
          <w:rFonts w:ascii="Arial" w:hAnsi="Arial" w:cs="Arial"/>
          <w:sz w:val="16"/>
          <w:szCs w:val="16"/>
        </w:rPr>
      </w:pPr>
      <w:r w:rsidRPr="003D0680">
        <w:rPr>
          <w:rFonts w:ascii="Arial" w:hAnsi="Arial" w:cs="Arial"/>
          <w:sz w:val="16"/>
          <w:szCs w:val="16"/>
        </w:rPr>
        <w:t>Podemos ter uma consciência difusa dos demônios que nos espreitam lá fora.</w:t>
      </w:r>
      <w:r w:rsidRPr="003D0680">
        <w:rPr>
          <w:rFonts w:ascii="Arial" w:hAnsi="Arial" w:cs="Arial"/>
          <w:sz w:val="16"/>
          <w:szCs w:val="16"/>
        </w:rPr>
        <w:br/>
        <w:t>Podemos até estar bastante preocupados com eles. Mas, na realidade, não</w:t>
      </w:r>
      <w:r w:rsidRPr="003D0680">
        <w:rPr>
          <w:rFonts w:ascii="Arial" w:hAnsi="Arial" w:cs="Arial"/>
          <w:sz w:val="16"/>
          <w:szCs w:val="16"/>
        </w:rPr>
        <w:br/>
        <w:t>temos ideia de quantos são e de quando podem atacar (SILVER, 2012).</w:t>
      </w:r>
    </w:p>
    <w:p w:rsidR="000F1383" w:rsidRPr="003D0680" w:rsidRDefault="00BE2365" w:rsidP="00BE236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>Na busca do julgamento perfeito, Condorcet (1785) formaliza o primeiro método de</w:t>
      </w:r>
      <w:r w:rsidRPr="003D0680">
        <w:rPr>
          <w:rFonts w:ascii="Arial" w:hAnsi="Arial" w:cs="Arial"/>
          <w:sz w:val="20"/>
          <w:szCs w:val="20"/>
        </w:rPr>
        <w:br/>
        <w:t>decisão ótima, utilizando probabilidade para quantificar opções. Davenport e Harris (2007)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 xml:space="preserve">enfatizam o uso de ferramentas analíticas e de tomada de decisão para reduzir </w:t>
      </w:r>
      <w:r w:rsidRPr="003D0680">
        <w:rPr>
          <w:rFonts w:ascii="Arial" w:hAnsi="Arial" w:cs="Arial"/>
          <w:sz w:val="20"/>
          <w:szCs w:val="20"/>
        </w:rPr>
        <w:t>incertezas, agregar</w:t>
      </w:r>
      <w:r w:rsidRPr="003D0680">
        <w:rPr>
          <w:rFonts w:ascii="Arial" w:hAnsi="Arial" w:cs="Arial"/>
          <w:sz w:val="20"/>
          <w:szCs w:val="20"/>
        </w:rPr>
        <w:t xml:space="preserve"> racionalidade e obter inteligência competitiva. Mas, para Kahneman (2012), apesar das</w:t>
      </w:r>
      <w:r w:rsidR="000F1383" w:rsidRPr="003D0680">
        <w:rPr>
          <w:rFonts w:ascii="Arial" w:hAnsi="Arial" w:cs="Arial"/>
          <w:sz w:val="20"/>
          <w:szCs w:val="20"/>
        </w:rPr>
        <w:t xml:space="preserve"> </w:t>
      </w:r>
      <w:r w:rsidR="000F1383" w:rsidRPr="003D0680">
        <w:rPr>
          <w:rFonts w:ascii="Arial" w:hAnsi="Arial" w:cs="Arial"/>
          <w:sz w:val="20"/>
          <w:szCs w:val="20"/>
        </w:rPr>
        <w:t>pessoas em geral serem racionais, com decisões lógicas e sensatas, emoções como medo, apego</w:t>
      </w:r>
      <w:r w:rsidR="000F1383" w:rsidRPr="003D0680">
        <w:rPr>
          <w:rFonts w:ascii="Arial" w:hAnsi="Arial" w:cs="Arial"/>
          <w:sz w:val="20"/>
          <w:szCs w:val="20"/>
        </w:rPr>
        <w:t xml:space="preserve"> </w:t>
      </w:r>
      <w:r w:rsidR="000F1383" w:rsidRPr="003D0680">
        <w:rPr>
          <w:rFonts w:ascii="Arial" w:hAnsi="Arial" w:cs="Arial"/>
          <w:sz w:val="20"/>
          <w:szCs w:val="20"/>
        </w:rPr>
        <w:t xml:space="preserve">e ódio explicam na maioria dos casos a irracionalidade das escolhas. Para </w:t>
      </w:r>
      <w:proofErr w:type="spellStart"/>
      <w:r w:rsidR="000F1383" w:rsidRPr="003D0680">
        <w:rPr>
          <w:rFonts w:ascii="Arial" w:hAnsi="Arial" w:cs="Arial"/>
          <w:sz w:val="20"/>
          <w:szCs w:val="20"/>
        </w:rPr>
        <w:t>Ariely</w:t>
      </w:r>
      <w:proofErr w:type="spellEnd"/>
      <w:r w:rsidR="000F1383" w:rsidRPr="003D0680">
        <w:rPr>
          <w:rFonts w:ascii="Arial" w:hAnsi="Arial" w:cs="Arial"/>
          <w:sz w:val="20"/>
          <w:szCs w:val="20"/>
        </w:rPr>
        <w:t xml:space="preserve"> (2009), </w:t>
      </w:r>
      <w:r w:rsidR="000F1383" w:rsidRPr="003D0680">
        <w:rPr>
          <w:rFonts w:ascii="Arial" w:hAnsi="Arial" w:cs="Arial"/>
          <w:sz w:val="20"/>
          <w:szCs w:val="20"/>
        </w:rPr>
        <w:lastRenderedPageBreak/>
        <w:t>esta</w:t>
      </w:r>
      <w:r w:rsidR="000F1383" w:rsidRPr="003D0680">
        <w:rPr>
          <w:rFonts w:ascii="Arial" w:hAnsi="Arial" w:cs="Arial"/>
          <w:sz w:val="20"/>
          <w:szCs w:val="20"/>
        </w:rPr>
        <w:t xml:space="preserve"> </w:t>
      </w:r>
      <w:r w:rsidR="000F1383" w:rsidRPr="003D0680">
        <w:rPr>
          <w:rFonts w:ascii="Arial" w:hAnsi="Arial" w:cs="Arial"/>
          <w:sz w:val="20"/>
          <w:szCs w:val="20"/>
        </w:rPr>
        <w:t>conduta define o conceito de economia comportamental, que considera como as pessoas se</w:t>
      </w:r>
      <w:r w:rsidR="000F1383" w:rsidRPr="003D0680">
        <w:rPr>
          <w:rFonts w:ascii="Arial" w:hAnsi="Arial" w:cs="Arial"/>
          <w:sz w:val="20"/>
          <w:szCs w:val="20"/>
        </w:rPr>
        <w:t xml:space="preserve"> </w:t>
      </w:r>
      <w:r w:rsidR="000F1383" w:rsidRPr="003D0680">
        <w:rPr>
          <w:rFonts w:ascii="Arial" w:hAnsi="Arial" w:cs="Arial"/>
          <w:sz w:val="20"/>
          <w:szCs w:val="20"/>
        </w:rPr>
        <w:t>comportam e não como deveriam se comportar.</w:t>
      </w:r>
    </w:p>
    <w:p w:rsidR="00BE2365" w:rsidRPr="003D0680" w:rsidRDefault="000F1383" w:rsidP="00BE236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 xml:space="preserve">É natural do ser humano estabelecer comparações para fundamentar suas </w:t>
      </w:r>
      <w:r w:rsidRPr="003D0680">
        <w:rPr>
          <w:rFonts w:ascii="Arial" w:hAnsi="Arial" w:cs="Arial"/>
          <w:sz w:val="20"/>
          <w:szCs w:val="20"/>
        </w:rPr>
        <w:t>decisões, sendo</w:t>
      </w:r>
      <w:r w:rsidRPr="003D0680">
        <w:rPr>
          <w:rFonts w:ascii="Arial" w:hAnsi="Arial" w:cs="Arial"/>
          <w:sz w:val="20"/>
          <w:szCs w:val="20"/>
        </w:rPr>
        <w:t xml:space="preserve"> influenciado por forças racionais. Entretanto, as pessoas nem sempre são tão </w:t>
      </w:r>
      <w:r w:rsidRPr="003D0680">
        <w:rPr>
          <w:rFonts w:ascii="Arial" w:hAnsi="Arial" w:cs="Arial"/>
          <w:sz w:val="20"/>
          <w:szCs w:val="20"/>
        </w:rPr>
        <w:t>racionais, existindo</w:t>
      </w:r>
      <w:r w:rsidRPr="003D0680">
        <w:rPr>
          <w:rFonts w:ascii="Arial" w:hAnsi="Arial" w:cs="Arial"/>
          <w:sz w:val="20"/>
          <w:szCs w:val="20"/>
        </w:rPr>
        <w:t xml:space="preserve"> diversas situações em que podemos contar com sua previsível irracionalidade (ARIELY,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2012). Nos limites da racionalidade, psicologia e decisões econômicas Smith (1999) salienta:</w:t>
      </w:r>
    </w:p>
    <w:p w:rsidR="000F1383" w:rsidRPr="003D0680" w:rsidRDefault="000F1383" w:rsidP="000F1383">
      <w:pPr>
        <w:ind w:left="2977"/>
        <w:jc w:val="both"/>
        <w:rPr>
          <w:rFonts w:ascii="Arial" w:hAnsi="Arial" w:cs="Arial"/>
          <w:sz w:val="16"/>
          <w:szCs w:val="16"/>
        </w:rPr>
      </w:pPr>
      <w:r w:rsidRPr="003D0680">
        <w:rPr>
          <w:rFonts w:ascii="Arial" w:hAnsi="Arial" w:cs="Arial"/>
          <w:sz w:val="16"/>
          <w:szCs w:val="16"/>
        </w:rPr>
        <w:t>[...] os objetos primários de nossas percepções morais são as ações de outros</w:t>
      </w:r>
      <w:r w:rsidRPr="003D0680">
        <w:rPr>
          <w:rFonts w:ascii="Arial" w:hAnsi="Arial" w:cs="Arial"/>
          <w:sz w:val="16"/>
          <w:szCs w:val="16"/>
        </w:rPr>
        <w:br/>
        <w:t>homens; além disso, nossos juízos morais sobre nossa própria conduta são</w:t>
      </w:r>
      <w:r w:rsidRPr="003D0680">
        <w:rPr>
          <w:rFonts w:ascii="Arial" w:hAnsi="Arial" w:cs="Arial"/>
          <w:sz w:val="16"/>
          <w:szCs w:val="16"/>
        </w:rPr>
        <w:br/>
        <w:t>apenas aplicações, sobre nós mesmos, de decisões já proferidas a respeito da</w:t>
      </w:r>
      <w:r w:rsidRPr="003D0680">
        <w:rPr>
          <w:rFonts w:ascii="Arial" w:hAnsi="Arial" w:cs="Arial"/>
          <w:sz w:val="16"/>
          <w:szCs w:val="16"/>
        </w:rPr>
        <w:br/>
        <w:t>conduta do nosso próximo (SMITH, 1999).</w:t>
      </w:r>
    </w:p>
    <w:p w:rsidR="000F1383" w:rsidRPr="003D0680" w:rsidRDefault="000F1383" w:rsidP="000F1383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>À vista disso, Mesquita (2009b) defende o uso de ferramentas matemáticas que equacionem a predição de eventos de interação. Assim, introduz o uso da teoria dos jogos como</w:t>
      </w:r>
      <w:r w:rsidRPr="003D0680">
        <w:rPr>
          <w:rFonts w:ascii="Arial" w:hAnsi="Arial" w:cs="Arial"/>
          <w:sz w:val="20"/>
          <w:szCs w:val="20"/>
        </w:rPr>
        <w:br/>
        <w:t>mecanismo para entender comportamentos:</w:t>
      </w:r>
    </w:p>
    <w:p w:rsidR="000F1383" w:rsidRPr="003D0680" w:rsidRDefault="000F1383" w:rsidP="000F1383">
      <w:pPr>
        <w:ind w:left="2977"/>
        <w:jc w:val="both"/>
        <w:rPr>
          <w:rFonts w:ascii="Arial" w:hAnsi="Arial" w:cs="Arial"/>
          <w:sz w:val="16"/>
          <w:szCs w:val="16"/>
        </w:rPr>
      </w:pPr>
      <w:r w:rsidRPr="003D0680">
        <w:rPr>
          <w:rFonts w:ascii="Arial" w:hAnsi="Arial" w:cs="Arial"/>
          <w:sz w:val="16"/>
          <w:szCs w:val="16"/>
        </w:rPr>
        <w:t>A teoria dos jogos parte do ponto que as pessoas estão buscando o que é</w:t>
      </w:r>
      <w:r w:rsidRPr="003D0680">
        <w:rPr>
          <w:rFonts w:ascii="Arial" w:hAnsi="Arial" w:cs="Arial"/>
          <w:sz w:val="16"/>
          <w:szCs w:val="16"/>
        </w:rPr>
        <w:br/>
        <w:t>bom para elas. O que não parece ser tão chocante embora controverso para</w:t>
      </w:r>
      <w:r w:rsidRPr="003D0680">
        <w:rPr>
          <w:rFonts w:ascii="Arial" w:hAnsi="Arial" w:cs="Arial"/>
          <w:sz w:val="16"/>
          <w:szCs w:val="16"/>
        </w:rPr>
        <w:br/>
        <w:t>muitas pessoas: somos interessados em nós mesmos. E para buscar o que</w:t>
      </w:r>
      <w:r w:rsidRPr="003D0680">
        <w:rPr>
          <w:rFonts w:ascii="Arial" w:hAnsi="Arial" w:cs="Arial"/>
          <w:sz w:val="16"/>
          <w:szCs w:val="16"/>
        </w:rPr>
        <w:br/>
        <w:t>é melhor para si ou o que imaginamos ser melhor, as pessoas têm valores</w:t>
      </w:r>
      <w:r w:rsidRPr="003D0680">
        <w:rPr>
          <w:rFonts w:ascii="Arial" w:hAnsi="Arial" w:cs="Arial"/>
          <w:sz w:val="16"/>
          <w:szCs w:val="16"/>
        </w:rPr>
        <w:br/>
        <w:t>— elas identificam o que querem e o que não querem (MESQUITA, 2009</w:t>
      </w:r>
      <w:r w:rsidR="0077782E" w:rsidRPr="003D0680">
        <w:rPr>
          <w:rFonts w:ascii="Arial" w:hAnsi="Arial" w:cs="Arial"/>
          <w:sz w:val="16"/>
          <w:szCs w:val="16"/>
        </w:rPr>
        <w:t>a, min.</w:t>
      </w:r>
      <w:r w:rsidRPr="003D0680">
        <w:rPr>
          <w:rFonts w:ascii="Arial" w:hAnsi="Arial" w:cs="Arial"/>
          <w:sz w:val="16"/>
          <w:szCs w:val="16"/>
        </w:rPr>
        <w:t xml:space="preserve"> 2:17–2:37).</w:t>
      </w:r>
    </w:p>
    <w:p w:rsidR="000F1383" w:rsidRPr="003D0680" w:rsidRDefault="000F1383" w:rsidP="000F1383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>Originalmente estabelecida em 1838 por Cournot a teoria ganhou proeminência a partir</w:t>
      </w:r>
      <w:r w:rsidRPr="003D0680">
        <w:rPr>
          <w:rFonts w:ascii="Arial" w:hAnsi="Arial" w:cs="Arial"/>
          <w:sz w:val="20"/>
          <w:szCs w:val="20"/>
        </w:rPr>
        <w:br/>
        <w:t>do livro</w:t>
      </w:r>
      <w:r w:rsidRPr="003D0680">
        <w:rPr>
          <w:rFonts w:ascii="Arial" w:hAnsi="Arial" w:cs="Arial"/>
          <w:i/>
          <w:sz w:val="20"/>
          <w:szCs w:val="20"/>
        </w:rPr>
        <w:t xml:space="preserve"> The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Theory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of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Games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and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Economic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Behavior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de Neumann e Morgenstern (1947) que</w:t>
      </w:r>
      <w:r w:rsidRPr="003D0680">
        <w:rPr>
          <w:rFonts w:ascii="Arial" w:hAnsi="Arial" w:cs="Arial"/>
          <w:sz w:val="20"/>
          <w:szCs w:val="20"/>
        </w:rPr>
        <w:br/>
        <w:t>formalizou modelos matemáticos para estudo do comportamento econômico, nas interações</w:t>
      </w:r>
      <w:r w:rsidRPr="003D0680">
        <w:rPr>
          <w:rFonts w:ascii="Arial" w:hAnsi="Arial" w:cs="Arial"/>
          <w:sz w:val="20"/>
          <w:szCs w:val="20"/>
        </w:rPr>
        <w:br/>
        <w:t xml:space="preserve">entre agentes, em cenários de conflito ou cooperação. </w:t>
      </w:r>
      <w:r w:rsidRPr="003D0680">
        <w:rPr>
          <w:rFonts w:ascii="Arial" w:hAnsi="Arial" w:cs="Arial"/>
          <w:sz w:val="20"/>
          <w:szCs w:val="20"/>
        </w:rPr>
        <w:t>Transcendendo</w:t>
      </w:r>
      <w:r w:rsidRPr="003D0680">
        <w:rPr>
          <w:rFonts w:ascii="Arial" w:hAnsi="Arial" w:cs="Arial"/>
          <w:sz w:val="20"/>
          <w:szCs w:val="20"/>
        </w:rPr>
        <w:t xml:space="preserve"> o ramo econômico, a</w:t>
      </w:r>
      <w:r w:rsidRPr="003D0680">
        <w:rPr>
          <w:rFonts w:ascii="Arial" w:hAnsi="Arial" w:cs="Arial"/>
          <w:sz w:val="20"/>
          <w:szCs w:val="20"/>
        </w:rPr>
        <w:br/>
        <w:t>teoria dos jogos ganhou aplicações nas diversas áreas como: militar (HAYWOOD, 1954; RAND,</w:t>
      </w:r>
      <w:r w:rsidRPr="003D0680">
        <w:rPr>
          <w:rFonts w:ascii="Arial" w:hAnsi="Arial" w:cs="Arial"/>
          <w:sz w:val="20"/>
          <w:szCs w:val="20"/>
        </w:rPr>
        <w:br/>
        <w:t>2004), jurídico (ROSA, 2014), biológico (SMITH, 1982), filosófico (LEWIS, 2002), político (</w:t>
      </w:r>
      <w:r w:rsidR="0077782E" w:rsidRPr="003D0680">
        <w:rPr>
          <w:rFonts w:ascii="Arial" w:hAnsi="Arial" w:cs="Arial"/>
          <w:sz w:val="20"/>
          <w:szCs w:val="20"/>
        </w:rPr>
        <w:t>LEVY; RAZIN</w:t>
      </w:r>
      <w:r w:rsidRPr="003D0680">
        <w:rPr>
          <w:rFonts w:ascii="Arial" w:hAnsi="Arial" w:cs="Arial"/>
          <w:sz w:val="20"/>
          <w:szCs w:val="20"/>
        </w:rPr>
        <w:t xml:space="preserve">, 2003). No ambiente empresarial Golden e </w:t>
      </w:r>
      <w:proofErr w:type="spellStart"/>
      <w:r w:rsidRPr="003D0680">
        <w:rPr>
          <w:rFonts w:ascii="Arial" w:hAnsi="Arial" w:cs="Arial"/>
          <w:sz w:val="20"/>
          <w:szCs w:val="20"/>
        </w:rPr>
        <w:t>Dollinger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(1993) discutem a aplicação da</w:t>
      </w:r>
      <w:r w:rsidRPr="003D0680">
        <w:rPr>
          <w:rFonts w:ascii="Arial" w:hAnsi="Arial" w:cs="Arial"/>
          <w:sz w:val="20"/>
          <w:szCs w:val="20"/>
        </w:rPr>
        <w:br/>
        <w:t>teoria dos jogos em alianças de cooperação e competições estratégicas e Wang (2007) destaca</w:t>
      </w:r>
      <w:r w:rsidRPr="003D0680">
        <w:rPr>
          <w:rFonts w:ascii="Arial" w:hAnsi="Arial" w:cs="Arial"/>
          <w:sz w:val="20"/>
          <w:szCs w:val="20"/>
        </w:rPr>
        <w:br/>
        <w:t xml:space="preserve">sua adoção como uma ferramenta de apoio para selecionar estratégias. </w:t>
      </w:r>
      <w:proofErr w:type="spellStart"/>
      <w:r w:rsidRPr="003D0680">
        <w:rPr>
          <w:rFonts w:ascii="Arial" w:hAnsi="Arial" w:cs="Arial"/>
          <w:sz w:val="20"/>
          <w:szCs w:val="20"/>
        </w:rPr>
        <w:t>Lygero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D0680">
        <w:rPr>
          <w:rFonts w:ascii="Arial" w:hAnsi="Arial" w:cs="Arial"/>
          <w:sz w:val="20"/>
          <w:szCs w:val="20"/>
        </w:rPr>
        <w:t>Godbole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D0680">
        <w:rPr>
          <w:rFonts w:ascii="Arial" w:hAnsi="Arial" w:cs="Arial"/>
          <w:sz w:val="20"/>
          <w:szCs w:val="20"/>
        </w:rPr>
        <w:t>Sastry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(1996) utilizam modelos da teoria para desenvolver controles híbridos em sistemas complexos,</w:t>
      </w:r>
      <w:r w:rsidRPr="003D068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sz w:val="20"/>
          <w:szCs w:val="20"/>
        </w:rPr>
        <w:t>Shen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(2002) emprega para decisões de programação em ambiente de produção e Huang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e Li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(2001) utiliza abordagem na paridade das relações de publicidade da cadeia de suprimentos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fabricante–varejista.</w:t>
      </w:r>
    </w:p>
    <w:p w:rsidR="000F1383" w:rsidRPr="003D0680" w:rsidRDefault="000F1383" w:rsidP="000F1383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>Para Campos (2012) não é raro que a aplicação dos conceitos de cadeia de suprimentos</w:t>
      </w:r>
      <w:r w:rsidRPr="003D0680">
        <w:rPr>
          <w:rFonts w:ascii="Arial" w:hAnsi="Arial" w:cs="Arial"/>
          <w:sz w:val="20"/>
          <w:szCs w:val="20"/>
        </w:rPr>
        <w:br/>
        <w:t>e logística</w:t>
      </w:r>
      <w:r w:rsidRPr="003D0680">
        <w:rPr>
          <w:rStyle w:val="Refdenotaderodap"/>
          <w:rFonts w:ascii="Arial" w:hAnsi="Arial" w:cs="Arial"/>
          <w:sz w:val="20"/>
          <w:szCs w:val="20"/>
        </w:rPr>
        <w:footnoteReference w:id="3"/>
      </w:r>
      <w:r w:rsidRPr="003D0680">
        <w:rPr>
          <w:rFonts w:ascii="Arial" w:hAnsi="Arial" w:cs="Arial"/>
          <w:sz w:val="20"/>
          <w:szCs w:val="20"/>
        </w:rPr>
        <w:t xml:space="preserve"> ocorra em um contexto multidisciplinar incorporando conhecimentos das áreas de</w:t>
      </w:r>
      <w:r w:rsidRPr="003D0680">
        <w:rPr>
          <w:rFonts w:ascii="Arial" w:hAnsi="Arial" w:cs="Arial"/>
          <w:sz w:val="20"/>
          <w:szCs w:val="20"/>
        </w:rPr>
        <w:br/>
        <w:t xml:space="preserve">custo, informática, estatística, matemática. </w:t>
      </w:r>
      <w:proofErr w:type="spellStart"/>
      <w:r w:rsidRPr="003D0680">
        <w:rPr>
          <w:rFonts w:ascii="Arial" w:hAnsi="Arial" w:cs="Arial"/>
          <w:sz w:val="20"/>
          <w:szCs w:val="20"/>
        </w:rPr>
        <w:t>Ayers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(2006) delineia uma cadeia de suprimentos</w:t>
      </w:r>
      <w:r w:rsidRPr="003D0680">
        <w:rPr>
          <w:rFonts w:ascii="Arial" w:hAnsi="Arial" w:cs="Arial"/>
          <w:sz w:val="20"/>
          <w:szCs w:val="20"/>
        </w:rPr>
        <w:br/>
        <w:t>como um conjunto de empresas e pessoas que se relacionam trocando informações e produtos.</w:t>
      </w:r>
      <w:r w:rsidRPr="003D0680">
        <w:rPr>
          <w:rFonts w:ascii="Arial" w:hAnsi="Arial" w:cs="Arial"/>
          <w:sz w:val="20"/>
          <w:szCs w:val="20"/>
        </w:rPr>
        <w:br/>
        <w:t>Já o processo de GCS compreende atividades de decisão relacionadas a organização deste</w:t>
      </w:r>
      <w:r w:rsidRPr="003D0680">
        <w:rPr>
          <w:rFonts w:ascii="Arial" w:hAnsi="Arial" w:cs="Arial"/>
          <w:sz w:val="20"/>
          <w:szCs w:val="20"/>
        </w:rPr>
        <w:br/>
        <w:t>ambiente (FREDENDALL, 2001) e abrange planejamento, controle e coordenação dos canais de</w:t>
      </w:r>
      <w:r w:rsidRPr="003D0680">
        <w:rPr>
          <w:rFonts w:ascii="Arial" w:hAnsi="Arial" w:cs="Arial"/>
          <w:sz w:val="20"/>
          <w:szCs w:val="20"/>
        </w:rPr>
        <w:br/>
        <w:t>distribuição (fornecedores, prestadores de serviço, intermediários, clientes) (PANITZ, 2007). No</w:t>
      </w:r>
      <w:r w:rsidRPr="003D0680">
        <w:rPr>
          <w:rFonts w:ascii="Arial" w:hAnsi="Arial" w:cs="Arial"/>
          <w:sz w:val="20"/>
          <w:szCs w:val="20"/>
        </w:rPr>
        <w:br/>
        <w:t>âmbito deste cenário, a chave da cooperação entre empresas está em conseguir a unidade de</w:t>
      </w:r>
      <w:r w:rsidRPr="003D0680">
        <w:rPr>
          <w:rFonts w:ascii="Arial" w:hAnsi="Arial" w:cs="Arial"/>
          <w:sz w:val="20"/>
          <w:szCs w:val="20"/>
        </w:rPr>
        <w:br/>
        <w:t>motivação pelo alinhamento de incentivos (CAO; ZHANG, 2012). Uma cadeia de suprimentos é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beneficiada pela colaboração entre seus membros, que pode ocorrer pelo compartilhamento</w:t>
      </w:r>
      <w:r w:rsidRPr="003D0680">
        <w:rPr>
          <w:rFonts w:ascii="Arial" w:hAnsi="Arial" w:cs="Arial"/>
          <w:sz w:val="20"/>
          <w:szCs w:val="20"/>
        </w:rPr>
        <w:br/>
        <w:t>de informações, conhecimentos, custos, riscos e recompensas. Mesmo que as organizações</w:t>
      </w:r>
      <w:r w:rsidRPr="003D0680">
        <w:rPr>
          <w:rFonts w:ascii="Arial" w:hAnsi="Arial" w:cs="Arial"/>
          <w:sz w:val="20"/>
          <w:szCs w:val="20"/>
        </w:rPr>
        <w:br/>
        <w:t>constituam unidades autônomas, temos uma sequência ou rede de relações interdependentes</w:t>
      </w:r>
      <w:r w:rsidRPr="003D0680">
        <w:rPr>
          <w:rFonts w:ascii="Arial" w:hAnsi="Arial" w:cs="Arial"/>
          <w:sz w:val="20"/>
          <w:szCs w:val="20"/>
        </w:rPr>
        <w:br/>
        <w:t>que pode promover alianças estratégicas (CHEN; PAULRAJ, 2004). Em geral, a cooperação</w:t>
      </w:r>
      <w:r w:rsidRPr="003D0680">
        <w:rPr>
          <w:rFonts w:ascii="Arial" w:hAnsi="Arial" w:cs="Arial"/>
          <w:sz w:val="20"/>
          <w:szCs w:val="20"/>
        </w:rPr>
        <w:br/>
        <w:t xml:space="preserve">vem ganhando cada vez mais importância, principalmente em redes de alta </w:t>
      </w:r>
      <w:r w:rsidRPr="003D0680">
        <w:rPr>
          <w:rFonts w:ascii="Arial" w:hAnsi="Arial" w:cs="Arial"/>
          <w:sz w:val="20"/>
          <w:szCs w:val="20"/>
        </w:rPr>
        <w:t>complexidade (</w:t>
      </w:r>
      <w:r w:rsidRPr="003D0680">
        <w:rPr>
          <w:rFonts w:ascii="Arial" w:hAnsi="Arial" w:cs="Arial"/>
          <w:sz w:val="20"/>
          <w:szCs w:val="20"/>
        </w:rPr>
        <w:t xml:space="preserve">DRECHSEL, 2010) onde </w:t>
      </w:r>
      <w:r w:rsidR="003D0680" w:rsidRPr="003D0680">
        <w:rPr>
          <w:rFonts w:ascii="Arial" w:hAnsi="Arial" w:cs="Arial"/>
          <w:sz w:val="20"/>
          <w:szCs w:val="20"/>
        </w:rPr>
        <w:t>as decisões de cada um dos membros (agentes) afetam</w:t>
      </w:r>
      <w:r w:rsidRPr="003D0680">
        <w:rPr>
          <w:rFonts w:ascii="Arial" w:hAnsi="Arial" w:cs="Arial"/>
          <w:sz w:val="20"/>
          <w:szCs w:val="20"/>
        </w:rPr>
        <w:t xml:space="preserve"> nas decisões dos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demais e o acordo entre os agentes é a base da cooperação (YOUNG, 1994). Pimentel (2007)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>evidencia a solução de dilemas com cooperação:</w:t>
      </w:r>
    </w:p>
    <w:p w:rsidR="003D0680" w:rsidRPr="003D0680" w:rsidRDefault="003D0680" w:rsidP="003D0680">
      <w:pPr>
        <w:ind w:left="2977"/>
        <w:jc w:val="both"/>
        <w:rPr>
          <w:rFonts w:ascii="Arial" w:hAnsi="Arial" w:cs="Arial"/>
          <w:sz w:val="16"/>
          <w:szCs w:val="16"/>
        </w:rPr>
      </w:pPr>
      <w:r w:rsidRPr="003D0680">
        <w:rPr>
          <w:rFonts w:ascii="Arial" w:hAnsi="Arial" w:cs="Arial"/>
          <w:sz w:val="16"/>
          <w:szCs w:val="16"/>
        </w:rPr>
        <w:lastRenderedPageBreak/>
        <w:t>As paixões podem nos motivar a agir, mas nem sempre são suficientes para</w:t>
      </w:r>
      <w:r w:rsidRPr="003D0680">
        <w:rPr>
          <w:rFonts w:ascii="Arial" w:hAnsi="Arial" w:cs="Arial"/>
          <w:sz w:val="16"/>
          <w:szCs w:val="16"/>
        </w:rPr>
        <w:br/>
        <w:t>prevalecer sobre todas as razões; da mesma forma, as razões, sozinhas, não</w:t>
      </w:r>
      <w:r w:rsidRPr="003D0680">
        <w:rPr>
          <w:rFonts w:ascii="Arial" w:hAnsi="Arial" w:cs="Arial"/>
          <w:sz w:val="16"/>
          <w:szCs w:val="16"/>
        </w:rPr>
        <w:br/>
        <w:t>são tão fortes que garantam que uma ação aconteça. Algumas vezes é preciso</w:t>
      </w:r>
      <w:r w:rsidRPr="003D0680">
        <w:rPr>
          <w:rFonts w:ascii="Arial" w:hAnsi="Arial" w:cs="Arial"/>
          <w:sz w:val="16"/>
          <w:szCs w:val="16"/>
        </w:rPr>
        <w:br/>
        <w:t>um acordo para resolver os nossos dilemas do prisioneiro internos, o que</w:t>
      </w:r>
      <w:r w:rsidRPr="003D0680">
        <w:rPr>
          <w:rFonts w:ascii="Arial" w:hAnsi="Arial" w:cs="Arial"/>
          <w:sz w:val="16"/>
          <w:szCs w:val="16"/>
        </w:rPr>
        <w:br/>
        <w:t>envolve a possibilidade de cooperação na escolha que temos de fazer ao longo</w:t>
      </w:r>
      <w:r w:rsidRPr="003D0680">
        <w:rPr>
          <w:rFonts w:ascii="Arial" w:hAnsi="Arial" w:cs="Arial"/>
          <w:sz w:val="16"/>
          <w:szCs w:val="16"/>
        </w:rPr>
        <w:br/>
        <w:t xml:space="preserve">do tempo entre "prêmios", tais como recompensas, punições e </w:t>
      </w:r>
      <w:proofErr w:type="spellStart"/>
      <w:r w:rsidRPr="003D0680">
        <w:rPr>
          <w:rFonts w:ascii="Arial" w:hAnsi="Arial" w:cs="Arial"/>
          <w:sz w:val="16"/>
          <w:szCs w:val="16"/>
        </w:rPr>
        <w:t>sentimentos</w:t>
      </w:r>
      <w:proofErr w:type="spellEnd"/>
      <w:r w:rsidRPr="003D0680">
        <w:rPr>
          <w:rFonts w:ascii="Arial" w:hAnsi="Arial" w:cs="Arial"/>
          <w:sz w:val="16"/>
          <w:szCs w:val="16"/>
        </w:rPr>
        <w:br/>
        <w:t>de culpa (PIMENTEL, 2007, p. 132).</w:t>
      </w:r>
    </w:p>
    <w:p w:rsidR="003D0680" w:rsidRPr="003D0680" w:rsidRDefault="003D0680" w:rsidP="003D068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>Estudos sobre a aplicação da teoria dos jogos cooperativos no GCS versam como principal questão o gerenciamento harmonioso das decisões entre os elos da cadeia (DOBOS; PINTÉR,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 xml:space="preserve">2010b). O pressuposto está na existência de uma estrutura comum entre agentes na </w:t>
      </w:r>
      <w:r w:rsidRPr="003D0680">
        <w:rPr>
          <w:rFonts w:ascii="Arial" w:hAnsi="Arial" w:cs="Arial"/>
          <w:sz w:val="20"/>
          <w:szCs w:val="20"/>
        </w:rPr>
        <w:t xml:space="preserve">qual o </w:t>
      </w:r>
      <w:r w:rsidRPr="003D0680">
        <w:rPr>
          <w:rFonts w:ascii="Arial" w:hAnsi="Arial" w:cs="Arial"/>
          <w:sz w:val="20"/>
          <w:szCs w:val="20"/>
        </w:rPr>
        <w:t xml:space="preserve">ganho ou custo seja compartilhado, seguindo critérios de justiça definidos por axiomas (BEZERRA; GRANDE; SILVA, 2009). </w:t>
      </w:r>
      <w:proofErr w:type="spellStart"/>
      <w:r w:rsidRPr="003D0680">
        <w:rPr>
          <w:rFonts w:ascii="Arial" w:hAnsi="Arial" w:cs="Arial"/>
          <w:sz w:val="20"/>
          <w:szCs w:val="20"/>
        </w:rPr>
        <w:t>Brink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(2002) caracteriza a propriedade de justiça e eficiência</w:t>
      </w:r>
      <w:r w:rsidRPr="003D0680">
        <w:rPr>
          <w:rFonts w:ascii="Arial" w:hAnsi="Arial" w:cs="Arial"/>
          <w:sz w:val="20"/>
          <w:szCs w:val="20"/>
        </w:rPr>
        <w:t xml:space="preserve"> </w:t>
      </w:r>
      <w:r w:rsidRPr="003D0680">
        <w:rPr>
          <w:rFonts w:ascii="Arial" w:hAnsi="Arial" w:cs="Arial"/>
          <w:sz w:val="20"/>
          <w:szCs w:val="20"/>
        </w:rPr>
        <w:t xml:space="preserve">pelo modelo de jogo cooperativo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Shapley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Value</w:t>
      </w:r>
      <w:proofErr w:type="spellEnd"/>
      <w:r w:rsidRPr="003D0680">
        <w:rPr>
          <w:rFonts w:ascii="Arial" w:hAnsi="Arial" w:cs="Arial"/>
          <w:sz w:val="20"/>
          <w:szCs w:val="20"/>
        </w:rPr>
        <w:t>.</w:t>
      </w:r>
    </w:p>
    <w:p w:rsidR="003D0680" w:rsidRDefault="003D0680" w:rsidP="003D068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D0680">
        <w:rPr>
          <w:rFonts w:ascii="Arial" w:hAnsi="Arial" w:cs="Arial"/>
          <w:sz w:val="20"/>
          <w:szCs w:val="20"/>
        </w:rPr>
        <w:t xml:space="preserve">O presente artigo é uma abordagem sobre a execução do modelo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Shapley</w:t>
      </w:r>
      <w:proofErr w:type="spellEnd"/>
      <w:r w:rsidRPr="003D068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Value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para</w:t>
      </w:r>
      <w:r w:rsidRPr="003D0680">
        <w:rPr>
          <w:rFonts w:ascii="Arial" w:hAnsi="Arial" w:cs="Arial"/>
          <w:sz w:val="20"/>
          <w:szCs w:val="20"/>
        </w:rPr>
        <w:br/>
        <w:t>um problema de GCS. Para tal fim, é presumida uma hipotética cadeia composta por três fornecedores que compartilham seus pontos de distribuição, um centro de apoio e o atendimento</w:t>
      </w:r>
      <w:r w:rsidRPr="003D0680">
        <w:rPr>
          <w:rFonts w:ascii="Arial" w:hAnsi="Arial" w:cs="Arial"/>
          <w:sz w:val="20"/>
          <w:szCs w:val="20"/>
        </w:rPr>
        <w:br/>
        <w:t>a um cliente. O objetivo é balancear os custos itinerários, considerando todas as conexões</w:t>
      </w:r>
      <w:r w:rsidRPr="003D0680">
        <w:rPr>
          <w:rFonts w:ascii="Arial" w:hAnsi="Arial" w:cs="Arial"/>
          <w:sz w:val="20"/>
          <w:szCs w:val="20"/>
        </w:rPr>
        <w:br/>
        <w:t xml:space="preserve">possíveis no atendimento do cliente. A noção de justiça é alcançada pela aplicação </w:t>
      </w:r>
      <w:proofErr w:type="spellStart"/>
      <w:r w:rsidRPr="003D0680">
        <w:rPr>
          <w:rFonts w:ascii="Arial" w:hAnsi="Arial" w:cs="Arial"/>
          <w:i/>
          <w:sz w:val="20"/>
          <w:szCs w:val="20"/>
        </w:rPr>
        <w:t>Shapley</w:t>
      </w:r>
      <w:proofErr w:type="spellEnd"/>
      <w:r w:rsidRPr="003D0680">
        <w:rPr>
          <w:rFonts w:ascii="Arial" w:hAnsi="Arial" w:cs="Arial"/>
          <w:i/>
          <w:sz w:val="20"/>
          <w:szCs w:val="20"/>
        </w:rPr>
        <w:br/>
      </w:r>
      <w:proofErr w:type="spellStart"/>
      <w:r w:rsidRPr="003D0680">
        <w:rPr>
          <w:rFonts w:ascii="Arial" w:hAnsi="Arial" w:cs="Arial"/>
          <w:i/>
          <w:sz w:val="20"/>
          <w:szCs w:val="20"/>
        </w:rPr>
        <w:t>Value</w:t>
      </w:r>
      <w:proofErr w:type="spellEnd"/>
      <w:r w:rsidRPr="003D0680">
        <w:rPr>
          <w:rFonts w:ascii="Arial" w:hAnsi="Arial" w:cs="Arial"/>
          <w:sz w:val="20"/>
          <w:szCs w:val="20"/>
        </w:rPr>
        <w:t xml:space="preserve"> e viabilizada pela codificação do algoritmo na linguagem R</w:t>
      </w:r>
      <w:r w:rsidR="0077782E">
        <w:rPr>
          <w:rStyle w:val="Refdenotaderodap"/>
          <w:rFonts w:ascii="Arial" w:hAnsi="Arial" w:cs="Arial"/>
          <w:sz w:val="20"/>
          <w:szCs w:val="20"/>
        </w:rPr>
        <w:footnoteReference w:id="4"/>
      </w:r>
      <w:r w:rsidRPr="003D0680">
        <w:rPr>
          <w:rFonts w:ascii="Arial" w:hAnsi="Arial" w:cs="Arial"/>
          <w:sz w:val="20"/>
          <w:szCs w:val="20"/>
        </w:rPr>
        <w:t>. Ademais, a conclusão projeta</w:t>
      </w:r>
      <w:r w:rsidRPr="003D0680">
        <w:rPr>
          <w:rFonts w:ascii="Arial" w:hAnsi="Arial" w:cs="Arial"/>
          <w:sz w:val="20"/>
          <w:szCs w:val="20"/>
        </w:rPr>
        <w:br/>
        <w:t>novas lacunas com enlace para estudos em trabalhos futuros.</w:t>
      </w:r>
    </w:p>
    <w:p w:rsidR="00163B4D" w:rsidRDefault="00163B4D" w:rsidP="00163B4D">
      <w:pPr>
        <w:jc w:val="both"/>
        <w:rPr>
          <w:rFonts w:ascii="LMSans12-Regular" w:hAnsi="LMSans12-Regular"/>
          <w:color w:val="000000"/>
          <w:sz w:val="28"/>
          <w:szCs w:val="28"/>
        </w:rPr>
      </w:pPr>
    </w:p>
    <w:p w:rsidR="003D0680" w:rsidRDefault="00163B4D" w:rsidP="00163B4D">
      <w:pPr>
        <w:rPr>
          <w:rFonts w:ascii="Arial" w:hAnsi="Arial" w:cs="Arial"/>
          <w:b/>
          <w:sz w:val="28"/>
        </w:rPr>
      </w:pPr>
      <w:r w:rsidRPr="00163B4D">
        <w:rPr>
          <w:rFonts w:ascii="Arial" w:hAnsi="Arial" w:cs="Arial"/>
          <w:b/>
          <w:sz w:val="28"/>
        </w:rPr>
        <w:t>1 Estudo de caso</w:t>
      </w:r>
    </w:p>
    <w:p w:rsidR="00163B4D" w:rsidRDefault="00163B4D" w:rsidP="00163B4D">
      <w:pPr>
        <w:ind w:firstLine="708"/>
        <w:rPr>
          <w:rFonts w:ascii="Arial" w:hAnsi="Arial" w:cs="Arial"/>
          <w:sz w:val="20"/>
          <w:szCs w:val="20"/>
        </w:rPr>
      </w:pPr>
      <w:r w:rsidRPr="00163B4D">
        <w:rPr>
          <w:rFonts w:ascii="Arial" w:hAnsi="Arial" w:cs="Arial"/>
          <w:sz w:val="20"/>
          <w:szCs w:val="20"/>
        </w:rPr>
        <w:t>Considerando uma coalizão, formada por três fornecedores, adiciona-se indivíduos, um</w:t>
      </w:r>
      <w:r w:rsidRPr="00163B4D">
        <w:rPr>
          <w:rFonts w:ascii="Arial" w:hAnsi="Arial" w:cs="Arial"/>
          <w:sz w:val="20"/>
          <w:szCs w:val="20"/>
        </w:rPr>
        <w:br/>
        <w:t xml:space="preserve">de cada vez, dando a cada um uma contribuição marginal </w:t>
      </w:r>
      <w:proofErr w:type="gramStart"/>
      <w:r w:rsidRPr="00163B4D">
        <w:rPr>
          <w:rFonts w:ascii="Arial" w:hAnsi="Arial" w:cs="Arial"/>
          <w:sz w:val="20"/>
          <w:szCs w:val="20"/>
        </w:rPr>
        <w:t>v(</w:t>
      </w:r>
      <w:proofErr w:type="gramEnd"/>
      <w:r w:rsidRPr="00163B4D">
        <w:rPr>
          <w:rFonts w:ascii="Arial" w:hAnsi="Arial" w:cs="Arial"/>
          <w:sz w:val="20"/>
          <w:szCs w:val="20"/>
        </w:rPr>
        <w:t xml:space="preserve">S </w:t>
      </w:r>
      <w:r w:rsidRPr="00163B4D">
        <w:rPr>
          <w:rFonts w:ascii="Cambria Math" w:hAnsi="Cambria Math" w:cs="Cambria Math"/>
          <w:sz w:val="20"/>
          <w:szCs w:val="20"/>
        </w:rPr>
        <w:t>∪</w:t>
      </w:r>
      <w:r w:rsidRPr="00163B4D">
        <w:rPr>
          <w:rFonts w:ascii="Arial" w:hAnsi="Arial" w:cs="Arial"/>
          <w:sz w:val="20"/>
          <w:szCs w:val="20"/>
        </w:rPr>
        <w:t>{i}) — v(S) para S indivíduos.</w:t>
      </w:r>
      <w:r w:rsidRPr="00163B4D">
        <w:rPr>
          <w:rFonts w:ascii="Arial" w:hAnsi="Arial" w:cs="Arial"/>
          <w:sz w:val="20"/>
          <w:szCs w:val="20"/>
        </w:rPr>
        <w:br/>
        <w:t>Na medida em que os custos são ponderados atinge-se uma noção de justiça.</w:t>
      </w:r>
    </w:p>
    <w:p w:rsidR="00163B4D" w:rsidRPr="00163B4D" w:rsidRDefault="00163B4D" w:rsidP="00163B4D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</w:t>
      </w:r>
      <w:bookmarkStart w:id="0" w:name="_GoBack"/>
      <w:bookmarkEnd w:id="0"/>
    </w:p>
    <w:sectPr w:rsidR="00163B4D" w:rsidRPr="00163B4D" w:rsidSect="00BE236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13C" w:rsidRDefault="00F1113C" w:rsidP="00BE2365">
      <w:pPr>
        <w:spacing w:after="0" w:line="240" w:lineRule="auto"/>
      </w:pPr>
      <w:r>
        <w:separator/>
      </w:r>
    </w:p>
  </w:endnote>
  <w:endnote w:type="continuationSeparator" w:id="0">
    <w:p w:rsidR="00F1113C" w:rsidRDefault="00F1113C" w:rsidP="00BE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Sans12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13C" w:rsidRDefault="00F1113C" w:rsidP="00BE2365">
      <w:pPr>
        <w:spacing w:after="0" w:line="240" w:lineRule="auto"/>
      </w:pPr>
      <w:r>
        <w:separator/>
      </w:r>
    </w:p>
  </w:footnote>
  <w:footnote w:type="continuationSeparator" w:id="0">
    <w:p w:rsidR="00F1113C" w:rsidRDefault="00F1113C" w:rsidP="00BE2365">
      <w:pPr>
        <w:spacing w:after="0" w:line="240" w:lineRule="auto"/>
      </w:pPr>
      <w:r>
        <w:continuationSeparator/>
      </w:r>
    </w:p>
  </w:footnote>
  <w:footnote w:id="1">
    <w:p w:rsidR="00BE2365" w:rsidRPr="003D0680" w:rsidRDefault="00BE2365">
      <w:pPr>
        <w:pStyle w:val="Textodenotaderodap"/>
        <w:rPr>
          <w:rFonts w:ascii="Arial" w:hAnsi="Arial" w:cs="Arial"/>
        </w:rPr>
      </w:pPr>
      <w:r w:rsidRPr="003D0680">
        <w:rPr>
          <w:rStyle w:val="Refdenotaderodap"/>
          <w:rFonts w:ascii="Arial" w:hAnsi="Arial" w:cs="Arial"/>
        </w:rPr>
        <w:footnoteRef/>
      </w:r>
      <w:r w:rsidRPr="003D0680">
        <w:rPr>
          <w:rFonts w:ascii="Arial" w:hAnsi="Arial" w:cs="Arial"/>
        </w:rPr>
        <w:t xml:space="preserve"> </w:t>
      </w:r>
      <w:r w:rsidRPr="003D0680">
        <w:rPr>
          <w:rFonts w:ascii="Arial" w:hAnsi="Arial" w:cs="Arial"/>
          <w:sz w:val="16"/>
          <w:szCs w:val="16"/>
        </w:rPr>
        <w:t>Incerteza é o risco difícil de aferir (SILVER, 2012).</w:t>
      </w:r>
    </w:p>
  </w:footnote>
  <w:footnote w:id="2">
    <w:p w:rsidR="00BE2365" w:rsidRPr="003D0680" w:rsidRDefault="00BE2365">
      <w:pPr>
        <w:pStyle w:val="Textodenotaderodap"/>
        <w:rPr>
          <w:rFonts w:ascii="Arial" w:hAnsi="Arial" w:cs="Arial"/>
        </w:rPr>
      </w:pPr>
      <w:r w:rsidRPr="003D0680">
        <w:rPr>
          <w:rStyle w:val="Refdenotaderodap"/>
          <w:rFonts w:ascii="Arial" w:hAnsi="Arial" w:cs="Arial"/>
        </w:rPr>
        <w:footnoteRef/>
      </w:r>
      <w:r w:rsidRPr="003D0680">
        <w:rPr>
          <w:rFonts w:ascii="Arial" w:hAnsi="Arial" w:cs="Arial"/>
        </w:rPr>
        <w:t xml:space="preserve"> </w:t>
      </w:r>
      <w:r w:rsidRPr="003D0680">
        <w:rPr>
          <w:rFonts w:ascii="Arial" w:hAnsi="Arial" w:cs="Arial"/>
          <w:sz w:val="16"/>
          <w:szCs w:val="16"/>
        </w:rPr>
        <w:t>Risco, conforme Knight (1921), é algo em que você pode colocar um preço.</w:t>
      </w:r>
    </w:p>
  </w:footnote>
  <w:footnote w:id="3">
    <w:p w:rsidR="000F1383" w:rsidRPr="003D0680" w:rsidRDefault="000F1383">
      <w:pPr>
        <w:pStyle w:val="Textodenotaderodap"/>
        <w:rPr>
          <w:rFonts w:ascii="Arial" w:hAnsi="Arial" w:cs="Arial"/>
        </w:rPr>
      </w:pPr>
      <w:r w:rsidRPr="003D0680">
        <w:rPr>
          <w:rStyle w:val="Refdenotaderodap"/>
          <w:rFonts w:ascii="Arial" w:hAnsi="Arial" w:cs="Arial"/>
        </w:rPr>
        <w:footnoteRef/>
      </w:r>
      <w:r w:rsidRPr="003D0680">
        <w:rPr>
          <w:rFonts w:ascii="Arial" w:hAnsi="Arial" w:cs="Arial"/>
        </w:rPr>
        <w:t xml:space="preserve"> </w:t>
      </w:r>
      <w:r w:rsidRPr="003D0680">
        <w:rPr>
          <w:rFonts w:ascii="Arial" w:hAnsi="Arial" w:cs="Arial"/>
          <w:sz w:val="16"/>
          <w:szCs w:val="16"/>
        </w:rPr>
        <w:t>Logística é arte e ciência de mover as coisas de um lugar para outro e armazená-las ao longo do caminho</w:t>
      </w:r>
      <w:r w:rsidRPr="003D0680">
        <w:rPr>
          <w:rFonts w:ascii="Arial" w:hAnsi="Arial" w:cs="Arial"/>
          <w:sz w:val="16"/>
          <w:szCs w:val="16"/>
        </w:rPr>
        <w:t xml:space="preserve"> </w:t>
      </w:r>
      <w:r w:rsidRPr="003D0680">
        <w:rPr>
          <w:rFonts w:ascii="Arial" w:hAnsi="Arial" w:cs="Arial"/>
          <w:sz w:val="16"/>
          <w:szCs w:val="16"/>
        </w:rPr>
        <w:t>(FAWCETT, 2000, p. 370).</w:t>
      </w:r>
    </w:p>
  </w:footnote>
  <w:footnote w:id="4">
    <w:p w:rsidR="0077782E" w:rsidRPr="0077782E" w:rsidRDefault="0077782E">
      <w:pPr>
        <w:pStyle w:val="Textodenotaderodap"/>
        <w:rPr>
          <w:rFonts w:ascii="Arial" w:hAnsi="Arial" w:cs="Arial"/>
        </w:rPr>
      </w:pPr>
      <w:r w:rsidRPr="0077782E">
        <w:rPr>
          <w:rStyle w:val="Refdenotaderodap"/>
          <w:rFonts w:ascii="Arial" w:hAnsi="Arial" w:cs="Arial"/>
        </w:rPr>
        <w:footnoteRef/>
      </w:r>
      <w:r w:rsidRPr="0077782E">
        <w:rPr>
          <w:rFonts w:ascii="Arial" w:hAnsi="Arial" w:cs="Arial"/>
        </w:rPr>
        <w:t xml:space="preserve"> </w:t>
      </w:r>
      <w:r w:rsidRPr="0077782E">
        <w:rPr>
          <w:rFonts w:ascii="Arial" w:hAnsi="Arial" w:cs="Arial"/>
          <w:sz w:val="16"/>
          <w:szCs w:val="16"/>
        </w:rPr>
        <w:t xml:space="preserve">R </w:t>
      </w:r>
      <w:proofErr w:type="spellStart"/>
      <w:r w:rsidRPr="0077782E">
        <w:rPr>
          <w:rFonts w:ascii="Arial" w:hAnsi="Arial" w:cs="Arial"/>
          <w:sz w:val="16"/>
          <w:szCs w:val="16"/>
        </w:rPr>
        <w:t>Development</w:t>
      </w:r>
      <w:proofErr w:type="spellEnd"/>
      <w:r w:rsidRPr="0077782E">
        <w:rPr>
          <w:rFonts w:ascii="Arial" w:hAnsi="Arial" w:cs="Arial"/>
          <w:sz w:val="16"/>
          <w:szCs w:val="16"/>
        </w:rPr>
        <w:t xml:space="preserve"> Core Team. </w:t>
      </w:r>
      <w:r w:rsidRPr="0077782E">
        <w:rPr>
          <w:rFonts w:ascii="Arial" w:hAnsi="Arial" w:cs="Arial"/>
          <w:i/>
          <w:iCs/>
          <w:sz w:val="16"/>
          <w:szCs w:val="16"/>
        </w:rPr>
        <w:t xml:space="preserve">R: A </w:t>
      </w:r>
      <w:proofErr w:type="spellStart"/>
      <w:r w:rsidRPr="0077782E">
        <w:rPr>
          <w:rFonts w:ascii="Arial" w:hAnsi="Arial" w:cs="Arial"/>
          <w:i/>
          <w:iCs/>
          <w:sz w:val="16"/>
          <w:szCs w:val="16"/>
        </w:rPr>
        <w:t>Language</w:t>
      </w:r>
      <w:proofErr w:type="spellEnd"/>
      <w:r w:rsidRPr="0077782E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Pr="0077782E">
        <w:rPr>
          <w:rFonts w:ascii="Arial" w:hAnsi="Arial" w:cs="Arial"/>
          <w:i/>
          <w:iCs/>
          <w:sz w:val="16"/>
          <w:szCs w:val="16"/>
        </w:rPr>
        <w:t>and</w:t>
      </w:r>
      <w:proofErr w:type="spellEnd"/>
      <w:r w:rsidRPr="0077782E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Pr="0077782E">
        <w:rPr>
          <w:rFonts w:ascii="Arial" w:hAnsi="Arial" w:cs="Arial"/>
          <w:i/>
          <w:iCs/>
          <w:sz w:val="16"/>
          <w:szCs w:val="16"/>
        </w:rPr>
        <w:t>Environment</w:t>
      </w:r>
      <w:proofErr w:type="spellEnd"/>
      <w:r w:rsidRPr="0077782E">
        <w:rPr>
          <w:rFonts w:ascii="Arial" w:hAnsi="Arial" w:cs="Arial"/>
          <w:i/>
          <w:iCs/>
          <w:sz w:val="16"/>
          <w:szCs w:val="16"/>
        </w:rPr>
        <w:t xml:space="preserve"> for </w:t>
      </w:r>
      <w:proofErr w:type="spellStart"/>
      <w:r w:rsidRPr="0077782E">
        <w:rPr>
          <w:rFonts w:ascii="Arial" w:hAnsi="Arial" w:cs="Arial"/>
          <w:i/>
          <w:iCs/>
          <w:sz w:val="16"/>
          <w:szCs w:val="16"/>
        </w:rPr>
        <w:t>Statistical</w:t>
      </w:r>
      <w:proofErr w:type="spellEnd"/>
      <w:r w:rsidRPr="0077782E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Pr="0077782E">
        <w:rPr>
          <w:rFonts w:ascii="Arial" w:hAnsi="Arial" w:cs="Arial"/>
          <w:i/>
          <w:iCs/>
          <w:sz w:val="16"/>
          <w:szCs w:val="16"/>
        </w:rPr>
        <w:t>Computing</w:t>
      </w:r>
      <w:proofErr w:type="spellEnd"/>
      <w:r w:rsidRPr="0077782E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77782E">
        <w:rPr>
          <w:rFonts w:ascii="Arial" w:hAnsi="Arial" w:cs="Arial"/>
          <w:sz w:val="16"/>
          <w:szCs w:val="16"/>
        </w:rPr>
        <w:t>Vienna</w:t>
      </w:r>
      <w:proofErr w:type="spellEnd"/>
      <w:r w:rsidRPr="0077782E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77782E">
        <w:rPr>
          <w:rFonts w:ascii="Arial" w:hAnsi="Arial" w:cs="Arial"/>
          <w:sz w:val="16"/>
          <w:szCs w:val="16"/>
        </w:rPr>
        <w:t>Austria</w:t>
      </w:r>
      <w:proofErr w:type="spellEnd"/>
      <w:r w:rsidRPr="0077782E">
        <w:rPr>
          <w:rFonts w:ascii="Arial" w:hAnsi="Arial" w:cs="Arial"/>
          <w:sz w:val="16"/>
          <w:szCs w:val="16"/>
        </w:rPr>
        <w:t>, 2016.</w:t>
      </w:r>
      <w:r w:rsidRPr="0077782E">
        <w:rPr>
          <w:rFonts w:ascii="Arial" w:hAnsi="Arial" w:cs="Arial"/>
          <w:sz w:val="16"/>
          <w:szCs w:val="16"/>
        </w:rPr>
        <w:t xml:space="preserve"> </w:t>
      </w:r>
      <w:r w:rsidRPr="0077782E">
        <w:rPr>
          <w:rFonts w:ascii="Arial" w:hAnsi="Arial" w:cs="Arial"/>
          <w:sz w:val="16"/>
          <w:szCs w:val="16"/>
        </w:rPr>
        <w:t>ISBN 3-900051-07-0. Disponível em: &lt;http://www.R-project.org&gt;.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365" w:rsidRPr="000F1383" w:rsidRDefault="00BE2365">
    <w:pPr>
      <w:pStyle w:val="Cabealho"/>
      <w:rPr>
        <w:rFonts w:ascii="Arial" w:hAnsi="Arial" w:cs="Arial"/>
        <w:b/>
        <w:color w:val="D9D9D9" w:themeColor="background1" w:themeShade="D9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0F1383">
      <w:rPr>
        <w:rFonts w:ascii="Arial" w:hAnsi="Arial" w:cs="Arial"/>
        <w:b/>
        <w:color w:val="D9D9D9" w:themeColor="background1" w:themeShade="D9"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[</w:t>
    </w:r>
    <w:r w:rsidRPr="000F1383">
      <w:rPr>
        <w:rFonts w:ascii="Arial" w:hAnsi="Arial" w:cs="Arial"/>
        <w:b/>
        <w:color w:val="D9D9D9" w:themeColor="background1" w:themeShade="D9"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DRAFT VERSION</w:t>
    </w:r>
    <w:r w:rsidRPr="000F1383">
      <w:rPr>
        <w:rFonts w:ascii="Arial" w:hAnsi="Arial" w:cs="Arial"/>
        <w:b/>
        <w:color w:val="D9D9D9" w:themeColor="background1" w:themeShade="D9"/>
        <w:sz w:val="20"/>
        <w:szCs w:val="2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]</w:t>
    </w:r>
  </w:p>
  <w:p w:rsidR="00BE2365" w:rsidRDefault="00BE23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65"/>
    <w:rsid w:val="000F1383"/>
    <w:rsid w:val="00163B4D"/>
    <w:rsid w:val="003D0680"/>
    <w:rsid w:val="005B6251"/>
    <w:rsid w:val="0068002C"/>
    <w:rsid w:val="0077782E"/>
    <w:rsid w:val="00970047"/>
    <w:rsid w:val="00B65F3B"/>
    <w:rsid w:val="00BC4D06"/>
    <w:rsid w:val="00BE2365"/>
    <w:rsid w:val="00F1113C"/>
    <w:rsid w:val="00F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DB620D-B261-43FA-86D5-A7D9C8DE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2365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236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236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2365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E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2365"/>
  </w:style>
  <w:style w:type="paragraph" w:styleId="Rodap">
    <w:name w:val="footer"/>
    <w:basedOn w:val="Normal"/>
    <w:link w:val="RodapChar"/>
    <w:uiPriority w:val="99"/>
    <w:unhideWhenUsed/>
    <w:rsid w:val="00BE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.anzanell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gb@uol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9044-9EBD-4010-8152-88CD78E9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1246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Thábia &amp; João</dc:creator>
  <cp:keywords/>
  <dc:description/>
  <cp:lastModifiedBy>Thábia &amp; João</cp:lastModifiedBy>
  <cp:revision>5</cp:revision>
  <dcterms:created xsi:type="dcterms:W3CDTF">2016-05-26T00:22:00Z</dcterms:created>
  <dcterms:modified xsi:type="dcterms:W3CDTF">2016-05-26T01:21:00Z</dcterms:modified>
</cp:coreProperties>
</file>