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DL4DR Compound Generator — RL Fine-Tuning</w:t>
      </w:r>
    </w:p>
    <w:p>
      <w:pPr>
        <w:spacing w:after="60"/>
      </w:pPr>
      <w:r>
        <w:rPr>
          <w:b/>
          <w:bCs/>
          <w:sz w:val="28"/>
          <w:szCs w:val="28"/>
        </w:rPr>
        <w:t xml:space="preserve">Reward Hacking &amp; Mode Collapse Investigation Report</w:t>
      </w:r>
    </w:p>
    <w:p>
      <w:pPr>
        <w:spacing w:after="320"/>
      </w:pPr>
      <w:r>
        <w:rPr>
          <w:i/>
          <w:iCs/>
          <w:color w:val="666666"/>
        </w:rPr>
        <w:t xml:space="preserve">Draft v0 — 2026-07-30</w:t>
      </w:r>
    </w:p>
    <w:p>
      <w:pPr>
        <w:pStyle w:val="Heading1"/>
        <w:spacing w:after="160" w:before="320"/>
      </w:pPr>
      <w:r>
        <w:t xml:space="preserve">1. Objective</w:t>
      </w:r>
    </w:p>
    <w:p>
      <w:pPr>
        <w:spacing w:after="160"/>
      </w:pPr>
      <w:r>
        <w:t xml:space="preserve">This project fine-tunes a conditional SMILES VAE compound generator against a frozen DL4DR drug-response predictor (best_random.pt) as a reward model, using REINFORCE. The specific question under investigation: does the policy learn to genuinely generate better drug candidates (lower predicted IC50), or does it learn to exploit ('hack') the reward signal in some way that does not reflect real improvement?</w:t>
      </w:r>
    </w:p>
    <w:p>
      <w:pPr>
        <w:pStyle w:val="Heading1"/>
        <w:spacing w:after="160" w:before="320"/>
      </w:pPr>
      <w:r>
        <w:t xml:space="preserve">2. Method Summary</w:t>
      </w:r>
    </w:p>
    <w:p>
      <w:pPr>
        <w:pStyle w:val="ListParagraph"/>
        <w:numPr>
          <w:ilvl w:val="0"/>
          <w:numId w:val="2"/>
        </w:numPr>
        <w:spacing w:after="80"/>
      </w:pPr>
      <w:r>
        <w:t xml:space="preserve">Reward = −predicted ln(IC50) from the frozen predictor, plus a fixed penalty for invalid/undecodable SMILES.</w:t>
      </w:r>
    </w:p>
    <w:p>
      <w:pPr>
        <w:pStyle w:val="ListParagraph"/>
        <w:numPr>
          <w:ilvl w:val="0"/>
          <w:numId w:val="2"/>
        </w:numPr>
        <w:spacing w:after="80"/>
      </w:pPr>
      <w:r>
        <w:t xml:space="preserve">Full-VAE variant (new_rl_finetune.py): both the encoder and decoder are trained. Each epoch, real seed SMILES for the current cell line are encoded to a posterior z (instead of sampling z from a fixed prior), so REINFORCE gradients reach the encoder as well as the decoder. A standard VAE ELBO term (reconstruction + KL) is added on the same z to keep the encoder's posterior well-behaved.</w:t>
      </w:r>
    </w:p>
    <w:p>
      <w:pPr>
        <w:pStyle w:val="ListParagraph"/>
        <w:numPr>
          <w:ilvl w:val="0"/>
          <w:numId w:val="2"/>
        </w:numPr>
        <w:spacing w:after="80"/>
      </w:pPr>
      <w:r>
        <w:t xml:space="preserve">Independent evaluation (new_rl_eval_independent.py) scores generated molecules two ways at once: (a) the frozen predictor's own reward-model score — what the policy was optimized for; and (b) reward-model-blind checks the predictor cannot see or influence — RDKit validity, Lipinski Rule-of-Five druglikeness, novelty vs. the training set, nearest-neighbor Tanimoto similarity, and uniqueness. A widening gap between (a) climbing and (b) staying flat or falling is the reward-hacking signal this report is checking for.</w:t>
      </w:r>
    </w:p>
    <w:p>
      <w:pPr>
        <w:pStyle w:val="Heading1"/>
        <w:spacing w:after="160" w:before="320"/>
      </w:pPr>
      <w:r>
        <w:t xml:space="preserve">3. Metric Definitions</w:t>
      </w:r>
    </w:p>
    <w:p>
      <w:pPr>
        <w:spacing w:after="160"/>
      </w:pPr>
      <w:r>
        <w:t xml:space="preserve">These four independent metrics measure different, non-overlapping properties of the generated molecules: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D9E2F3" w:val="clear"/>
            <w:tcMar>
              <w:top w:type="dxa" w:w="80"/>
              <w:left w:type="dxa" w:w="100"/>
              <w:bottom w:type="dxa" w:w="80"/>
              <w:right w:type="dxa" w:w="100"/>
            </w:tcMar>
          </w:tcPr>
          <w:p>
            <w:pPr>
              <w:jc w:val="left"/>
            </w:pPr>
            <w:r>
              <w:rPr>
                <w:b/>
                <w:bCs/>
              </w:rPr>
              <w:t xml:space="preserve">Metric</w:t>
            </w:r>
          </w:p>
        </w:tc>
        <w:tc>
          <w:tcPr>
            <w:tcW w:type="dxa" w:w="7680"/>
            <w:shd w:fill="D9E2F3" w:val="clear"/>
            <w:tcMar>
              <w:top w:type="dxa" w:w="80"/>
              <w:left w:type="dxa" w:w="100"/>
              <w:bottom w:type="dxa" w:w="80"/>
              <w:right w:type="dxa" w:w="100"/>
            </w:tcMar>
          </w:tcPr>
          <w:p>
            <w:pPr>
              <w:jc w:val="left"/>
            </w:pPr>
            <w:r>
              <w:rPr>
                <w:b/>
                <w:bCs/>
              </w:rPr>
              <w:t xml:space="preserve">What it measures</w:t>
            </w:r>
          </w:p>
        </w:tc>
      </w:tr>
      <w:tr>
        <w:tc>
          <w:tcPr>
            <w:tcW w:type="dxa" w:w="2400"/>
            <w:tcMar>
              <w:top w:type="dxa" w:w="80"/>
              <w:left w:type="dxa" w:w="100"/>
              <w:bottom w:type="dxa" w:w="80"/>
              <w:right w:type="dxa" w:w="100"/>
            </w:tcMar>
          </w:tcPr>
          <w:p>
            <w:pPr>
              <w:jc w:val="left"/>
            </w:pPr>
            <w:r>
              <w:rPr>
                <w:b w:val="false"/>
                <w:bCs w:val="false"/>
              </w:rPr>
              <w:t xml:space="preserve">Validity</w:t>
            </w:r>
          </w:p>
        </w:tc>
        <w:tc>
          <w:tcPr>
            <w:tcW w:type="dxa" w:w="7680"/>
            <w:tcMar>
              <w:top w:type="dxa" w:w="80"/>
              <w:left w:type="dxa" w:w="100"/>
              <w:bottom w:type="dxa" w:w="80"/>
              <w:right w:type="dxa" w:w="100"/>
            </w:tcMar>
          </w:tcPr>
          <w:p>
            <w:pPr>
              <w:jc w:val="left"/>
            </w:pPr>
            <w:r>
              <w:rPr>
                <w:b w:val="false"/>
                <w:bCs w:val="false"/>
              </w:rPr>
              <w:t xml:space="preserve">Can this single SMILES string be parsed into a chemically valid molecule (correct atom valence, closed rings)? A per-sample, syntactic check only.</w:t>
            </w:r>
          </w:p>
        </w:tc>
      </w:tr>
      <w:tr>
        <w:tc>
          <w:tcPr>
            <w:tcW w:type="dxa" w:w="2400"/>
            <w:tcMar>
              <w:top w:type="dxa" w:w="80"/>
              <w:left w:type="dxa" w:w="100"/>
              <w:bottom w:type="dxa" w:w="80"/>
              <w:right w:type="dxa" w:w="100"/>
            </w:tcMar>
          </w:tcPr>
          <w:p>
            <w:pPr>
              <w:jc w:val="left"/>
            </w:pPr>
            <w:r>
              <w:rPr>
                <w:b w:val="false"/>
                <w:bCs w:val="false"/>
              </w:rPr>
              <w:t xml:space="preserve">Uniqueness</w:t>
            </w:r>
          </w:p>
        </w:tc>
        <w:tc>
          <w:tcPr>
            <w:tcW w:type="dxa" w:w="7680"/>
            <w:tcMar>
              <w:top w:type="dxa" w:w="80"/>
              <w:left w:type="dxa" w:w="100"/>
              <w:bottom w:type="dxa" w:w="80"/>
              <w:right w:type="dxa" w:w="100"/>
            </w:tcMar>
          </w:tcPr>
          <w:p>
            <w:pPr>
              <w:jc w:val="left"/>
            </w:pPr>
            <w:r>
              <w:rPr>
                <w:b w:val="false"/>
                <w:bCs w:val="false"/>
              </w:rPr>
              <w:t xml:space="preserve">Of the valid molecules in one batch, what fraction are structurally distinct from each other? A within-batch diversity check — independent of validity.</w:t>
            </w:r>
          </w:p>
        </w:tc>
      </w:tr>
      <w:tr>
        <w:tc>
          <w:tcPr>
            <w:tcW w:type="dxa" w:w="2400"/>
            <w:tcMar>
              <w:top w:type="dxa" w:w="80"/>
              <w:left w:type="dxa" w:w="100"/>
              <w:bottom w:type="dxa" w:w="80"/>
              <w:right w:type="dxa" w:w="100"/>
            </w:tcMar>
          </w:tcPr>
          <w:p>
            <w:pPr>
              <w:jc w:val="left"/>
            </w:pPr>
            <w:r>
              <w:rPr>
                <w:b w:val="false"/>
                <w:bCs w:val="false"/>
              </w:rPr>
              <w:t xml:space="preserve">Novelty rate</w:t>
            </w:r>
          </w:p>
        </w:tc>
        <w:tc>
          <w:tcPr>
            <w:tcW w:type="dxa" w:w="7680"/>
            <w:tcMar>
              <w:top w:type="dxa" w:w="80"/>
              <w:left w:type="dxa" w:w="100"/>
              <w:bottom w:type="dxa" w:w="80"/>
              <w:right w:type="dxa" w:w="100"/>
            </w:tcMar>
          </w:tcPr>
          <w:p>
            <w:pPr>
              <w:jc w:val="left"/>
            </w:pPr>
            <w:r>
              <w:rPr>
                <w:b w:val="false"/>
                <w:bCs w:val="false"/>
              </w:rPr>
              <w:t xml:space="preserve">Of the unique valid molecules, what fraction do NOT already appear in the training set? Checks for memorization/copying vs. genuine generation.</w:t>
            </w:r>
          </w:p>
        </w:tc>
      </w:tr>
      <w:tr>
        <w:tc>
          <w:tcPr>
            <w:tcW w:type="dxa" w:w="2400"/>
            <w:tcMar>
              <w:top w:type="dxa" w:w="80"/>
              <w:left w:type="dxa" w:w="100"/>
              <w:bottom w:type="dxa" w:w="80"/>
              <w:right w:type="dxa" w:w="100"/>
            </w:tcMar>
          </w:tcPr>
          <w:p>
            <w:pPr>
              <w:jc w:val="left"/>
            </w:pPr>
            <w:r>
              <w:rPr>
                <w:b w:val="false"/>
                <w:bCs w:val="false"/>
              </w:rPr>
              <w:t xml:space="preserve">Lipinski pass rate</w:t>
            </w:r>
          </w:p>
        </w:tc>
        <w:tc>
          <w:tcPr>
            <w:tcW w:type="dxa" w:w="7680"/>
            <w:tcMar>
              <w:top w:type="dxa" w:w="80"/>
              <w:left w:type="dxa" w:w="100"/>
              <w:bottom w:type="dxa" w:w="80"/>
              <w:right w:type="dxa" w:w="100"/>
            </w:tcMar>
          </w:tcPr>
          <w:p>
            <w:pPr>
              <w:jc w:val="left"/>
            </w:pPr>
            <w:r>
              <w:rPr>
                <w:b w:val="false"/>
                <w:bCs w:val="false"/>
              </w:rPr>
              <w:t xml:space="preserve">Standard Rule-of-Five druglikeness filter (molecular weight, LogP, H-bond donors/acceptors, rotatable bonds). The predictor was never trained on this rule, so it is a reward-model-blind sanity check.</w:t>
            </w:r>
          </w:p>
        </w:tc>
      </w:tr>
      <w:tr>
        <w:tc>
          <w:tcPr>
            <w:tcW w:type="dxa" w:w="2400"/>
            <w:tcMar>
              <w:top w:type="dxa" w:w="80"/>
              <w:left w:type="dxa" w:w="100"/>
              <w:bottom w:type="dxa" w:w="80"/>
              <w:right w:type="dxa" w:w="100"/>
            </w:tcMar>
          </w:tcPr>
          <w:p>
            <w:pPr>
              <w:jc w:val="left"/>
            </w:pPr>
            <w:r>
              <w:rPr>
                <w:b w:val="false"/>
                <w:bCs w:val="false"/>
              </w:rPr>
              <w:t xml:space="preserve">Reward-model score</w:t>
            </w:r>
          </w:p>
        </w:tc>
        <w:tc>
          <w:tcPr>
            <w:tcW w:type="dxa" w:w="7680"/>
            <w:tcMar>
              <w:top w:type="dxa" w:w="80"/>
              <w:left w:type="dxa" w:w="100"/>
              <w:bottom w:type="dxa" w:w="80"/>
              <w:right w:type="dxa" w:w="100"/>
            </w:tcMar>
          </w:tcPr>
          <w:p>
            <w:pPr>
              <w:jc w:val="left"/>
            </w:pPr>
            <w:r>
              <w:rPr>
                <w:b w:val="false"/>
                <w:bCs w:val="false"/>
              </w:rPr>
              <w:t xml:space="preserve">−predicted ln(IC50) from the frozen predictor — the actual quantity the policy was optimized to maximize.</w:t>
            </w:r>
          </w:p>
        </w:tc>
      </w:tr>
    </w:tbl>
    <w:p>
      <w:pPr>
        <w:spacing w:after="160"/>
      </w:pPr>
    </w:p>
    <w:p>
      <w:pPr>
        <w:spacing w:after="160"/>
      </w:pPr>
      <w:r>
        <w:rPr>
          <w:b/>
          <w:bCs/>
        </w:rPr>
        <w:t xml:space="preserve">Key point: </w:t>
      </w:r>
      <w:r>
        <w:t xml:space="preserve">high validity does not imply high molecule quality or diversity. It only means the generated string is chemically parseable. A policy can reach ~100% validity by repeatedly emitting the same few known-safe molecules — which is exactly what is observed below (see Section 6).</w:t>
      </w:r>
    </w:p>
    <w:p>
      <w:pPr>
        <w:pStyle w:val="Heading1"/>
        <w:spacing w:after="160" w:before="320"/>
      </w:pPr>
      <w:r>
        <w:t xml:space="preserve">4. Runs Compared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shd w:fill="D9E2F3" w:val="clear"/>
            <w:tcMar>
              <w:top w:type="dxa" w:w="80"/>
              <w:left w:type="dxa" w:w="100"/>
              <w:bottom w:type="dxa" w:w="80"/>
              <w:right w:type="dxa" w:w="100"/>
            </w:tcMar>
          </w:tcPr>
          <w:p>
            <w:pPr>
              <w:jc w:val="left"/>
            </w:pPr>
            <w:r>
              <w:rPr>
                <w:b/>
                <w:bCs/>
              </w:rPr>
              <w:t xml:space="preserve"/>
            </w:r>
          </w:p>
        </w:tc>
        <w:tc>
          <w:tcPr>
            <w:tcW w:type="dxa" w:w="3940"/>
            <w:shd w:fill="D9E2F3" w:val="clear"/>
            <w:tcMar>
              <w:top w:type="dxa" w:w="80"/>
              <w:left w:type="dxa" w:w="100"/>
              <w:bottom w:type="dxa" w:w="80"/>
              <w:right w:type="dxa" w:w="100"/>
            </w:tcMar>
          </w:tcPr>
          <w:p>
            <w:pPr>
              <w:jc w:val="left"/>
            </w:pPr>
            <w:r>
              <w:rPr>
                <w:b/>
                <w:bCs/>
              </w:rPr>
              <w:t xml:space="preserve">v1</w:t>
            </w:r>
          </w:p>
        </w:tc>
        <w:tc>
          <w:tcPr>
            <w:tcW w:type="dxa" w:w="3940"/>
            <w:shd w:fill="D9E2F3" w:val="clear"/>
            <w:tcMar>
              <w:top w:type="dxa" w:w="80"/>
              <w:left w:type="dxa" w:w="100"/>
              <w:bottom w:type="dxa" w:w="80"/>
              <w:right w:type="dxa" w:w="100"/>
            </w:tcMar>
          </w:tcPr>
          <w:p>
            <w:pPr>
              <w:jc w:val="left"/>
            </w:pPr>
            <w:r>
              <w:rPr>
                <w:b/>
                <w:bCs/>
              </w:rPr>
              <w:t xml:space="preserve">v2</w:t>
            </w:r>
          </w:p>
        </w:tc>
      </w:tr>
      <w:tr>
        <w:tc>
          <w:tcPr>
            <w:tcW w:type="dxa" w:w="2200"/>
            <w:tcMar>
              <w:top w:type="dxa" w:w="80"/>
              <w:left w:type="dxa" w:w="100"/>
              <w:bottom w:type="dxa" w:w="80"/>
              <w:right w:type="dxa" w:w="100"/>
            </w:tcMar>
          </w:tcPr>
          <w:p>
            <w:pPr>
              <w:jc w:val="left"/>
            </w:pPr>
            <w:r>
              <w:rPr>
                <w:b w:val="false"/>
                <w:bCs w:val="false"/>
              </w:rPr>
              <w:t xml:space="preserve">Epochs</w:t>
            </w:r>
          </w:p>
        </w:tc>
        <w:tc>
          <w:tcPr>
            <w:tcW w:type="dxa" w:w="3940"/>
            <w:tcMar>
              <w:top w:type="dxa" w:w="80"/>
              <w:left w:type="dxa" w:w="100"/>
              <w:bottom w:type="dxa" w:w="80"/>
              <w:right w:type="dxa" w:w="100"/>
            </w:tcMar>
          </w:tcPr>
          <w:p>
            <w:pPr>
              <w:jc w:val="left"/>
            </w:pPr>
            <w:r>
              <w:rPr>
                <w:b w:val="false"/>
                <w:bCs w:val="false"/>
              </w:rPr>
              <w:t xml:space="preserve">1000</w:t>
            </w:r>
          </w:p>
        </w:tc>
        <w:tc>
          <w:tcPr>
            <w:tcW w:type="dxa" w:w="3940"/>
            <w:tcMar>
              <w:top w:type="dxa" w:w="80"/>
              <w:left w:type="dxa" w:w="100"/>
              <w:bottom w:type="dxa" w:w="80"/>
              <w:right w:type="dxa" w:w="100"/>
            </w:tcMar>
          </w:tcPr>
          <w:p>
            <w:pPr>
              <w:jc w:val="left"/>
            </w:pPr>
            <w:r>
              <w:rPr>
                <w:b w:val="false"/>
                <w:bCs w:val="false"/>
              </w:rPr>
              <w:t xml:space="preserve">2000</w:t>
            </w:r>
          </w:p>
        </w:tc>
      </w:tr>
      <w:tr>
        <w:tc>
          <w:tcPr>
            <w:tcW w:type="dxa" w:w="2200"/>
            <w:tcMar>
              <w:top w:type="dxa" w:w="80"/>
              <w:left w:type="dxa" w:w="100"/>
              <w:bottom w:type="dxa" w:w="80"/>
              <w:right w:type="dxa" w:w="100"/>
            </w:tcMar>
          </w:tcPr>
          <w:p>
            <w:pPr>
              <w:jc w:val="left"/>
            </w:pPr>
            <w:r>
              <w:rPr>
                <w:b w:val="false"/>
                <w:bCs w:val="false"/>
              </w:rPr>
              <w:t xml:space="preserve">entropy_coef</w:t>
            </w:r>
          </w:p>
        </w:tc>
        <w:tc>
          <w:tcPr>
            <w:tcW w:type="dxa" w:w="3940"/>
            <w:tcMar>
              <w:top w:type="dxa" w:w="80"/>
              <w:left w:type="dxa" w:w="100"/>
              <w:bottom w:type="dxa" w:w="80"/>
              <w:right w:type="dxa" w:w="100"/>
            </w:tcMar>
          </w:tcPr>
          <w:p>
            <w:pPr>
              <w:jc w:val="left"/>
            </w:pPr>
            <w:r>
              <w:rPr>
                <w:b w:val="false"/>
                <w:bCs w:val="false"/>
              </w:rPr>
              <w:t xml:space="preserve">0.01</w:t>
            </w:r>
          </w:p>
        </w:tc>
        <w:tc>
          <w:tcPr>
            <w:tcW w:type="dxa" w:w="3940"/>
            <w:tcMar>
              <w:top w:type="dxa" w:w="80"/>
              <w:left w:type="dxa" w:w="100"/>
              <w:bottom w:type="dxa" w:w="80"/>
              <w:right w:type="dxa" w:w="100"/>
            </w:tcMar>
          </w:tcPr>
          <w:p>
            <w:pPr>
              <w:jc w:val="left"/>
            </w:pPr>
            <w:r>
              <w:rPr>
                <w:b w:val="false"/>
                <w:bCs w:val="false"/>
              </w:rPr>
              <w:t xml:space="preserve">0.05</w:t>
            </w:r>
          </w:p>
        </w:tc>
      </w:tr>
      <w:tr>
        <w:tc>
          <w:tcPr>
            <w:tcW w:type="dxa" w:w="2200"/>
            <w:tcMar>
              <w:top w:type="dxa" w:w="80"/>
              <w:left w:type="dxa" w:w="100"/>
              <w:bottom w:type="dxa" w:w="80"/>
              <w:right w:type="dxa" w:w="100"/>
            </w:tcMar>
          </w:tcPr>
          <w:p>
            <w:pPr>
              <w:jc w:val="left"/>
            </w:pPr>
            <w:r>
              <w:rPr>
                <w:b w:val="false"/>
                <w:bCs w:val="false"/>
              </w:rPr>
              <w:t xml:space="preserve">invalid_penalty</w:t>
            </w:r>
          </w:p>
        </w:tc>
        <w:tc>
          <w:tcPr>
            <w:tcW w:type="dxa" w:w="3940"/>
            <w:tcMar>
              <w:top w:type="dxa" w:w="80"/>
              <w:left w:type="dxa" w:w="100"/>
              <w:bottom w:type="dxa" w:w="80"/>
              <w:right w:type="dxa" w:w="100"/>
            </w:tcMar>
          </w:tcPr>
          <w:p>
            <w:pPr>
              <w:jc w:val="left"/>
            </w:pPr>
            <w:r>
              <w:rPr>
                <w:b w:val="false"/>
                <w:bCs w:val="false"/>
              </w:rPr>
              <w:t xml:space="preserve">-10.0</w:t>
            </w:r>
          </w:p>
        </w:tc>
        <w:tc>
          <w:tcPr>
            <w:tcW w:type="dxa" w:w="3940"/>
            <w:tcMar>
              <w:top w:type="dxa" w:w="80"/>
              <w:left w:type="dxa" w:w="100"/>
              <w:bottom w:type="dxa" w:w="80"/>
              <w:right w:type="dxa" w:w="100"/>
            </w:tcMar>
          </w:tcPr>
          <w:p>
            <w:pPr>
              <w:jc w:val="left"/>
            </w:pPr>
            <w:r>
              <w:rPr>
                <w:b w:val="false"/>
                <w:bCs w:val="false"/>
              </w:rPr>
              <w:t xml:space="preserve">-5.0</w:t>
            </w:r>
          </w:p>
        </w:tc>
      </w:tr>
      <w:tr>
        <w:tc>
          <w:tcPr>
            <w:tcW w:type="dxa" w:w="2200"/>
            <w:tcMar>
              <w:top w:type="dxa" w:w="80"/>
              <w:left w:type="dxa" w:w="100"/>
              <w:bottom w:type="dxa" w:w="80"/>
              <w:right w:type="dxa" w:w="100"/>
            </w:tcMar>
          </w:tcPr>
          <w:p>
            <w:pPr>
              <w:jc w:val="left"/>
            </w:pPr>
            <w:r>
              <w:rPr>
                <w:b w:val="false"/>
                <w:bCs w:val="false"/>
              </w:rPr>
              <w:t xml:space="preserve">Checkpoint</w:t>
            </w:r>
          </w:p>
        </w:tc>
        <w:tc>
          <w:tcPr>
            <w:tcW w:type="dxa" w:w="3940"/>
            <w:tcMar>
              <w:top w:type="dxa" w:w="80"/>
              <w:left w:type="dxa" w:w="100"/>
              <w:bottom w:type="dxa" w:w="80"/>
              <w:right w:type="dxa" w:w="100"/>
            </w:tcMar>
          </w:tcPr>
          <w:p>
            <w:pPr>
              <w:jc w:val="left"/>
            </w:pPr>
            <w:r>
              <w:rPr>
                <w:b w:val="false"/>
                <w:bCs w:val="false"/>
              </w:rPr>
              <w:t xml:space="preserve">checkpoints_gen_rl_full_vae/final_rl.pt</w:t>
            </w:r>
          </w:p>
        </w:tc>
        <w:tc>
          <w:tcPr>
            <w:tcW w:type="dxa" w:w="3940"/>
            <w:tcMar>
              <w:top w:type="dxa" w:w="80"/>
              <w:left w:type="dxa" w:w="100"/>
              <w:bottom w:type="dxa" w:w="80"/>
              <w:right w:type="dxa" w:w="100"/>
            </w:tcMar>
          </w:tcPr>
          <w:p>
            <w:pPr>
              <w:jc w:val="left"/>
            </w:pPr>
            <w:r>
              <w:rPr>
                <w:b w:val="false"/>
                <w:bCs w:val="false"/>
              </w:rPr>
              <w:t xml:space="preserve">checkpoints_gen_rl_full_vae_v2/final_rl.pt</w:t>
            </w:r>
          </w:p>
        </w:tc>
      </w:tr>
    </w:tbl>
    <w:p>
      <w:pPr>
        <w:pStyle w:val="Heading1"/>
        <w:spacing w:after="160" w:before="320"/>
      </w:pPr>
      <w:r>
        <w:t xml:space="preserve">5. Results</w:t>
      </w:r>
    </w:p>
    <w:p>
      <w:pPr>
        <w:pStyle w:val="Heading2"/>
        <w:spacing w:after="120" w:before="240"/>
      </w:pPr>
      <w:r>
        <w:t xml:space="preserve">5.1 Training-log trend (last ~50 logged epochs of each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740"/>
        <w:gridCol w:w="3740"/>
      </w:tblGrid>
      <w:tr>
        <w:trPr>
          <w:tblHeader/>
        </w:trPr>
        <w:tc>
          <w:tcPr>
            <w:tcW w:type="dxa" w:w="2600"/>
            <w:shd w:fill="D9E2F3" w:val="clear"/>
            <w:tcMar>
              <w:top w:type="dxa" w:w="80"/>
              <w:left w:type="dxa" w:w="100"/>
              <w:bottom w:type="dxa" w:w="80"/>
              <w:right w:type="dxa" w:w="100"/>
            </w:tcMar>
          </w:tcPr>
          <w:p>
            <w:pPr>
              <w:jc w:val="left"/>
            </w:pPr>
            <w:r>
              <w:rPr>
                <w:b/>
                <w:bCs/>
              </w:rPr>
              <w:t xml:space="preserve">Metric</w:t>
            </w:r>
          </w:p>
        </w:tc>
        <w:tc>
          <w:tcPr>
            <w:tcW w:type="dxa" w:w="3740"/>
            <w:shd w:fill="D9E2F3" w:val="clear"/>
            <w:tcMar>
              <w:top w:type="dxa" w:w="80"/>
              <w:left w:type="dxa" w:w="100"/>
              <w:bottom w:type="dxa" w:w="80"/>
              <w:right w:type="dxa" w:w="100"/>
            </w:tcMar>
          </w:tcPr>
          <w:p>
            <w:pPr>
              <w:jc w:val="left"/>
            </w:pPr>
            <w:r>
              <w:rPr>
                <w:b/>
                <w:bCs/>
              </w:rPr>
              <w:t xml:space="preserve">v1 tail (epoch ~950–1000)</w:t>
            </w:r>
          </w:p>
        </w:tc>
        <w:tc>
          <w:tcPr>
            <w:tcW w:type="dxa" w:w="3740"/>
            <w:shd w:fill="D9E2F3" w:val="clear"/>
            <w:tcMar>
              <w:top w:type="dxa" w:w="80"/>
              <w:left w:type="dxa" w:w="100"/>
              <w:bottom w:type="dxa" w:w="80"/>
              <w:right w:type="dxa" w:w="100"/>
            </w:tcMar>
          </w:tcPr>
          <w:p>
            <w:pPr>
              <w:jc w:val="left"/>
            </w:pPr>
            <w:r>
              <w:rPr>
                <w:b/>
                <w:bCs/>
              </w:rPr>
              <w:t xml:space="preserve">v2 tail (epoch ~1947–2000)</w:t>
            </w:r>
          </w:p>
        </w:tc>
      </w:tr>
      <w:tr>
        <w:tc>
          <w:tcPr>
            <w:tcW w:type="dxa" w:w="2600"/>
            <w:tcMar>
              <w:top w:type="dxa" w:w="80"/>
              <w:left w:type="dxa" w:w="100"/>
              <w:bottom w:type="dxa" w:w="80"/>
              <w:right w:type="dxa" w:w="100"/>
            </w:tcMar>
          </w:tcPr>
          <w:p>
            <w:pPr>
              <w:jc w:val="left"/>
            </w:pPr>
            <w:r>
              <w:rPr>
                <w:b w:val="false"/>
                <w:bCs w:val="false"/>
              </w:rPr>
              <w:t xml:space="preserve">Entropy</w:t>
            </w:r>
          </w:p>
        </w:tc>
        <w:tc>
          <w:tcPr>
            <w:tcW w:type="dxa" w:w="3740"/>
            <w:tcMar>
              <w:top w:type="dxa" w:w="80"/>
              <w:left w:type="dxa" w:w="100"/>
              <w:bottom w:type="dxa" w:w="80"/>
              <w:right w:type="dxa" w:w="100"/>
            </w:tcMar>
          </w:tcPr>
          <w:p>
            <w:pPr>
              <w:jc w:val="left"/>
            </w:pPr>
            <w:r>
              <w:rPr>
                <w:b w:val="false"/>
                <w:bCs w:val="false"/>
              </w:rPr>
              <w:t xml:space="preserve">0.06 – 0.24</w:t>
            </w:r>
          </w:p>
        </w:tc>
        <w:tc>
          <w:tcPr>
            <w:tcW w:type="dxa" w:w="3740"/>
            <w:tcMar>
              <w:top w:type="dxa" w:w="80"/>
              <w:left w:type="dxa" w:w="100"/>
              <w:bottom w:type="dxa" w:w="80"/>
              <w:right w:type="dxa" w:w="100"/>
            </w:tcMar>
          </w:tcPr>
          <w:p>
            <w:pPr>
              <w:jc w:val="left"/>
            </w:pPr>
            <w:r>
              <w:rPr>
                <w:b w:val="false"/>
                <w:bCs w:val="false"/>
              </w:rPr>
              <w:t xml:space="preserve">0.025 – 0.091  (lower)</w:t>
            </w:r>
          </w:p>
        </w:tc>
      </w:tr>
      <w:tr>
        <w:tc>
          <w:tcPr>
            <w:tcW w:type="dxa" w:w="2600"/>
            <w:tcMar>
              <w:top w:type="dxa" w:w="80"/>
              <w:left w:type="dxa" w:w="100"/>
              <w:bottom w:type="dxa" w:w="80"/>
              <w:right w:type="dxa" w:w="100"/>
            </w:tcMar>
          </w:tcPr>
          <w:p>
            <w:pPr>
              <w:jc w:val="left"/>
            </w:pPr>
            <w:r>
              <w:rPr>
                <w:b w:val="false"/>
                <w:bCs w:val="false"/>
              </w:rPr>
              <w:t xml:space="preserve">Validity</w:t>
            </w:r>
          </w:p>
        </w:tc>
        <w:tc>
          <w:tcPr>
            <w:tcW w:type="dxa" w:w="3740"/>
            <w:tcMar>
              <w:top w:type="dxa" w:w="80"/>
              <w:left w:type="dxa" w:w="100"/>
              <w:bottom w:type="dxa" w:w="80"/>
              <w:right w:type="dxa" w:w="100"/>
            </w:tcMar>
          </w:tcPr>
          <w:p>
            <w:pPr>
              <w:jc w:val="left"/>
            </w:pPr>
            <w:r>
              <w:rPr>
                <w:b w:val="false"/>
                <w:bCs w:val="false"/>
              </w:rPr>
              <w:t xml:space="preserve">92 – 100%</w:t>
            </w:r>
          </w:p>
        </w:tc>
        <w:tc>
          <w:tcPr>
            <w:tcW w:type="dxa" w:w="3740"/>
            <w:tcMar>
              <w:top w:type="dxa" w:w="80"/>
              <w:left w:type="dxa" w:w="100"/>
              <w:bottom w:type="dxa" w:w="80"/>
              <w:right w:type="dxa" w:w="100"/>
            </w:tcMar>
          </w:tcPr>
          <w:p>
            <w:pPr>
              <w:jc w:val="left"/>
            </w:pPr>
            <w:r>
              <w:rPr>
                <w:b w:val="false"/>
                <w:bCs w:val="false"/>
              </w:rPr>
              <w:t xml:space="preserve">93 – 100%  (similar)</w:t>
            </w:r>
          </w:p>
        </w:tc>
      </w:tr>
      <w:tr>
        <w:tc>
          <w:tcPr>
            <w:tcW w:type="dxa" w:w="2600"/>
            <w:tcMar>
              <w:top w:type="dxa" w:w="80"/>
              <w:left w:type="dxa" w:w="100"/>
              <w:bottom w:type="dxa" w:w="80"/>
              <w:right w:type="dxa" w:w="100"/>
            </w:tcMar>
          </w:tcPr>
          <w:p>
            <w:pPr>
              <w:jc w:val="left"/>
            </w:pPr>
            <w:r>
              <w:rPr>
                <w:b w:val="false"/>
                <w:bCs w:val="false"/>
              </w:rPr>
              <w:t xml:space="preserve">mean_reward_valid</w:t>
            </w:r>
          </w:p>
        </w:tc>
        <w:tc>
          <w:tcPr>
            <w:tcW w:type="dxa" w:w="3740"/>
            <w:tcMar>
              <w:top w:type="dxa" w:w="80"/>
              <w:left w:type="dxa" w:w="100"/>
              <w:bottom w:type="dxa" w:w="80"/>
              <w:right w:type="dxa" w:w="100"/>
            </w:tcMar>
          </w:tcPr>
          <w:p>
            <w:pPr>
              <w:jc w:val="left"/>
            </w:pPr>
            <w:r>
              <w:rPr>
                <w:b w:val="false"/>
                <w:bCs w:val="false"/>
              </w:rPr>
              <w:t xml:space="preserve">-3.7 ~ -4.0</w:t>
            </w:r>
          </w:p>
        </w:tc>
        <w:tc>
          <w:tcPr>
            <w:tcW w:type="dxa" w:w="3740"/>
            <w:tcMar>
              <w:top w:type="dxa" w:w="80"/>
              <w:left w:type="dxa" w:w="100"/>
              <w:bottom w:type="dxa" w:w="80"/>
              <w:right w:type="dxa" w:w="100"/>
            </w:tcMar>
          </w:tcPr>
          <w:p>
            <w:pPr>
              <w:jc w:val="left"/>
            </w:pPr>
            <w:r>
              <w:rPr>
                <w:b w:val="false"/>
                <w:bCs w:val="false"/>
              </w:rPr>
              <w:t xml:space="preserve">-2.7 ~ -3.35  (better)</w:t>
            </w:r>
          </w:p>
        </w:tc>
      </w:tr>
    </w:tbl>
    <w:p>
      <w:pPr>
        <w:pStyle w:val="Heading2"/>
        <w:spacing w:after="120" w:before="240"/>
      </w:pPr>
      <w:r>
        <w:t xml:space="preserve">5.2 Independent evaluation (500 samples/cell line, 3 cell lines, both sampling modes)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140"/>
        <w:gridCol w:w="3140"/>
      </w:tblGrid>
      <w:tr>
        <w:trPr>
          <w:tblHeader/>
        </w:trPr>
        <w:tc>
          <w:tcPr>
            <w:tcW w:type="dxa" w:w="1800"/>
            <w:shd w:fill="D9E2F3" w:val="clear"/>
            <w:tcMar>
              <w:top w:type="dxa" w:w="80"/>
              <w:left w:type="dxa" w:w="100"/>
              <w:bottom w:type="dxa" w:w="80"/>
              <w:right w:type="dxa" w:w="100"/>
            </w:tcMar>
          </w:tcPr>
          <w:p>
            <w:pPr>
              <w:jc w:val="left"/>
            </w:pPr>
            <w:r>
              <w:rPr>
                <w:b/>
                <w:bCs/>
              </w:rPr>
              <w:t xml:space="preserve">Mode</w:t>
            </w:r>
          </w:p>
        </w:tc>
        <w:tc>
          <w:tcPr>
            <w:tcW w:type="dxa" w:w="2000"/>
            <w:shd w:fill="D9E2F3" w:val="clear"/>
            <w:tcMar>
              <w:top w:type="dxa" w:w="80"/>
              <w:left w:type="dxa" w:w="100"/>
              <w:bottom w:type="dxa" w:w="80"/>
              <w:right w:type="dxa" w:w="100"/>
            </w:tcMar>
          </w:tcPr>
          <w:p>
            <w:pPr>
              <w:jc w:val="left"/>
            </w:pPr>
            <w:r>
              <w:rPr>
                <w:b/>
                <w:bCs/>
              </w:rPr>
              <w:t xml:space="preserve">Metric</w:t>
            </w:r>
          </w:p>
        </w:tc>
        <w:tc>
          <w:tcPr>
            <w:tcW w:type="dxa" w:w="3140"/>
            <w:shd w:fill="D9E2F3" w:val="clear"/>
            <w:tcMar>
              <w:top w:type="dxa" w:w="80"/>
              <w:left w:type="dxa" w:w="100"/>
              <w:bottom w:type="dxa" w:w="80"/>
              <w:right w:type="dxa" w:w="100"/>
            </w:tcMar>
          </w:tcPr>
          <w:p>
            <w:pPr>
              <w:jc w:val="left"/>
            </w:pPr>
            <w:r>
              <w:rPr>
                <w:b/>
                <w:bCs/>
              </w:rPr>
              <w:t xml:space="preserve">v1</w:t>
            </w:r>
          </w:p>
        </w:tc>
        <w:tc>
          <w:tcPr>
            <w:tcW w:type="dxa" w:w="3140"/>
            <w:shd w:fill="D9E2F3" w:val="clear"/>
            <w:tcMar>
              <w:top w:type="dxa" w:w="80"/>
              <w:left w:type="dxa" w:w="100"/>
              <w:bottom w:type="dxa" w:w="80"/>
              <w:right w:type="dxa" w:w="100"/>
            </w:tcMar>
          </w:tcPr>
          <w:p>
            <w:pPr>
              <w:jc w:val="left"/>
            </w:pPr>
            <w:r>
              <w:rPr>
                <w:b/>
                <w:bCs/>
              </w:rPr>
              <w:t xml:space="preserve">v2</w:t>
            </w:r>
          </w:p>
        </w:tc>
      </w:tr>
      <w:tr>
        <w:tc>
          <w:tcPr>
            <w:tcW w:type="dxa" w:w="1800"/>
            <w:tcMar>
              <w:top w:type="dxa" w:w="80"/>
              <w:left w:type="dxa" w:w="100"/>
              <w:bottom w:type="dxa" w:w="80"/>
              <w:right w:type="dxa" w:w="100"/>
            </w:tcMar>
          </w:tcPr>
          <w:p>
            <w:pPr>
              <w:jc w:val="left"/>
            </w:pPr>
            <w:r>
              <w:rPr>
                <w:b w:val="false"/>
                <w:bCs w:val="false"/>
              </w:rPr>
              <w:t xml:space="preserve">prior
(encoder-free)</w:t>
            </w:r>
          </w:p>
        </w:tc>
        <w:tc>
          <w:tcPr>
            <w:tcW w:type="dxa" w:w="2000"/>
            <w:tcMar>
              <w:top w:type="dxa" w:w="80"/>
              <w:left w:type="dxa" w:w="100"/>
              <w:bottom w:type="dxa" w:w="80"/>
              <w:right w:type="dxa" w:w="100"/>
            </w:tcMar>
          </w:tcPr>
          <w:p>
            <w:pPr>
              <w:jc w:val="left"/>
            </w:pPr>
            <w:r>
              <w:rPr>
                <w:b w:val="false"/>
                <w:bCs w:val="false"/>
              </w:rPr>
              <w:t xml:space="preserve">Reward-model score</w:t>
            </w:r>
          </w:p>
        </w:tc>
        <w:tc>
          <w:tcPr>
            <w:tcW w:type="dxa" w:w="3140"/>
            <w:tcMar>
              <w:top w:type="dxa" w:w="80"/>
              <w:left w:type="dxa" w:w="100"/>
              <w:bottom w:type="dxa" w:w="80"/>
              <w:right w:type="dxa" w:w="100"/>
            </w:tcMar>
          </w:tcPr>
          <w:p>
            <w:pPr>
              <w:jc w:val="left"/>
            </w:pPr>
            <w:r>
              <w:rPr>
                <w:b w:val="false"/>
                <w:bCs w:val="false"/>
              </w:rPr>
              <w:t xml:space="preserve">-3.71 ~ -4.31</w:t>
            </w:r>
          </w:p>
        </w:tc>
        <w:tc>
          <w:tcPr>
            <w:tcW w:type="dxa" w:w="3140"/>
            <w:tcMar>
              <w:top w:type="dxa" w:w="80"/>
              <w:left w:type="dxa" w:w="100"/>
              <w:bottom w:type="dxa" w:w="80"/>
              <w:right w:type="dxa" w:w="100"/>
            </w:tcMar>
          </w:tcPr>
          <w:p>
            <w:pPr>
              <w:jc w:val="left"/>
            </w:pPr>
            <w:r>
              <w:rPr>
                <w:b w:val="false"/>
                <w:bCs w:val="false"/>
              </w:rPr>
              <w:t xml:space="preserve">-3.47 ~ -3.55  (better)</w:t>
            </w:r>
          </w:p>
        </w:tc>
      </w:tr>
      <w:tr>
        <w:tc>
          <w:tcPr>
            <w:tcW w:type="dxa" w:w="18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Validity</w:t>
            </w:r>
          </w:p>
        </w:tc>
        <w:tc>
          <w:tcPr>
            <w:tcW w:type="dxa" w:w="3140"/>
            <w:tcMar>
              <w:top w:type="dxa" w:w="80"/>
              <w:left w:type="dxa" w:w="100"/>
              <w:bottom w:type="dxa" w:w="80"/>
              <w:right w:type="dxa" w:w="100"/>
            </w:tcMar>
          </w:tcPr>
          <w:p>
            <w:pPr>
              <w:jc w:val="left"/>
            </w:pPr>
            <w:r>
              <w:rPr>
                <w:b w:val="false"/>
                <w:bCs w:val="false"/>
              </w:rPr>
              <w:t xml:space="preserve">48.8 – 57.2%</w:t>
            </w:r>
          </w:p>
        </w:tc>
        <w:tc>
          <w:tcPr>
            <w:tcW w:type="dxa" w:w="3140"/>
            <w:tcMar>
              <w:top w:type="dxa" w:w="80"/>
              <w:left w:type="dxa" w:w="100"/>
              <w:bottom w:type="dxa" w:w="80"/>
              <w:right w:type="dxa" w:w="100"/>
            </w:tcMar>
          </w:tcPr>
          <w:p>
            <w:pPr>
              <w:jc w:val="left"/>
            </w:pPr>
            <w:r>
              <w:rPr>
                <w:b w:val="false"/>
                <w:bCs w:val="false"/>
              </w:rPr>
              <w:t xml:space="preserve">58.8 – 65.4%  (higher)</w:t>
            </w:r>
          </w:p>
        </w:tc>
      </w:tr>
      <w:tr>
        <w:tc>
          <w:tcPr>
            <w:tcW w:type="dxa" w:w="18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Uniqueness</w:t>
            </w:r>
          </w:p>
        </w:tc>
        <w:tc>
          <w:tcPr>
            <w:tcW w:type="dxa" w:w="3140"/>
            <w:tcMar>
              <w:top w:type="dxa" w:w="80"/>
              <w:left w:type="dxa" w:w="100"/>
              <w:bottom w:type="dxa" w:w="80"/>
              <w:right w:type="dxa" w:w="100"/>
            </w:tcMar>
          </w:tcPr>
          <w:p>
            <w:pPr>
              <w:jc w:val="left"/>
            </w:pPr>
            <w:r>
              <w:rPr>
                <w:b w:val="false"/>
                <w:bCs w:val="false"/>
              </w:rPr>
              <w:t xml:space="preserve">37.8 – 38.9%</w:t>
            </w:r>
          </w:p>
        </w:tc>
        <w:tc>
          <w:tcPr>
            <w:tcW w:type="dxa" w:w="3140"/>
            <w:tcMar>
              <w:top w:type="dxa" w:w="80"/>
              <w:left w:type="dxa" w:w="100"/>
              <w:bottom w:type="dxa" w:w="80"/>
              <w:right w:type="dxa" w:w="100"/>
            </w:tcMar>
          </w:tcPr>
          <w:p>
            <w:pPr>
              <w:jc w:val="left"/>
            </w:pPr>
            <w:r>
              <w:rPr>
                <w:b w:val="false"/>
                <w:bCs w:val="false"/>
              </w:rPr>
              <w:t xml:space="preserve">24.2 – 27.2%  (lower)</w:t>
            </w:r>
          </w:p>
        </w:tc>
      </w:tr>
      <w:tr>
        <w:tc>
          <w:tcPr>
            <w:tcW w:type="dxa" w:w="1800"/>
            <w:tcMar>
              <w:top w:type="dxa" w:w="80"/>
              <w:left w:type="dxa" w:w="100"/>
              <w:bottom w:type="dxa" w:w="80"/>
              <w:right w:type="dxa" w:w="100"/>
            </w:tcMar>
          </w:tcPr>
          <w:p>
            <w:pPr>
              <w:jc w:val="left"/>
            </w:pPr>
            <w:r>
              <w:rPr>
                <w:b w:val="false"/>
                <w:bCs w:val="false"/>
              </w:rPr>
              <w:t xml:space="preserve">posterior
(encoder-seeded)</w:t>
            </w:r>
          </w:p>
        </w:tc>
        <w:tc>
          <w:tcPr>
            <w:tcW w:type="dxa" w:w="2000"/>
            <w:tcMar>
              <w:top w:type="dxa" w:w="80"/>
              <w:left w:type="dxa" w:w="100"/>
              <w:bottom w:type="dxa" w:w="80"/>
              <w:right w:type="dxa" w:w="100"/>
            </w:tcMar>
          </w:tcPr>
          <w:p>
            <w:pPr>
              <w:jc w:val="left"/>
            </w:pPr>
            <w:r>
              <w:rPr>
                <w:b w:val="false"/>
                <w:bCs w:val="false"/>
              </w:rPr>
              <w:t xml:space="preserve">Reward-model score</w:t>
            </w:r>
          </w:p>
        </w:tc>
        <w:tc>
          <w:tcPr>
            <w:tcW w:type="dxa" w:w="3140"/>
            <w:tcMar>
              <w:top w:type="dxa" w:w="80"/>
              <w:left w:type="dxa" w:w="100"/>
              <w:bottom w:type="dxa" w:w="80"/>
              <w:right w:type="dxa" w:w="100"/>
            </w:tcMar>
          </w:tcPr>
          <w:p>
            <w:pPr>
              <w:jc w:val="left"/>
            </w:pPr>
            <w:r>
              <w:rPr>
                <w:b w:val="false"/>
                <w:bCs w:val="false"/>
              </w:rPr>
              <w:t xml:space="preserve">-3.70 ~ -3.90</w:t>
            </w:r>
          </w:p>
        </w:tc>
        <w:tc>
          <w:tcPr>
            <w:tcW w:type="dxa" w:w="3140"/>
            <w:tcMar>
              <w:top w:type="dxa" w:w="80"/>
              <w:left w:type="dxa" w:w="100"/>
              <w:bottom w:type="dxa" w:w="80"/>
              <w:right w:type="dxa" w:w="100"/>
            </w:tcMar>
          </w:tcPr>
          <w:p>
            <w:pPr>
              <w:jc w:val="left"/>
            </w:pPr>
            <w:r>
              <w:rPr>
                <w:b w:val="false"/>
                <w:bCs w:val="false"/>
              </w:rPr>
              <w:t xml:space="preserve">-3.14 ~ -3.24  (better)</w:t>
            </w:r>
          </w:p>
        </w:tc>
      </w:tr>
      <w:tr>
        <w:tc>
          <w:tcPr>
            <w:tcW w:type="dxa" w:w="18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Validity</w:t>
            </w:r>
          </w:p>
        </w:tc>
        <w:tc>
          <w:tcPr>
            <w:tcW w:type="dxa" w:w="3140"/>
            <w:tcMar>
              <w:top w:type="dxa" w:w="80"/>
              <w:left w:type="dxa" w:w="100"/>
              <w:bottom w:type="dxa" w:w="80"/>
              <w:right w:type="dxa" w:w="100"/>
            </w:tcMar>
          </w:tcPr>
          <w:p>
            <w:pPr>
              <w:jc w:val="left"/>
            </w:pPr>
            <w:r>
              <w:rPr>
                <w:b w:val="false"/>
                <w:bCs w:val="false"/>
              </w:rPr>
              <w:t xml:space="preserve">97.8 – 100%</w:t>
            </w:r>
          </w:p>
        </w:tc>
        <w:tc>
          <w:tcPr>
            <w:tcW w:type="dxa" w:w="3140"/>
            <w:tcMar>
              <w:top w:type="dxa" w:w="80"/>
              <w:left w:type="dxa" w:w="100"/>
              <w:bottom w:type="dxa" w:w="80"/>
              <w:right w:type="dxa" w:w="100"/>
            </w:tcMar>
          </w:tcPr>
          <w:p>
            <w:pPr>
              <w:jc w:val="left"/>
            </w:pPr>
            <w:r>
              <w:rPr>
                <w:b w:val="false"/>
                <w:bCs w:val="false"/>
              </w:rPr>
              <w:t xml:space="preserve">97.0 – 98.4%  (similar)</w:t>
            </w:r>
          </w:p>
        </w:tc>
      </w:tr>
      <w:tr>
        <w:tc>
          <w:tcPr>
            <w:tcW w:type="dxa" w:w="1800"/>
            <w:tcMar>
              <w:top w:type="dxa" w:w="80"/>
              <w:left w:type="dxa" w:w="100"/>
              <w:bottom w:type="dxa" w:w="80"/>
              <w:right w:type="dxa" w:w="100"/>
            </w:tcMar>
          </w:tcPr>
          <w:p>
            <w:pPr>
              <w:jc w:val="left"/>
            </w:pPr>
            <w:r>
              <w:rPr>
                <w:b w:val="false"/>
                <w:bCs w:val="false"/>
              </w:rPr>
              <w:t xml:space="preserve"/>
            </w:r>
          </w:p>
        </w:tc>
        <w:tc>
          <w:tcPr>
            <w:tcW w:type="dxa" w:w="2000"/>
            <w:tcMar>
              <w:top w:type="dxa" w:w="80"/>
              <w:left w:type="dxa" w:w="100"/>
              <w:bottom w:type="dxa" w:w="80"/>
              <w:right w:type="dxa" w:w="100"/>
            </w:tcMar>
          </w:tcPr>
          <w:p>
            <w:pPr>
              <w:jc w:val="left"/>
            </w:pPr>
            <w:r>
              <w:rPr>
                <w:b w:val="false"/>
                <w:bCs w:val="false"/>
              </w:rPr>
              <w:t xml:space="preserve">Uniqueness</w:t>
            </w:r>
          </w:p>
        </w:tc>
        <w:tc>
          <w:tcPr>
            <w:tcW w:type="dxa" w:w="3140"/>
            <w:tcMar>
              <w:top w:type="dxa" w:w="80"/>
              <w:left w:type="dxa" w:w="100"/>
              <w:bottom w:type="dxa" w:w="80"/>
              <w:right w:type="dxa" w:w="100"/>
            </w:tcMar>
          </w:tcPr>
          <w:p>
            <w:pPr>
              <w:jc w:val="left"/>
            </w:pPr>
            <w:r>
              <w:rPr>
                <w:b w:val="false"/>
                <w:bCs w:val="false"/>
              </w:rPr>
              <w:t xml:space="preserve">6.3 – 7.8%</w:t>
            </w:r>
          </w:p>
        </w:tc>
        <w:tc>
          <w:tcPr>
            <w:tcW w:type="dxa" w:w="3140"/>
            <w:tcMar>
              <w:top w:type="dxa" w:w="80"/>
              <w:left w:type="dxa" w:w="100"/>
              <w:bottom w:type="dxa" w:w="80"/>
              <w:right w:type="dxa" w:w="100"/>
            </w:tcMar>
          </w:tcPr>
          <w:p>
            <w:pPr>
              <w:jc w:val="left"/>
            </w:pPr>
            <w:r>
              <w:rPr>
                <w:b w:val="false"/>
                <w:bCs w:val="false"/>
              </w:rPr>
              <w:t xml:space="preserve">5.1 – 7.0%  (similar/lower)</w:t>
            </w:r>
          </w:p>
        </w:tc>
      </w:tr>
      <w:tr>
        <w:tc>
          <w:tcPr>
            <w:tcW w:type="dxa" w:w="1800"/>
            <w:tcMar>
              <w:top w:type="dxa" w:w="80"/>
              <w:left w:type="dxa" w:w="100"/>
              <w:bottom w:type="dxa" w:w="80"/>
              <w:right w:type="dxa" w:w="100"/>
            </w:tcMar>
          </w:tcPr>
          <w:p>
            <w:pPr>
              <w:jc w:val="left"/>
            </w:pPr>
            <w:r>
              <w:rPr>
                <w:b w:val="false"/>
                <w:bCs w:val="false"/>
              </w:rPr>
              <w:t xml:space="preserve">both</w:t>
            </w:r>
          </w:p>
        </w:tc>
        <w:tc>
          <w:tcPr>
            <w:tcW w:type="dxa" w:w="2000"/>
            <w:tcMar>
              <w:top w:type="dxa" w:w="80"/>
              <w:left w:type="dxa" w:w="100"/>
              <w:bottom w:type="dxa" w:w="80"/>
              <w:right w:type="dxa" w:w="100"/>
            </w:tcMar>
          </w:tcPr>
          <w:p>
            <w:pPr>
              <w:jc w:val="left"/>
            </w:pPr>
            <w:r>
              <w:rPr>
                <w:b w:val="false"/>
                <w:bCs w:val="false"/>
              </w:rPr>
              <w:t xml:space="preserve">Novelty rate</w:t>
            </w:r>
          </w:p>
        </w:tc>
        <w:tc>
          <w:tcPr>
            <w:tcW w:type="dxa" w:w="3140"/>
            <w:tcMar>
              <w:top w:type="dxa" w:w="80"/>
              <w:left w:type="dxa" w:w="100"/>
              <w:bottom w:type="dxa" w:w="80"/>
              <w:right w:type="dxa" w:w="100"/>
            </w:tcMar>
          </w:tcPr>
          <w:p>
            <w:pPr>
              <w:jc w:val="left"/>
            </w:pPr>
            <w:r>
              <w:rPr>
                <w:b w:val="false"/>
                <w:bCs w:val="false"/>
              </w:rPr>
              <w:t xml:space="preserve">100%</w:t>
            </w:r>
          </w:p>
        </w:tc>
        <w:tc>
          <w:tcPr>
            <w:tcW w:type="dxa" w:w="3140"/>
            <w:tcMar>
              <w:top w:type="dxa" w:w="80"/>
              <w:left w:type="dxa" w:w="100"/>
              <w:bottom w:type="dxa" w:w="80"/>
              <w:right w:type="dxa" w:w="100"/>
            </w:tcMar>
          </w:tcPr>
          <w:p>
            <w:pPr>
              <w:jc w:val="left"/>
            </w:pPr>
            <w:r>
              <w:rPr>
                <w:b w:val="false"/>
                <w:bCs w:val="false"/>
              </w:rPr>
              <w:t xml:space="preserve">100%</w:t>
            </w:r>
          </w:p>
        </w:tc>
      </w:tr>
      <w:tr>
        <w:tc>
          <w:tcPr>
            <w:tcW w:type="dxa" w:w="1800"/>
            <w:tcMar>
              <w:top w:type="dxa" w:w="80"/>
              <w:left w:type="dxa" w:w="100"/>
              <w:bottom w:type="dxa" w:w="80"/>
              <w:right w:type="dxa" w:w="100"/>
            </w:tcMar>
          </w:tcPr>
          <w:p>
            <w:pPr>
              <w:jc w:val="left"/>
            </w:pPr>
            <w:r>
              <w:rPr>
                <w:b w:val="false"/>
                <w:bCs w:val="false"/>
              </w:rPr>
              <w:t xml:space="preserve">both</w:t>
            </w:r>
          </w:p>
        </w:tc>
        <w:tc>
          <w:tcPr>
            <w:tcW w:type="dxa" w:w="2000"/>
            <w:tcMar>
              <w:top w:type="dxa" w:w="80"/>
              <w:left w:type="dxa" w:w="100"/>
              <w:bottom w:type="dxa" w:w="80"/>
              <w:right w:type="dxa" w:w="100"/>
            </w:tcMar>
          </w:tcPr>
          <w:p>
            <w:pPr>
              <w:jc w:val="left"/>
            </w:pPr>
            <w:r>
              <w:rPr>
                <w:b w:val="false"/>
                <w:bCs w:val="false"/>
              </w:rPr>
              <w:t xml:space="preserve">Lipinski pass rate</w:t>
            </w:r>
          </w:p>
        </w:tc>
        <w:tc>
          <w:tcPr>
            <w:tcW w:type="dxa" w:w="3140"/>
            <w:tcMar>
              <w:top w:type="dxa" w:w="80"/>
              <w:left w:type="dxa" w:w="100"/>
              <w:bottom w:type="dxa" w:w="80"/>
              <w:right w:type="dxa" w:w="100"/>
            </w:tcMar>
          </w:tcPr>
          <w:p>
            <w:pPr>
              <w:jc w:val="left"/>
            </w:pPr>
            <w:r>
              <w:rPr>
                <w:b w:val="false"/>
                <w:bCs w:val="false"/>
              </w:rPr>
              <w:t xml:space="preserve">100%</w:t>
            </w:r>
          </w:p>
        </w:tc>
        <w:tc>
          <w:tcPr>
            <w:tcW w:type="dxa" w:w="3140"/>
            <w:tcMar>
              <w:top w:type="dxa" w:w="80"/>
              <w:left w:type="dxa" w:w="100"/>
              <w:bottom w:type="dxa" w:w="80"/>
              <w:right w:type="dxa" w:w="100"/>
            </w:tcMar>
          </w:tcPr>
          <w:p>
            <w:pPr>
              <w:jc w:val="left"/>
            </w:pPr>
            <w:r>
              <w:rPr>
                <w:b w:val="false"/>
                <w:bCs w:val="false"/>
              </w:rPr>
              <w:t xml:space="preserve">100%</w:t>
            </w:r>
          </w:p>
        </w:tc>
      </w:tr>
      <w:tr>
        <w:tc>
          <w:tcPr>
            <w:tcW w:type="dxa" w:w="1800"/>
            <w:tcMar>
              <w:top w:type="dxa" w:w="80"/>
              <w:left w:type="dxa" w:w="100"/>
              <w:bottom w:type="dxa" w:w="80"/>
              <w:right w:type="dxa" w:w="100"/>
            </w:tcMar>
          </w:tcPr>
          <w:p>
            <w:pPr>
              <w:jc w:val="left"/>
            </w:pPr>
            <w:r>
              <w:rPr>
                <w:b w:val="false"/>
                <w:bCs w:val="false"/>
              </w:rPr>
              <w:t xml:space="preserve">both</w:t>
            </w:r>
          </w:p>
        </w:tc>
        <w:tc>
          <w:tcPr>
            <w:tcW w:type="dxa" w:w="2000"/>
            <w:tcMar>
              <w:top w:type="dxa" w:w="80"/>
              <w:left w:type="dxa" w:w="100"/>
              <w:bottom w:type="dxa" w:w="80"/>
              <w:right w:type="dxa" w:w="100"/>
            </w:tcMar>
          </w:tcPr>
          <w:p>
            <w:pPr>
              <w:jc w:val="left"/>
            </w:pPr>
            <w:r>
              <w:rPr>
                <w:b w:val="false"/>
                <w:bCs w:val="false"/>
              </w:rPr>
              <w:t xml:space="preserve">mean_NN_Tanimoto</w:t>
            </w:r>
          </w:p>
        </w:tc>
        <w:tc>
          <w:tcPr>
            <w:tcW w:type="dxa" w:w="3140"/>
            <w:tcMar>
              <w:top w:type="dxa" w:w="80"/>
              <w:left w:type="dxa" w:w="100"/>
              <w:bottom w:type="dxa" w:w="80"/>
              <w:right w:type="dxa" w:w="100"/>
            </w:tcMar>
          </w:tcPr>
          <w:p>
            <w:pPr>
              <w:jc w:val="left"/>
            </w:pPr>
            <w:r>
              <w:rPr>
                <w:b w:val="false"/>
                <w:bCs w:val="false"/>
              </w:rPr>
              <w:t xml:space="preserve">0.26 – 0.30</w:t>
            </w:r>
          </w:p>
        </w:tc>
        <w:tc>
          <w:tcPr>
            <w:tcW w:type="dxa" w:w="3140"/>
            <w:tcMar>
              <w:top w:type="dxa" w:w="80"/>
              <w:left w:type="dxa" w:w="100"/>
              <w:bottom w:type="dxa" w:w="80"/>
              <w:right w:type="dxa" w:w="100"/>
            </w:tcMar>
          </w:tcPr>
          <w:p>
            <w:pPr>
              <w:jc w:val="left"/>
            </w:pPr>
            <w:r>
              <w:rPr>
                <w:b w:val="false"/>
                <w:bCs w:val="false"/>
              </w:rPr>
              <w:t xml:space="preserve">0.27 – 0.30  (similar)</w:t>
            </w:r>
          </w:p>
        </w:tc>
      </w:tr>
    </w:tbl>
    <w:p>
      <w:pPr>
        <w:pStyle w:val="Heading1"/>
        <w:spacing w:after="160" w:before="320"/>
      </w:pPr>
      <w:r>
        <w:t xml:space="preserve">6. Interpretation</w:t>
      </w:r>
    </w:p>
    <w:p>
      <w:pPr>
        <w:pStyle w:val="ListParagraph"/>
        <w:numPr>
          <w:ilvl w:val="0"/>
          <w:numId w:val="2"/>
        </w:numPr>
        <w:spacing w:after="80"/>
      </w:pPr>
      <w:r>
        <w:t xml:space="preserve">Reward genuinely improved in v2, in both sampling modes (e.g. posterior-mode reward moved from ~-3.8 average to ~-3.2 average). This is real progress on the actual objective, not just a validity artifact — unlike v1, where reward for valid molecules was essentially flat across training despite validity climbing from ~10% to ~97%.</w:t>
      </w:r>
    </w:p>
    <w:p>
      <w:pPr>
        <w:pStyle w:val="ListParagraph"/>
        <w:numPr>
          <w:ilvl w:val="0"/>
          <w:numId w:val="2"/>
        </w:numPr>
        <w:spacing w:after="80"/>
      </w:pPr>
      <w:r>
        <w:t xml:space="preserve">Entropy collapsed further in v2, not less, despite entropy_coef increasing 5x. Likely explanation: the entropy bonus term is entropy_coef × mean(entropy). Once entropy is already small (as it was by the end of v1), a 5x larger coefficient on an already-tiny value still contributes a negligible term next to the main REINFORCE loss (order 1–5 in magnitude). The bonus was too weak at this scale to fight the collapse.</w:t>
      </w:r>
    </w:p>
    <w:p>
      <w:pPr>
        <w:pStyle w:val="ListParagraph"/>
        <w:numPr>
          <w:ilvl w:val="0"/>
          <w:numId w:val="2"/>
        </w:numPr>
        <w:spacing w:after="80"/>
      </w:pPr>
      <w:r>
        <w:t xml:space="preserve">Prior-mode uniqueness got worse in v2 (38% → 25%) even as prior-mode validity improved — consistent with the whole policy narrowing onto a smaller, higher-reward set of outputs, not a mode-specific effect.</w:t>
      </w:r>
    </w:p>
    <w:p>
      <w:pPr>
        <w:pStyle w:val="ListParagraph"/>
        <w:numPr>
          <w:ilvl w:val="0"/>
          <w:numId w:val="2"/>
        </w:numPr>
        <w:spacing w:after="80"/>
      </w:pPr>
      <w:r>
        <w:t xml:space="preserve">Posterior-mode collapse persists essentially unchanged (~6–8% uniqueness in both runs): the encoder-seeded path is generating a small, repeated set of molecules regardless of which real compound was encoded as the seed. Neither the invalid_penalty relaxation nor the entropy_coef increase meaningfully affected this.</w:t>
      </w:r>
    </w:p>
    <w:p>
      <w:pPr>
        <w:pStyle w:val="ListParagraph"/>
        <w:numPr>
          <w:ilvl w:val="0"/>
          <w:numId w:val="2"/>
        </w:numPr>
        <w:spacing w:after="80"/>
      </w:pPr>
      <w:r>
        <w:t xml:space="preserve">No strict reward-hacking flag (predictor rewarding non-drug-like molecules) fired in either run: Lipinski pass rate stayed at 100% and reward-model score stayed negative throughout. The predictor is not being fooled into favoring molecules a standard druglikeness filter would reject.</w:t>
      </w:r>
    </w:p>
    <w:p>
      <w:pPr>
        <w:pStyle w:val="Heading1"/>
        <w:spacing w:after="160" w:before="320"/>
      </w:pPr>
      <w:r>
        <w:t xml:space="preserve">7. Verdict</w:t>
      </w:r>
    </w:p>
    <w:p>
      <w:pPr>
        <w:spacing w:after="160"/>
      </w:pPr>
      <w:r>
        <w:rPr>
          <w:b/>
          <w:bCs/>
        </w:rPr>
        <w:t xml:space="preserve">No classic reward hacking detected (predictor exploited via non-drug-like molecules). </w:t>
      </w:r>
      <w:r>
        <w:t xml:space="preserve">Lipinski pass rate held at 100% and reward-model score remained solidly negative across both runs and both sampling modes — the specific failure mode the evaluation script is built to catch did not occur.</w:t>
      </w:r>
    </w:p>
    <w:p>
      <w:pPr>
        <w:spacing w:after="160"/>
      </w:pPr>
      <w:r>
        <w:rPr>
          <w:b/>
          <w:bCs/>
        </w:rPr>
        <w:t xml:space="preserve">A related but distinct failure mode was found instead: specification gaming via validity, compounded by mode collapse. </w:t>
      </w:r>
      <w:r>
        <w:t xml:space="preserve">Over 1000–2000 epochs, the policy learned to reliably avoid the invalid_penalty (validity 10% → ~97–100%) largely by narrowing its output distribution onto a small, repeated set of molecules (uniqueness collapsed to single digits in the encoder-seeded path), rather than by broadly exploring toward better drug candidates. v2's hyperparameter change did produce a real reward improvement, but at the cost of even lower diversity — a genuine trade-off, not a fix.</w:t>
      </w:r>
    </w:p>
    <w:p>
      <w:pPr>
        <w:pStyle w:val="Heading1"/>
        <w:spacing w:after="160" w:before="320"/>
      </w:pPr>
      <w:r>
        <w:t xml:space="preserve">8. Recommended Next Steps</w:t>
      </w:r>
    </w:p>
    <w:p>
      <w:pPr>
        <w:pStyle w:val="ListParagraph"/>
        <w:numPr>
          <w:ilvl w:val="0"/>
          <w:numId w:val="2"/>
        </w:numPr>
        <w:spacing w:after="80"/>
      </w:pPr>
      <w:r>
        <w:t xml:space="preserve">Use a substantially larger entropy_coef (try 0.5–1.0, an order of magnitude beyond what was tested) — the 5x increase tested here was too small relative to how compressed entropy already was by the time it was applied.</w:t>
      </w:r>
    </w:p>
    <w:p>
      <w:pPr>
        <w:pStyle w:val="ListParagraph"/>
        <w:numPr>
          <w:ilvl w:val="0"/>
          <w:numId w:val="2"/>
        </w:numPr>
        <w:spacing w:after="80"/>
      </w:pPr>
      <w:r>
        <w:t xml:space="preserve">Re-run the independent evaluation with the updated new_rl_eval_independent.py, which now prints the exact top-repeated canonical SMILES and a distinct-molecule count per batch. This was added after the v2 run and has not yet been executed on Vista — running it will show precisely which molecule(s) the policy is spamming, rather than only the aggregate uniqueness percentage.</w:t>
      </w:r>
    </w:p>
    <w:p>
      <w:pPr>
        <w:pStyle w:val="ListParagraph"/>
        <w:numPr>
          <w:ilvl w:val="0"/>
          <w:numId w:val="2"/>
        </w:numPr>
        <w:spacing w:after="80"/>
      </w:pPr>
      <w:r>
        <w:t xml:space="preserve">Consider explicit diversity regularization (e.g., a batch-level uniqueness penalty, or top-p / temperature-based decoding) rather than relying solely on the entropy bonus, which this experiment shows is a weak lever once collapse has already started.</w:t>
      </w:r>
    </w:p>
    <w:p>
      <w:pPr>
        <w:pStyle w:val="ListParagraph"/>
        <w:numPr>
          <w:ilvl w:val="0"/>
          <w:numId w:val="2"/>
        </w:numPr>
        <w:spacing w:after="80"/>
      </w:pPr>
      <w:r>
        <w:t xml:space="preserve">Track uniqueness alongside reward during training (not only at the end) to identify the epoch range where collapse accelerates, rather than diagnosing it only from the final checkpoint.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2026-07-30T17:05:37.071Z</dcterms:created>
  <dcterms:modified xsi:type="dcterms:W3CDTF">2026-07-30T17:05:37.072Z</dcterms:modified>
</cp:coreProperties>
</file>

<file path=docProps/custom.xml><?xml version="1.0" encoding="utf-8"?>
<Properties xmlns="http://schemas.openxmlformats.org/officeDocument/2006/custom-properties" xmlns:vt="http://schemas.openxmlformats.org/officeDocument/2006/docPropsVTypes"/>
</file>