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DL4DR Compound Generator — RL Fine-Tuning</w:t>
      </w:r>
    </w:p>
    <w:p>
      <w:pPr>
        <w:spacing w:after="60"/>
      </w:pPr>
      <w:r>
        <w:rPr>
          <w:b/>
          <w:bCs/>
          <w:sz w:val="28"/>
          <w:szCs w:val="28"/>
        </w:rPr>
        <w:t xml:space="preserve">Reward Hacking &amp; Mode Collapse Investigation Report</w:t>
      </w:r>
    </w:p>
    <w:p>
      <w:pPr>
        <w:spacing w:after="320"/>
      </w:pPr>
      <w:r>
        <w:rPr>
          <w:i/>
          <w:iCs/>
          <w:color w:val="666666"/>
        </w:rPr>
        <w:t xml:space="preserve">Draft v1 — 2026-07-30</w:t>
      </w:r>
    </w:p>
    <w:p>
      <w:pPr>
        <w:pStyle w:val="Heading1"/>
        <w:spacing w:after="160" w:before="320"/>
      </w:pPr>
      <w:r>
        <w:t xml:space="preserve">1. Objective</w:t>
      </w:r>
    </w:p>
    <w:p>
      <w:pPr>
        <w:spacing w:after="160"/>
      </w:pPr>
      <w:r>
        <w:t xml:space="preserve">This project fine-tunes a conditional SMILES VAE compound generator against a frozen DL4DR drug-response predictor (best_random.pt) as a reward model, using REINFORCE. The specific question under investigation: does the policy learn to genuinely generate better drug candidates (lower predicted IC50), or does it learn to exploit ('hack') the reward signal in some way that does not reflect real improvement?</w:t>
      </w:r>
    </w:p>
    <w:p>
      <w:pPr>
        <w:pStyle w:val="Heading1"/>
        <w:spacing w:after="160" w:before="320"/>
      </w:pPr>
      <w:r>
        <w:t xml:space="preserve">2. Method Summary</w:t>
      </w:r>
    </w:p>
    <w:p>
      <w:pPr>
        <w:pStyle w:val="ListParagraph"/>
        <w:numPr>
          <w:ilvl w:val="0"/>
          <w:numId w:val="2"/>
        </w:numPr>
        <w:spacing w:after="80"/>
      </w:pPr>
      <w:r>
        <w:t xml:space="preserve">Reward = −predicted ln(IC50) from the frozen predictor, plus a fixed penalty for invalid/undecodable SMILES.</w:t>
      </w:r>
    </w:p>
    <w:p>
      <w:pPr>
        <w:pStyle w:val="ListParagraph"/>
        <w:numPr>
          <w:ilvl w:val="0"/>
          <w:numId w:val="2"/>
        </w:numPr>
        <w:spacing w:after="80"/>
      </w:pPr>
      <w:r>
        <w:t xml:space="preserve">Full-VAE variant (new_rl_finetune.py): both the encoder and decoder are trained. Each epoch, real seed SMILES for the current cell line are encoded to a posterior z (instead of sampling z from a fixed prior), so REINFORCE gradients reach the encoder as well as the decoder. A standard VAE ELBO term (reconstruction + KL) is added on the same z to keep the encoder's posterior well-behaved.</w:t>
      </w:r>
    </w:p>
    <w:p>
      <w:pPr>
        <w:pStyle w:val="ListParagraph"/>
        <w:numPr>
          <w:ilvl w:val="0"/>
          <w:numId w:val="2"/>
        </w:numPr>
        <w:spacing w:after="80"/>
      </w:pPr>
      <w:r>
        <w:t xml:space="preserve">Independent evaluation (new_rl_eval_independent.py) scores generated molecules two ways at once: (a) the frozen predictor's own reward-model score — what the policy was optimized for; and (b) reward-model-blind checks the predictor cannot see or influence — RDKit validity, Lipinski Rule-of-Five druglikeness, novelty vs. the training set, nearest-neighbor Tanimoto similarity, and uniqueness. A widening gap between (a) climbing and (b) staying flat or falling is the reward-hacking signal this report is checking for.</w:t>
      </w:r>
    </w:p>
    <w:p>
      <w:pPr>
        <w:pStyle w:val="Heading1"/>
        <w:spacing w:after="160" w:before="320"/>
      </w:pPr>
      <w:r>
        <w:t xml:space="preserve">3. Metric Definitions</w:t>
      </w:r>
    </w:p>
    <w:p>
      <w:pPr>
        <w:spacing w:after="160"/>
      </w:pPr>
      <w:r>
        <w:t xml:space="preserve">These four independent metrics measure different, non-overlapping properties of the generated molecules: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D9E2F3" w:val="clear"/>
            <w:tcMar>
              <w:top w:type="dxa" w:w="80"/>
              <w:left w:type="dxa" w:w="100"/>
              <w:bottom w:type="dxa" w:w="80"/>
              <w:right w:type="dxa" w:w="100"/>
            </w:tcMar>
          </w:tcPr>
          <w:p>
            <w:pPr>
              <w:jc w:val="left"/>
            </w:pPr>
            <w:r>
              <w:rPr>
                <w:b/>
                <w:bCs/>
              </w:rPr>
              <w:t xml:space="preserve">Metric</w:t>
            </w:r>
          </w:p>
        </w:tc>
        <w:tc>
          <w:tcPr>
            <w:tcW w:type="dxa" w:w="7680"/>
            <w:shd w:fill="D9E2F3" w:val="clear"/>
            <w:tcMar>
              <w:top w:type="dxa" w:w="80"/>
              <w:left w:type="dxa" w:w="100"/>
              <w:bottom w:type="dxa" w:w="80"/>
              <w:right w:type="dxa" w:w="100"/>
            </w:tcMar>
          </w:tcPr>
          <w:p>
            <w:pPr>
              <w:jc w:val="left"/>
            </w:pPr>
            <w:r>
              <w:rPr>
                <w:b/>
                <w:bCs/>
              </w:rPr>
              <w:t xml:space="preserve">What it measures</w:t>
            </w:r>
          </w:p>
        </w:tc>
      </w:tr>
      <w:tr>
        <w:tc>
          <w:tcPr>
            <w:tcW w:type="dxa" w:w="2400"/>
            <w:tcMar>
              <w:top w:type="dxa" w:w="80"/>
              <w:left w:type="dxa" w:w="100"/>
              <w:bottom w:type="dxa" w:w="80"/>
              <w:right w:type="dxa" w:w="100"/>
            </w:tcMar>
          </w:tcPr>
          <w:p>
            <w:pPr>
              <w:jc w:val="left"/>
            </w:pPr>
            <w:r>
              <w:rPr>
                <w:b w:val="false"/>
                <w:bCs w:val="false"/>
              </w:rPr>
              <w:t xml:space="preserve">Validity</w:t>
            </w:r>
          </w:p>
        </w:tc>
        <w:tc>
          <w:tcPr>
            <w:tcW w:type="dxa" w:w="7680"/>
            <w:tcMar>
              <w:top w:type="dxa" w:w="80"/>
              <w:left w:type="dxa" w:w="100"/>
              <w:bottom w:type="dxa" w:w="80"/>
              <w:right w:type="dxa" w:w="100"/>
            </w:tcMar>
          </w:tcPr>
          <w:p>
            <w:pPr>
              <w:jc w:val="left"/>
            </w:pPr>
            <w:r>
              <w:rPr>
                <w:b w:val="false"/>
                <w:bCs w:val="false"/>
              </w:rPr>
              <w:t xml:space="preserve">Can this single SMILES string be parsed into a chemically valid molecule (correct atom valence, closed rings)? A per-sample, syntactic check only.</w:t>
            </w:r>
          </w:p>
        </w:tc>
      </w:tr>
      <w:tr>
        <w:tc>
          <w:tcPr>
            <w:tcW w:type="dxa" w:w="2400"/>
            <w:tcMar>
              <w:top w:type="dxa" w:w="80"/>
              <w:left w:type="dxa" w:w="100"/>
              <w:bottom w:type="dxa" w:w="80"/>
              <w:right w:type="dxa" w:w="100"/>
            </w:tcMar>
          </w:tcPr>
          <w:p>
            <w:pPr>
              <w:jc w:val="left"/>
            </w:pPr>
            <w:r>
              <w:rPr>
                <w:b w:val="false"/>
                <w:bCs w:val="false"/>
              </w:rPr>
              <w:t xml:space="preserve">Uniqueness</w:t>
            </w:r>
          </w:p>
        </w:tc>
        <w:tc>
          <w:tcPr>
            <w:tcW w:type="dxa" w:w="7680"/>
            <w:tcMar>
              <w:top w:type="dxa" w:w="80"/>
              <w:left w:type="dxa" w:w="100"/>
              <w:bottom w:type="dxa" w:w="80"/>
              <w:right w:type="dxa" w:w="100"/>
            </w:tcMar>
          </w:tcPr>
          <w:p>
            <w:pPr>
              <w:jc w:val="left"/>
            </w:pPr>
            <w:r>
              <w:rPr>
                <w:b w:val="false"/>
                <w:bCs w:val="false"/>
              </w:rPr>
              <w:t xml:space="preserve">Of the valid molecules in one batch, what fraction are structurally distinct from each other? A within-batch diversity check — independent of validity.</w:t>
            </w:r>
          </w:p>
        </w:tc>
      </w:tr>
      <w:tr>
        <w:tc>
          <w:tcPr>
            <w:tcW w:type="dxa" w:w="2400"/>
            <w:tcMar>
              <w:top w:type="dxa" w:w="80"/>
              <w:left w:type="dxa" w:w="100"/>
              <w:bottom w:type="dxa" w:w="80"/>
              <w:right w:type="dxa" w:w="100"/>
            </w:tcMar>
          </w:tcPr>
          <w:p>
            <w:pPr>
              <w:jc w:val="left"/>
            </w:pPr>
            <w:r>
              <w:rPr>
                <w:b w:val="false"/>
                <w:bCs w:val="false"/>
              </w:rPr>
              <w:t xml:space="preserve">Novelty rate</w:t>
            </w:r>
          </w:p>
        </w:tc>
        <w:tc>
          <w:tcPr>
            <w:tcW w:type="dxa" w:w="7680"/>
            <w:tcMar>
              <w:top w:type="dxa" w:w="80"/>
              <w:left w:type="dxa" w:w="100"/>
              <w:bottom w:type="dxa" w:w="80"/>
              <w:right w:type="dxa" w:w="100"/>
            </w:tcMar>
          </w:tcPr>
          <w:p>
            <w:pPr>
              <w:jc w:val="left"/>
            </w:pPr>
            <w:r>
              <w:rPr>
                <w:b w:val="false"/>
                <w:bCs w:val="false"/>
              </w:rPr>
              <w:t xml:space="preserve">Of the unique valid molecules, what fraction do NOT already appear in the training set? Checks for memorization/copying vs. genuine generation.</w:t>
            </w:r>
          </w:p>
        </w:tc>
      </w:tr>
      <w:tr>
        <w:tc>
          <w:tcPr>
            <w:tcW w:type="dxa" w:w="2400"/>
            <w:tcMar>
              <w:top w:type="dxa" w:w="80"/>
              <w:left w:type="dxa" w:w="100"/>
              <w:bottom w:type="dxa" w:w="80"/>
              <w:right w:type="dxa" w:w="100"/>
            </w:tcMar>
          </w:tcPr>
          <w:p>
            <w:pPr>
              <w:jc w:val="left"/>
            </w:pPr>
            <w:r>
              <w:rPr>
                <w:b w:val="false"/>
                <w:bCs w:val="false"/>
              </w:rPr>
              <w:t xml:space="preserve">Lipinski pass rate</w:t>
            </w:r>
          </w:p>
        </w:tc>
        <w:tc>
          <w:tcPr>
            <w:tcW w:type="dxa" w:w="7680"/>
            <w:tcMar>
              <w:top w:type="dxa" w:w="80"/>
              <w:left w:type="dxa" w:w="100"/>
              <w:bottom w:type="dxa" w:w="80"/>
              <w:right w:type="dxa" w:w="100"/>
            </w:tcMar>
          </w:tcPr>
          <w:p>
            <w:pPr>
              <w:jc w:val="left"/>
            </w:pPr>
            <w:r>
              <w:rPr>
                <w:b w:val="false"/>
                <w:bCs w:val="false"/>
              </w:rPr>
              <w:t xml:space="preserve">Standard Rule-of-Five druglikeness filter (molecular weight, LogP, H-bond donors/acceptors, rotatable bonds). The predictor was never trained on this rule, so it is a reward-model-blind sanity check.</w:t>
            </w:r>
          </w:p>
        </w:tc>
      </w:tr>
      <w:tr>
        <w:tc>
          <w:tcPr>
            <w:tcW w:type="dxa" w:w="2400"/>
            <w:tcMar>
              <w:top w:type="dxa" w:w="80"/>
              <w:left w:type="dxa" w:w="100"/>
              <w:bottom w:type="dxa" w:w="80"/>
              <w:right w:type="dxa" w:w="100"/>
            </w:tcMar>
          </w:tcPr>
          <w:p>
            <w:pPr>
              <w:jc w:val="left"/>
            </w:pPr>
            <w:r>
              <w:rPr>
                <w:b w:val="false"/>
                <w:bCs w:val="false"/>
              </w:rPr>
              <w:t xml:space="preserve">Reward-model score</w:t>
            </w:r>
          </w:p>
        </w:tc>
        <w:tc>
          <w:tcPr>
            <w:tcW w:type="dxa" w:w="7680"/>
            <w:tcMar>
              <w:top w:type="dxa" w:w="80"/>
              <w:left w:type="dxa" w:w="100"/>
              <w:bottom w:type="dxa" w:w="80"/>
              <w:right w:type="dxa" w:w="100"/>
            </w:tcMar>
          </w:tcPr>
          <w:p>
            <w:pPr>
              <w:jc w:val="left"/>
            </w:pPr>
            <w:r>
              <w:rPr>
                <w:b w:val="false"/>
                <w:bCs w:val="false"/>
              </w:rPr>
              <w:t xml:space="preserve">−predicted ln(IC50) from the frozen predictor — the actual quantity the policy was optimized to maximize.</w:t>
            </w:r>
          </w:p>
        </w:tc>
      </w:tr>
    </w:tbl>
    <w:p>
      <w:pPr>
        <w:spacing w:after="160"/>
      </w:pPr>
    </w:p>
    <w:p>
      <w:pPr>
        <w:spacing w:after="160"/>
      </w:pPr>
      <w:r>
        <w:rPr>
          <w:b/>
          <w:bCs/>
        </w:rPr>
        <w:t xml:space="preserve">Key point: </w:t>
      </w:r>
      <w:r>
        <w:t xml:space="preserve">high validity does not imply high molecule quality or diversity. It only means the generated string is chemically parseable. A policy can reach ~100% validity by repeatedly emitting the same few known-safe molecules — which is exactly what is observed below (see Section 6).</w:t>
      </w:r>
    </w:p>
    <w:p>
      <w:pPr>
        <w:pStyle w:val="Heading1"/>
        <w:spacing w:after="160" w:before="320"/>
      </w:pPr>
      <w:r>
        <w:t xml:space="preserve">4. Runs Compared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095"/>
        <w:gridCol w:w="2095"/>
        <w:gridCol w:w="2095"/>
        <w:gridCol w:w="2095"/>
      </w:tblGrid>
      <w:tr>
        <w:trPr>
          <w:tblHeader/>
        </w:trPr>
        <w:tc>
          <w:tcPr>
            <w:tcW w:type="dxa" w:w="1700"/>
            <w:shd w:fill="D9E2F3" w:val="clear"/>
            <w:tcMar>
              <w:top w:type="dxa" w:w="80"/>
              <w:left w:type="dxa" w:w="100"/>
              <w:bottom w:type="dxa" w:w="80"/>
              <w:right w:type="dxa" w:w="100"/>
            </w:tcMar>
          </w:tcPr>
          <w:p>
            <w:pPr>
              <w:jc w:val="left"/>
            </w:pPr>
            <w:r>
              <w:rPr>
                <w:b/>
                <w:bCs/>
              </w:rPr>
              <w:t xml:space="preserve"/>
            </w:r>
          </w:p>
        </w:tc>
        <w:tc>
          <w:tcPr>
            <w:tcW w:type="dxa" w:w="2095"/>
            <w:shd w:fill="D9E2F3" w:val="clear"/>
            <w:tcMar>
              <w:top w:type="dxa" w:w="80"/>
              <w:left w:type="dxa" w:w="100"/>
              <w:bottom w:type="dxa" w:w="80"/>
              <w:right w:type="dxa" w:w="100"/>
            </w:tcMar>
          </w:tcPr>
          <w:p>
            <w:pPr>
              <w:jc w:val="left"/>
            </w:pPr>
            <w:r>
              <w:rPr>
                <w:b/>
                <w:bCs/>
              </w:rPr>
              <w:t xml:space="preserve">v1</w:t>
            </w:r>
          </w:p>
        </w:tc>
        <w:tc>
          <w:tcPr>
            <w:tcW w:type="dxa" w:w="2095"/>
            <w:shd w:fill="D9E2F3" w:val="clear"/>
            <w:tcMar>
              <w:top w:type="dxa" w:w="80"/>
              <w:left w:type="dxa" w:w="100"/>
              <w:bottom w:type="dxa" w:w="80"/>
              <w:right w:type="dxa" w:w="100"/>
            </w:tcMar>
          </w:tcPr>
          <w:p>
            <w:pPr>
              <w:jc w:val="left"/>
            </w:pPr>
            <w:r>
              <w:rPr>
                <w:b/>
                <w:bCs/>
              </w:rPr>
              <w:t xml:space="preserve">v2</w:t>
            </w:r>
          </w:p>
        </w:tc>
        <w:tc>
          <w:tcPr>
            <w:tcW w:type="dxa" w:w="2095"/>
            <w:shd w:fill="D9E2F3" w:val="clear"/>
            <w:tcMar>
              <w:top w:type="dxa" w:w="80"/>
              <w:left w:type="dxa" w:w="100"/>
              <w:bottom w:type="dxa" w:w="80"/>
              <w:right w:type="dxa" w:w="100"/>
            </w:tcMar>
          </w:tcPr>
          <w:p>
            <w:pPr>
              <w:jc w:val="left"/>
            </w:pPr>
            <w:r>
              <w:rPr>
                <w:b/>
                <w:bCs/>
              </w:rPr>
              <w:t xml:space="preserve">v3</w:t>
            </w:r>
          </w:p>
        </w:tc>
        <w:tc>
          <w:tcPr>
            <w:tcW w:type="dxa" w:w="2095"/>
            <w:shd w:fill="D9E2F3" w:val="clear"/>
            <w:tcMar>
              <w:top w:type="dxa" w:w="80"/>
              <w:left w:type="dxa" w:w="100"/>
              <w:bottom w:type="dxa" w:w="80"/>
              <w:right w:type="dxa" w:w="100"/>
            </w:tcMar>
          </w:tcPr>
          <w:p>
            <w:pPr>
              <w:jc w:val="left"/>
            </w:pPr>
            <w:r>
              <w:rPr>
                <w:b/>
                <w:bCs/>
              </w:rPr>
              <w:t xml:space="preserve">v4</w:t>
            </w:r>
          </w:p>
        </w:tc>
      </w:tr>
      <w:tr>
        <w:tc>
          <w:tcPr>
            <w:tcW w:type="dxa" w:w="1700"/>
            <w:tcMar>
              <w:top w:type="dxa" w:w="80"/>
              <w:left w:type="dxa" w:w="100"/>
              <w:bottom w:type="dxa" w:w="80"/>
              <w:right w:type="dxa" w:w="100"/>
            </w:tcMar>
          </w:tcPr>
          <w:p>
            <w:pPr>
              <w:jc w:val="left"/>
            </w:pPr>
            <w:r>
              <w:rPr>
                <w:b w:val="false"/>
                <w:bCs w:val="false"/>
              </w:rPr>
              <w:t xml:space="preserve">Epochs</w:t>
            </w:r>
          </w:p>
        </w:tc>
        <w:tc>
          <w:tcPr>
            <w:tcW w:type="dxa" w:w="2095"/>
            <w:tcMar>
              <w:top w:type="dxa" w:w="80"/>
              <w:left w:type="dxa" w:w="100"/>
              <w:bottom w:type="dxa" w:w="80"/>
              <w:right w:type="dxa" w:w="100"/>
            </w:tcMar>
          </w:tcPr>
          <w:p>
            <w:pPr>
              <w:jc w:val="left"/>
            </w:pPr>
            <w:r>
              <w:rPr>
                <w:b w:val="false"/>
                <w:bCs w:val="false"/>
              </w:rPr>
              <w:t xml:space="preserve">1000</w:t>
            </w:r>
          </w:p>
        </w:tc>
        <w:tc>
          <w:tcPr>
            <w:tcW w:type="dxa" w:w="2095"/>
            <w:tcMar>
              <w:top w:type="dxa" w:w="80"/>
              <w:left w:type="dxa" w:w="100"/>
              <w:bottom w:type="dxa" w:w="80"/>
              <w:right w:type="dxa" w:w="100"/>
            </w:tcMar>
          </w:tcPr>
          <w:p>
            <w:pPr>
              <w:jc w:val="left"/>
            </w:pPr>
            <w:r>
              <w:rPr>
                <w:b w:val="false"/>
                <w:bCs w:val="false"/>
              </w:rPr>
              <w:t xml:space="preserve">2000</w:t>
            </w:r>
          </w:p>
        </w:tc>
        <w:tc>
          <w:tcPr>
            <w:tcW w:type="dxa" w:w="2095"/>
            <w:tcMar>
              <w:top w:type="dxa" w:w="80"/>
              <w:left w:type="dxa" w:w="100"/>
              <w:bottom w:type="dxa" w:w="80"/>
              <w:right w:type="dxa" w:w="100"/>
            </w:tcMar>
          </w:tcPr>
          <w:p>
            <w:pPr>
              <w:jc w:val="left"/>
            </w:pPr>
            <w:r>
              <w:rPr>
                <w:b w:val="false"/>
                <w:bCs w:val="false"/>
              </w:rPr>
              <w:t xml:space="preserve">2000</w:t>
            </w:r>
          </w:p>
        </w:tc>
        <w:tc>
          <w:tcPr>
            <w:tcW w:type="dxa" w:w="2095"/>
            <w:tcMar>
              <w:top w:type="dxa" w:w="80"/>
              <w:left w:type="dxa" w:w="100"/>
              <w:bottom w:type="dxa" w:w="80"/>
              <w:right w:type="dxa" w:w="100"/>
            </w:tcMar>
          </w:tcPr>
          <w:p>
            <w:pPr>
              <w:jc w:val="left"/>
            </w:pPr>
            <w:r>
              <w:rPr>
                <w:b w:val="false"/>
                <w:bCs w:val="false"/>
              </w:rPr>
              <w:t xml:space="preserve">2000</w:t>
            </w:r>
          </w:p>
        </w:tc>
      </w:tr>
      <w:tr>
        <w:tc>
          <w:tcPr>
            <w:tcW w:type="dxa" w:w="1700"/>
            <w:tcMar>
              <w:top w:type="dxa" w:w="80"/>
              <w:left w:type="dxa" w:w="100"/>
              <w:bottom w:type="dxa" w:w="80"/>
              <w:right w:type="dxa" w:w="100"/>
            </w:tcMar>
          </w:tcPr>
          <w:p>
            <w:pPr>
              <w:jc w:val="left"/>
            </w:pPr>
            <w:r>
              <w:rPr>
                <w:b w:val="false"/>
                <w:bCs w:val="false"/>
              </w:rPr>
              <w:t xml:space="preserve">entropy_coef</w:t>
            </w:r>
          </w:p>
        </w:tc>
        <w:tc>
          <w:tcPr>
            <w:tcW w:type="dxa" w:w="2095"/>
            <w:tcMar>
              <w:top w:type="dxa" w:w="80"/>
              <w:left w:type="dxa" w:w="100"/>
              <w:bottom w:type="dxa" w:w="80"/>
              <w:right w:type="dxa" w:w="100"/>
            </w:tcMar>
          </w:tcPr>
          <w:p>
            <w:pPr>
              <w:jc w:val="left"/>
            </w:pPr>
            <w:r>
              <w:rPr>
                <w:b w:val="false"/>
                <w:bCs w:val="false"/>
              </w:rPr>
              <w:t xml:space="preserve">0.01</w:t>
            </w:r>
          </w:p>
        </w:tc>
        <w:tc>
          <w:tcPr>
            <w:tcW w:type="dxa" w:w="2095"/>
            <w:tcMar>
              <w:top w:type="dxa" w:w="80"/>
              <w:left w:type="dxa" w:w="100"/>
              <w:bottom w:type="dxa" w:w="80"/>
              <w:right w:type="dxa" w:w="100"/>
            </w:tcMar>
          </w:tcPr>
          <w:p>
            <w:pPr>
              <w:jc w:val="left"/>
            </w:pPr>
            <w:r>
              <w:rPr>
                <w:b w:val="false"/>
                <w:bCs w:val="false"/>
              </w:rPr>
              <w:t xml:space="preserve">0.05</w:t>
            </w:r>
          </w:p>
        </w:tc>
        <w:tc>
          <w:tcPr>
            <w:tcW w:type="dxa" w:w="2095"/>
            <w:tcMar>
              <w:top w:type="dxa" w:w="80"/>
              <w:left w:type="dxa" w:w="100"/>
              <w:bottom w:type="dxa" w:w="80"/>
              <w:right w:type="dxa" w:w="100"/>
            </w:tcMar>
          </w:tcPr>
          <w:p>
            <w:pPr>
              <w:jc w:val="left"/>
            </w:pPr>
            <w:r>
              <w:rPr>
                <w:b w:val="false"/>
                <w:bCs w:val="false"/>
              </w:rPr>
              <w:t xml:space="preserve">0.5</w:t>
            </w:r>
          </w:p>
        </w:tc>
        <w:tc>
          <w:tcPr>
            <w:tcW w:type="dxa" w:w="2095"/>
            <w:tcMar>
              <w:top w:type="dxa" w:w="80"/>
              <w:left w:type="dxa" w:w="100"/>
              <w:bottom w:type="dxa" w:w="80"/>
              <w:right w:type="dxa" w:w="100"/>
            </w:tcMar>
          </w:tcPr>
          <w:p>
            <w:pPr>
              <w:jc w:val="left"/>
            </w:pPr>
            <w:r>
              <w:rPr>
                <w:b w:val="false"/>
                <w:bCs w:val="false"/>
              </w:rPr>
              <w:t xml:space="preserve">0.05</w:t>
            </w:r>
          </w:p>
        </w:tc>
      </w:tr>
      <w:tr>
        <w:tc>
          <w:tcPr>
            <w:tcW w:type="dxa" w:w="1700"/>
            <w:tcMar>
              <w:top w:type="dxa" w:w="80"/>
              <w:left w:type="dxa" w:w="100"/>
              <w:bottom w:type="dxa" w:w="80"/>
              <w:right w:type="dxa" w:w="100"/>
            </w:tcMar>
          </w:tcPr>
          <w:p>
            <w:pPr>
              <w:jc w:val="left"/>
            </w:pPr>
            <w:r>
              <w:rPr>
                <w:b w:val="false"/>
                <w:bCs w:val="false"/>
              </w:rPr>
              <w:t xml:space="preserve">invalid_penalty</w:t>
            </w:r>
          </w:p>
        </w:tc>
        <w:tc>
          <w:tcPr>
            <w:tcW w:type="dxa" w:w="2095"/>
            <w:tcMar>
              <w:top w:type="dxa" w:w="80"/>
              <w:left w:type="dxa" w:w="100"/>
              <w:bottom w:type="dxa" w:w="80"/>
              <w:right w:type="dxa" w:w="100"/>
            </w:tcMar>
          </w:tcPr>
          <w:p>
            <w:pPr>
              <w:jc w:val="left"/>
            </w:pPr>
            <w:r>
              <w:rPr>
                <w:b w:val="false"/>
                <w:bCs w:val="false"/>
              </w:rPr>
              <w:t xml:space="preserve">-10.0</w:t>
            </w:r>
          </w:p>
        </w:tc>
        <w:tc>
          <w:tcPr>
            <w:tcW w:type="dxa" w:w="2095"/>
            <w:tcMar>
              <w:top w:type="dxa" w:w="80"/>
              <w:left w:type="dxa" w:w="100"/>
              <w:bottom w:type="dxa" w:w="80"/>
              <w:right w:type="dxa" w:w="100"/>
            </w:tcMar>
          </w:tcPr>
          <w:p>
            <w:pPr>
              <w:jc w:val="left"/>
            </w:pPr>
            <w:r>
              <w:rPr>
                <w:b w:val="false"/>
                <w:bCs w:val="false"/>
              </w:rPr>
              <w:t xml:space="preserve">-5.0</w:t>
            </w:r>
          </w:p>
        </w:tc>
        <w:tc>
          <w:tcPr>
            <w:tcW w:type="dxa" w:w="2095"/>
            <w:tcMar>
              <w:top w:type="dxa" w:w="80"/>
              <w:left w:type="dxa" w:w="100"/>
              <w:bottom w:type="dxa" w:w="80"/>
              <w:right w:type="dxa" w:w="100"/>
            </w:tcMar>
          </w:tcPr>
          <w:p>
            <w:pPr>
              <w:jc w:val="left"/>
            </w:pPr>
            <w:r>
              <w:rPr>
                <w:b w:val="false"/>
                <w:bCs w:val="false"/>
              </w:rPr>
              <w:t xml:space="preserve">-5.0</w:t>
            </w:r>
          </w:p>
        </w:tc>
        <w:tc>
          <w:tcPr>
            <w:tcW w:type="dxa" w:w="2095"/>
            <w:tcMar>
              <w:top w:type="dxa" w:w="80"/>
              <w:left w:type="dxa" w:w="100"/>
              <w:bottom w:type="dxa" w:w="80"/>
              <w:right w:type="dxa" w:w="100"/>
            </w:tcMar>
          </w:tcPr>
          <w:p>
            <w:pPr>
              <w:jc w:val="left"/>
            </w:pPr>
            <w:r>
              <w:rPr>
                <w:b w:val="false"/>
                <w:bCs w:val="false"/>
              </w:rPr>
              <w:t xml:space="preserve">-5.0</w:t>
            </w:r>
          </w:p>
        </w:tc>
      </w:tr>
      <w:tr>
        <w:tc>
          <w:tcPr>
            <w:tcW w:type="dxa" w:w="1700"/>
            <w:tcMar>
              <w:top w:type="dxa" w:w="80"/>
              <w:left w:type="dxa" w:w="100"/>
              <w:bottom w:type="dxa" w:w="80"/>
              <w:right w:type="dxa" w:w="100"/>
            </w:tcMar>
          </w:tcPr>
          <w:p>
            <w:pPr>
              <w:jc w:val="left"/>
            </w:pPr>
            <w:r>
              <w:rPr>
                <w:b w:val="false"/>
                <w:bCs w:val="false"/>
              </w:rPr>
              <w:t xml:space="preserve">lambda_div</w:t>
            </w:r>
          </w:p>
        </w:tc>
        <w:tc>
          <w:tcPr>
            <w:tcW w:type="dxa" w:w="2095"/>
            <w:tcMar>
              <w:top w:type="dxa" w:w="80"/>
              <w:left w:type="dxa" w:w="100"/>
              <w:bottom w:type="dxa" w:w="80"/>
              <w:right w:type="dxa" w:w="100"/>
            </w:tcMar>
          </w:tcPr>
          <w:p>
            <w:pPr>
              <w:jc w:val="left"/>
            </w:pPr>
            <w:r>
              <w:rPr>
                <w:b w:val="false"/>
                <w:bCs w:val="false"/>
              </w:rPr>
              <w:t xml:space="preserve">—</w:t>
            </w:r>
          </w:p>
        </w:tc>
        <w:tc>
          <w:tcPr>
            <w:tcW w:type="dxa" w:w="2095"/>
            <w:tcMar>
              <w:top w:type="dxa" w:w="80"/>
              <w:left w:type="dxa" w:w="100"/>
              <w:bottom w:type="dxa" w:w="80"/>
              <w:right w:type="dxa" w:w="100"/>
            </w:tcMar>
          </w:tcPr>
          <w:p>
            <w:pPr>
              <w:jc w:val="left"/>
            </w:pPr>
            <w:r>
              <w:rPr>
                <w:b w:val="false"/>
                <w:bCs w:val="false"/>
              </w:rPr>
              <w:t xml:space="preserve">—</w:t>
            </w:r>
          </w:p>
        </w:tc>
        <w:tc>
          <w:tcPr>
            <w:tcW w:type="dxa" w:w="2095"/>
            <w:tcMar>
              <w:top w:type="dxa" w:w="80"/>
              <w:left w:type="dxa" w:w="100"/>
              <w:bottom w:type="dxa" w:w="80"/>
              <w:right w:type="dxa" w:w="100"/>
            </w:tcMar>
          </w:tcPr>
          <w:p>
            <w:pPr>
              <w:jc w:val="left"/>
            </w:pPr>
            <w:r>
              <w:rPr>
                <w:b w:val="false"/>
                <w:bCs w:val="false"/>
              </w:rPr>
              <w:t xml:space="preserve">—</w:t>
            </w:r>
          </w:p>
        </w:tc>
        <w:tc>
          <w:tcPr>
            <w:tcW w:type="dxa" w:w="2095"/>
            <w:tcMar>
              <w:top w:type="dxa" w:w="80"/>
              <w:left w:type="dxa" w:w="100"/>
              <w:bottom w:type="dxa" w:w="80"/>
              <w:right w:type="dxa" w:w="100"/>
            </w:tcMar>
          </w:tcPr>
          <w:p>
            <w:pPr>
              <w:jc w:val="left"/>
            </w:pPr>
            <w:r>
              <w:rPr>
                <w:b w:val="false"/>
                <w:bCs w:val="false"/>
              </w:rPr>
              <w:t xml:space="preserve">0.1 (new)</w:t>
            </w:r>
          </w:p>
        </w:tc>
      </w:tr>
      <w:tr>
        <w:tc>
          <w:tcPr>
            <w:tcW w:type="dxa" w:w="1700"/>
            <w:tcMar>
              <w:top w:type="dxa" w:w="80"/>
              <w:left w:type="dxa" w:w="100"/>
              <w:bottom w:type="dxa" w:w="80"/>
              <w:right w:type="dxa" w:w="100"/>
            </w:tcMar>
          </w:tcPr>
          <w:p>
            <w:pPr>
              <w:jc w:val="left"/>
            </w:pPr>
            <w:r>
              <w:rPr>
                <w:b w:val="false"/>
                <w:bCs w:val="false"/>
              </w:rPr>
              <w:t xml:space="preserve">Resumed from</w:t>
            </w:r>
          </w:p>
        </w:tc>
        <w:tc>
          <w:tcPr>
            <w:tcW w:type="dxa" w:w="2095"/>
            <w:tcMar>
              <w:top w:type="dxa" w:w="80"/>
              <w:left w:type="dxa" w:w="100"/>
              <w:bottom w:type="dxa" w:w="80"/>
              <w:right w:type="dxa" w:w="100"/>
            </w:tcMar>
          </w:tcPr>
          <w:p>
            <w:pPr>
              <w:jc w:val="left"/>
            </w:pPr>
            <w:r>
              <w:rPr>
                <w:b w:val="false"/>
                <w:bCs w:val="false"/>
              </w:rPr>
              <w:t xml:space="preserve">pre-RL VAE</w:t>
            </w:r>
          </w:p>
        </w:tc>
        <w:tc>
          <w:tcPr>
            <w:tcW w:type="dxa" w:w="2095"/>
            <w:tcMar>
              <w:top w:type="dxa" w:w="80"/>
              <w:left w:type="dxa" w:w="100"/>
              <w:bottom w:type="dxa" w:w="80"/>
              <w:right w:type="dxa" w:w="100"/>
            </w:tcMar>
          </w:tcPr>
          <w:p>
            <w:pPr>
              <w:jc w:val="left"/>
            </w:pPr>
            <w:r>
              <w:rPr>
                <w:b w:val="false"/>
                <w:bCs w:val="false"/>
              </w:rPr>
              <w:t xml:space="preserve">pre-RL VAE</w:t>
            </w:r>
          </w:p>
        </w:tc>
        <w:tc>
          <w:tcPr>
            <w:tcW w:type="dxa" w:w="2095"/>
            <w:tcMar>
              <w:top w:type="dxa" w:w="80"/>
              <w:left w:type="dxa" w:w="100"/>
              <w:bottom w:type="dxa" w:w="80"/>
              <w:right w:type="dxa" w:w="100"/>
            </w:tcMar>
          </w:tcPr>
          <w:p>
            <w:pPr>
              <w:jc w:val="left"/>
            </w:pPr>
            <w:r>
              <w:rPr>
                <w:b w:val="false"/>
                <w:bCs w:val="false"/>
              </w:rPr>
              <w:t xml:space="preserve">pre-RL VAE</w:t>
            </w:r>
          </w:p>
        </w:tc>
        <w:tc>
          <w:tcPr>
            <w:tcW w:type="dxa" w:w="2095"/>
            <w:tcMar>
              <w:top w:type="dxa" w:w="80"/>
              <w:left w:type="dxa" w:w="100"/>
              <w:bottom w:type="dxa" w:w="80"/>
              <w:right w:type="dxa" w:w="100"/>
            </w:tcMar>
          </w:tcPr>
          <w:p>
            <w:pPr>
              <w:jc w:val="left"/>
            </w:pPr>
            <w:r>
              <w:rPr>
                <w:b w:val="false"/>
                <w:bCs w:val="false"/>
              </w:rPr>
              <w:t xml:space="preserve">pre-RL VAE</w:t>
            </w:r>
          </w:p>
        </w:tc>
      </w:tr>
      <w:tr>
        <w:tc>
          <w:tcPr>
            <w:tcW w:type="dxa" w:w="1700"/>
            <w:tcMar>
              <w:top w:type="dxa" w:w="80"/>
              <w:left w:type="dxa" w:w="100"/>
              <w:bottom w:type="dxa" w:w="80"/>
              <w:right w:type="dxa" w:w="100"/>
            </w:tcMar>
          </w:tcPr>
          <w:p>
            <w:pPr>
              <w:jc w:val="left"/>
            </w:pPr>
            <w:r>
              <w:rPr>
                <w:b w:val="false"/>
                <w:bCs w:val="false"/>
              </w:rPr>
              <w:t xml:space="preserve">Checkpoint</w:t>
            </w:r>
          </w:p>
        </w:tc>
        <w:tc>
          <w:tcPr>
            <w:tcW w:type="dxa" w:w="2095"/>
            <w:tcMar>
              <w:top w:type="dxa" w:w="80"/>
              <w:left w:type="dxa" w:w="100"/>
              <w:bottom w:type="dxa" w:w="80"/>
              <w:right w:type="dxa" w:w="100"/>
            </w:tcMar>
          </w:tcPr>
          <w:p>
            <w:pPr>
              <w:jc w:val="left"/>
            </w:pPr>
            <w:r>
              <w:rPr>
                <w:b w:val="false"/>
                <w:bCs w:val="false"/>
              </w:rPr>
              <w:t xml:space="preserve">checkpoints_gen_rl_full_vae/final_rl.pt</w:t>
            </w:r>
          </w:p>
        </w:tc>
        <w:tc>
          <w:tcPr>
            <w:tcW w:type="dxa" w:w="2095"/>
            <w:tcMar>
              <w:top w:type="dxa" w:w="80"/>
              <w:left w:type="dxa" w:w="100"/>
              <w:bottom w:type="dxa" w:w="80"/>
              <w:right w:type="dxa" w:w="100"/>
            </w:tcMar>
          </w:tcPr>
          <w:p>
            <w:pPr>
              <w:jc w:val="left"/>
            </w:pPr>
            <w:r>
              <w:rPr>
                <w:b w:val="false"/>
                <w:bCs w:val="false"/>
              </w:rPr>
              <w:t xml:space="preserve">checkpoints_gen_rl_full_vae_v2/final_rl.pt</w:t>
            </w:r>
          </w:p>
        </w:tc>
        <w:tc>
          <w:tcPr>
            <w:tcW w:type="dxa" w:w="2095"/>
            <w:tcMar>
              <w:top w:type="dxa" w:w="80"/>
              <w:left w:type="dxa" w:w="100"/>
              <w:bottom w:type="dxa" w:w="80"/>
              <w:right w:type="dxa" w:w="100"/>
            </w:tcMar>
          </w:tcPr>
          <w:p>
            <w:pPr>
              <w:jc w:val="left"/>
            </w:pPr>
            <w:r>
              <w:rPr>
                <w:b w:val="false"/>
                <w:bCs w:val="false"/>
              </w:rPr>
              <w:t xml:space="preserve">checkpoints_gen_rl_full_vae_v3/final_rl.pt</w:t>
            </w:r>
          </w:p>
        </w:tc>
        <w:tc>
          <w:tcPr>
            <w:tcW w:type="dxa" w:w="2095"/>
            <w:tcMar>
              <w:top w:type="dxa" w:w="80"/>
              <w:left w:type="dxa" w:w="100"/>
              <w:bottom w:type="dxa" w:w="80"/>
              <w:right w:type="dxa" w:w="100"/>
            </w:tcMar>
          </w:tcPr>
          <w:p>
            <w:pPr>
              <w:jc w:val="left"/>
            </w:pPr>
            <w:r>
              <w:rPr>
                <w:b w:val="false"/>
                <w:bCs w:val="false"/>
              </w:rPr>
              <w:t xml:space="preserve">checkpoints_gen_rl_full_vae_v4/final_rl.pt</w:t>
            </w:r>
          </w:p>
        </w:tc>
      </w:tr>
    </w:tbl>
    <w:p>
      <w:pPr>
        <w:spacing w:after="160"/>
      </w:pPr>
      <w:r>
        <w:rPr>
          <w:i/>
          <w:iCs/>
          <w:color w:val="666666"/>
        </w:rPr>
        <w:t xml:space="preserve">All four runs resume from the same pre-RL warm-start VAE checkpoint (not from each other), so v1–v4 are a clean controlled comparison. v4 is the first to add the Section 8.6 batch-level repetition penalty (lambda_div) on top of v2's entropy_coef/invalid_penalty (the best-performing combination through v3).</w:t>
      </w:r>
    </w:p>
    <w:p>
      <w:pPr>
        <w:pStyle w:val="Heading1"/>
        <w:spacing w:after="160" w:before="320"/>
      </w:pPr>
      <w:r>
        <w:t xml:space="preserve">5. Results</w:t>
      </w:r>
    </w:p>
    <w:p>
      <w:pPr>
        <w:pStyle w:val="Heading2"/>
        <w:spacing w:after="120" w:before="240"/>
      </w:pPr>
      <w:r>
        <w:t xml:space="preserve">5.1 Training-log trend (last ~50 logged epochs of each run)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740"/>
        <w:gridCol w:w="3740"/>
      </w:tblGrid>
      <w:tr>
        <w:trPr>
          <w:tblHeader/>
        </w:trPr>
        <w:tc>
          <w:tcPr>
            <w:tcW w:type="dxa" w:w="2600"/>
            <w:shd w:fill="D9E2F3" w:val="clear"/>
            <w:tcMar>
              <w:top w:type="dxa" w:w="80"/>
              <w:left w:type="dxa" w:w="100"/>
              <w:bottom w:type="dxa" w:w="80"/>
              <w:right w:type="dxa" w:w="100"/>
            </w:tcMar>
          </w:tcPr>
          <w:p>
            <w:pPr>
              <w:jc w:val="left"/>
            </w:pPr>
            <w:r>
              <w:rPr>
                <w:b/>
                <w:bCs/>
              </w:rPr>
              <w:t xml:space="preserve">Metric</w:t>
            </w:r>
          </w:p>
        </w:tc>
        <w:tc>
          <w:tcPr>
            <w:tcW w:type="dxa" w:w="3740"/>
            <w:shd w:fill="D9E2F3" w:val="clear"/>
            <w:tcMar>
              <w:top w:type="dxa" w:w="80"/>
              <w:left w:type="dxa" w:w="100"/>
              <w:bottom w:type="dxa" w:w="80"/>
              <w:right w:type="dxa" w:w="100"/>
            </w:tcMar>
          </w:tcPr>
          <w:p>
            <w:pPr>
              <w:jc w:val="left"/>
            </w:pPr>
            <w:r>
              <w:rPr>
                <w:b/>
                <w:bCs/>
              </w:rPr>
              <w:t xml:space="preserve">v1 tail (epoch ~950–1000)</w:t>
            </w:r>
          </w:p>
        </w:tc>
        <w:tc>
          <w:tcPr>
            <w:tcW w:type="dxa" w:w="3740"/>
            <w:shd w:fill="D9E2F3" w:val="clear"/>
            <w:tcMar>
              <w:top w:type="dxa" w:w="80"/>
              <w:left w:type="dxa" w:w="100"/>
              <w:bottom w:type="dxa" w:w="80"/>
              <w:right w:type="dxa" w:w="100"/>
            </w:tcMar>
          </w:tcPr>
          <w:p>
            <w:pPr>
              <w:jc w:val="left"/>
            </w:pPr>
            <w:r>
              <w:rPr>
                <w:b/>
                <w:bCs/>
              </w:rPr>
              <w:t xml:space="preserve">v2 tail (epoch ~1947–2000)</w:t>
            </w:r>
          </w:p>
        </w:tc>
      </w:tr>
      <w:tr>
        <w:tc>
          <w:tcPr>
            <w:tcW w:type="dxa" w:w="2600"/>
            <w:tcMar>
              <w:top w:type="dxa" w:w="80"/>
              <w:left w:type="dxa" w:w="100"/>
              <w:bottom w:type="dxa" w:w="80"/>
              <w:right w:type="dxa" w:w="100"/>
            </w:tcMar>
          </w:tcPr>
          <w:p>
            <w:pPr>
              <w:jc w:val="left"/>
            </w:pPr>
            <w:r>
              <w:rPr>
                <w:b w:val="false"/>
                <w:bCs w:val="false"/>
              </w:rPr>
              <w:t xml:space="preserve">Entropy</w:t>
            </w:r>
          </w:p>
        </w:tc>
        <w:tc>
          <w:tcPr>
            <w:tcW w:type="dxa" w:w="3740"/>
            <w:tcMar>
              <w:top w:type="dxa" w:w="80"/>
              <w:left w:type="dxa" w:w="100"/>
              <w:bottom w:type="dxa" w:w="80"/>
              <w:right w:type="dxa" w:w="100"/>
            </w:tcMar>
          </w:tcPr>
          <w:p>
            <w:pPr>
              <w:jc w:val="left"/>
            </w:pPr>
            <w:r>
              <w:rPr>
                <w:b w:val="false"/>
                <w:bCs w:val="false"/>
              </w:rPr>
              <w:t xml:space="preserve">0.06 – 0.24</w:t>
            </w:r>
          </w:p>
        </w:tc>
        <w:tc>
          <w:tcPr>
            <w:tcW w:type="dxa" w:w="3740"/>
            <w:tcMar>
              <w:top w:type="dxa" w:w="80"/>
              <w:left w:type="dxa" w:w="100"/>
              <w:bottom w:type="dxa" w:w="80"/>
              <w:right w:type="dxa" w:w="100"/>
            </w:tcMar>
          </w:tcPr>
          <w:p>
            <w:pPr>
              <w:jc w:val="left"/>
            </w:pPr>
            <w:r>
              <w:rPr>
                <w:b w:val="false"/>
                <w:bCs w:val="false"/>
              </w:rPr>
              <w:t xml:space="preserve">0.025 – 0.091  (lower)</w:t>
            </w:r>
          </w:p>
        </w:tc>
      </w:tr>
      <w:tr>
        <w:tc>
          <w:tcPr>
            <w:tcW w:type="dxa" w:w="2600"/>
            <w:tcMar>
              <w:top w:type="dxa" w:w="80"/>
              <w:left w:type="dxa" w:w="100"/>
              <w:bottom w:type="dxa" w:w="80"/>
              <w:right w:type="dxa" w:w="100"/>
            </w:tcMar>
          </w:tcPr>
          <w:p>
            <w:pPr>
              <w:jc w:val="left"/>
            </w:pPr>
            <w:r>
              <w:rPr>
                <w:b w:val="false"/>
                <w:bCs w:val="false"/>
              </w:rPr>
              <w:t xml:space="preserve">Validity</w:t>
            </w:r>
          </w:p>
        </w:tc>
        <w:tc>
          <w:tcPr>
            <w:tcW w:type="dxa" w:w="3740"/>
            <w:tcMar>
              <w:top w:type="dxa" w:w="80"/>
              <w:left w:type="dxa" w:w="100"/>
              <w:bottom w:type="dxa" w:w="80"/>
              <w:right w:type="dxa" w:w="100"/>
            </w:tcMar>
          </w:tcPr>
          <w:p>
            <w:pPr>
              <w:jc w:val="left"/>
            </w:pPr>
            <w:r>
              <w:rPr>
                <w:b w:val="false"/>
                <w:bCs w:val="false"/>
              </w:rPr>
              <w:t xml:space="preserve">92 – 100%</w:t>
            </w:r>
          </w:p>
        </w:tc>
        <w:tc>
          <w:tcPr>
            <w:tcW w:type="dxa" w:w="3740"/>
            <w:tcMar>
              <w:top w:type="dxa" w:w="80"/>
              <w:left w:type="dxa" w:w="100"/>
              <w:bottom w:type="dxa" w:w="80"/>
              <w:right w:type="dxa" w:w="100"/>
            </w:tcMar>
          </w:tcPr>
          <w:p>
            <w:pPr>
              <w:jc w:val="left"/>
            </w:pPr>
            <w:r>
              <w:rPr>
                <w:b w:val="false"/>
                <w:bCs w:val="false"/>
              </w:rPr>
              <w:t xml:space="preserve">93 – 100%  (similar)</w:t>
            </w:r>
          </w:p>
        </w:tc>
      </w:tr>
      <w:tr>
        <w:tc>
          <w:tcPr>
            <w:tcW w:type="dxa" w:w="2600"/>
            <w:tcMar>
              <w:top w:type="dxa" w:w="80"/>
              <w:left w:type="dxa" w:w="100"/>
              <w:bottom w:type="dxa" w:w="80"/>
              <w:right w:type="dxa" w:w="100"/>
            </w:tcMar>
          </w:tcPr>
          <w:p>
            <w:pPr>
              <w:jc w:val="left"/>
            </w:pPr>
            <w:r>
              <w:rPr>
                <w:b w:val="false"/>
                <w:bCs w:val="false"/>
              </w:rPr>
              <w:t xml:space="preserve">mean_reward_valid</w:t>
            </w:r>
          </w:p>
        </w:tc>
        <w:tc>
          <w:tcPr>
            <w:tcW w:type="dxa" w:w="3740"/>
            <w:tcMar>
              <w:top w:type="dxa" w:w="80"/>
              <w:left w:type="dxa" w:w="100"/>
              <w:bottom w:type="dxa" w:w="80"/>
              <w:right w:type="dxa" w:w="100"/>
            </w:tcMar>
          </w:tcPr>
          <w:p>
            <w:pPr>
              <w:jc w:val="left"/>
            </w:pPr>
            <w:r>
              <w:rPr>
                <w:b w:val="false"/>
                <w:bCs w:val="false"/>
              </w:rPr>
              <w:t xml:space="preserve">-3.7 ~ -4.0</w:t>
            </w:r>
          </w:p>
        </w:tc>
        <w:tc>
          <w:tcPr>
            <w:tcW w:type="dxa" w:w="3740"/>
            <w:tcMar>
              <w:top w:type="dxa" w:w="80"/>
              <w:left w:type="dxa" w:w="100"/>
              <w:bottom w:type="dxa" w:w="80"/>
              <w:right w:type="dxa" w:w="100"/>
            </w:tcMar>
          </w:tcPr>
          <w:p>
            <w:pPr>
              <w:jc w:val="left"/>
            </w:pPr>
            <w:r>
              <w:rPr>
                <w:b w:val="false"/>
                <w:bCs w:val="false"/>
              </w:rPr>
              <w:t xml:space="preserve">-2.7 ~ -3.35  (better)</w:t>
            </w:r>
          </w:p>
        </w:tc>
      </w:tr>
    </w:tbl>
    <w:p>
      <w:pPr>
        <w:pStyle w:val="Heading2"/>
        <w:spacing w:after="120" w:before="240"/>
      </w:pPr>
      <w:r>
        <w:t xml:space="preserve">5.2 Independent evaluation (500 samples/cell line, same 3 cell lines, both sampling modes)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670"/>
        <w:gridCol w:w="1670"/>
        <w:gridCol w:w="1670"/>
        <w:gridCol w:w="1670"/>
      </w:tblGrid>
      <w:tr>
        <w:trPr>
          <w:tblHeader/>
        </w:trPr>
        <w:tc>
          <w:tcPr>
            <w:tcW w:type="dxa" w:w="1500"/>
            <w:shd w:fill="D9E2F3" w:val="clear"/>
            <w:tcMar>
              <w:top w:type="dxa" w:w="80"/>
              <w:left w:type="dxa" w:w="100"/>
              <w:bottom w:type="dxa" w:w="80"/>
              <w:right w:type="dxa" w:w="100"/>
            </w:tcMar>
          </w:tcPr>
          <w:p>
            <w:pPr>
              <w:jc w:val="left"/>
            </w:pPr>
            <w:r>
              <w:rPr>
                <w:b/>
                <w:bCs/>
              </w:rPr>
              <w:t xml:space="preserve">Mode</w:t>
            </w:r>
          </w:p>
        </w:tc>
        <w:tc>
          <w:tcPr>
            <w:tcW w:type="dxa" w:w="1900"/>
            <w:shd w:fill="D9E2F3" w:val="clear"/>
            <w:tcMar>
              <w:top w:type="dxa" w:w="80"/>
              <w:left w:type="dxa" w:w="100"/>
              <w:bottom w:type="dxa" w:w="80"/>
              <w:right w:type="dxa" w:w="100"/>
            </w:tcMar>
          </w:tcPr>
          <w:p>
            <w:pPr>
              <w:jc w:val="left"/>
            </w:pPr>
            <w:r>
              <w:rPr>
                <w:b/>
                <w:bCs/>
              </w:rPr>
              <w:t xml:space="preserve">Metric</w:t>
            </w:r>
          </w:p>
        </w:tc>
        <w:tc>
          <w:tcPr>
            <w:tcW w:type="dxa" w:w="1670"/>
            <w:shd w:fill="D9E2F3" w:val="clear"/>
            <w:tcMar>
              <w:top w:type="dxa" w:w="80"/>
              <w:left w:type="dxa" w:w="100"/>
              <w:bottom w:type="dxa" w:w="80"/>
              <w:right w:type="dxa" w:w="100"/>
            </w:tcMar>
          </w:tcPr>
          <w:p>
            <w:pPr>
              <w:jc w:val="left"/>
            </w:pPr>
            <w:r>
              <w:rPr>
                <w:b/>
                <w:bCs/>
              </w:rPr>
              <w:t xml:space="preserve">v1</w:t>
            </w:r>
          </w:p>
        </w:tc>
        <w:tc>
          <w:tcPr>
            <w:tcW w:type="dxa" w:w="1670"/>
            <w:shd w:fill="D9E2F3" w:val="clear"/>
            <w:tcMar>
              <w:top w:type="dxa" w:w="80"/>
              <w:left w:type="dxa" w:w="100"/>
              <w:bottom w:type="dxa" w:w="80"/>
              <w:right w:type="dxa" w:w="100"/>
            </w:tcMar>
          </w:tcPr>
          <w:p>
            <w:pPr>
              <w:jc w:val="left"/>
            </w:pPr>
            <w:r>
              <w:rPr>
                <w:b/>
                <w:bCs/>
              </w:rPr>
              <w:t xml:space="preserve">v2</w:t>
            </w:r>
          </w:p>
        </w:tc>
        <w:tc>
          <w:tcPr>
            <w:tcW w:type="dxa" w:w="1670"/>
            <w:shd w:fill="D9E2F3" w:val="clear"/>
            <w:tcMar>
              <w:top w:type="dxa" w:w="80"/>
              <w:left w:type="dxa" w:w="100"/>
              <w:bottom w:type="dxa" w:w="80"/>
              <w:right w:type="dxa" w:w="100"/>
            </w:tcMar>
          </w:tcPr>
          <w:p>
            <w:pPr>
              <w:jc w:val="left"/>
            </w:pPr>
            <w:r>
              <w:rPr>
                <w:b/>
                <w:bCs/>
              </w:rPr>
              <w:t xml:space="preserve">v3</w:t>
            </w:r>
          </w:p>
        </w:tc>
        <w:tc>
          <w:tcPr>
            <w:tcW w:type="dxa" w:w="1670"/>
            <w:shd w:fill="D9E2F3" w:val="clear"/>
            <w:tcMar>
              <w:top w:type="dxa" w:w="80"/>
              <w:left w:type="dxa" w:w="100"/>
              <w:bottom w:type="dxa" w:w="80"/>
              <w:right w:type="dxa" w:w="100"/>
            </w:tcMar>
          </w:tcPr>
          <w:p>
            <w:pPr>
              <w:jc w:val="left"/>
            </w:pPr>
            <w:r>
              <w:rPr>
                <w:b/>
                <w:bCs/>
              </w:rPr>
              <w:t xml:space="preserve">v4</w:t>
            </w:r>
          </w:p>
        </w:tc>
      </w:tr>
      <w:tr>
        <w:tc>
          <w:tcPr>
            <w:tcW w:type="dxa" w:w="1500"/>
            <w:tcMar>
              <w:top w:type="dxa" w:w="80"/>
              <w:left w:type="dxa" w:w="100"/>
              <w:bottom w:type="dxa" w:w="80"/>
              <w:right w:type="dxa" w:w="100"/>
            </w:tcMar>
          </w:tcPr>
          <w:p>
            <w:pPr>
              <w:jc w:val="left"/>
            </w:pPr>
            <w:r>
              <w:rPr>
                <w:b w:val="false"/>
                <w:bCs w:val="false"/>
              </w:rPr>
              <w:t xml:space="preserve">prior</w:t>
            </w:r>
          </w:p>
        </w:tc>
        <w:tc>
          <w:tcPr>
            <w:tcW w:type="dxa" w:w="1900"/>
            <w:tcMar>
              <w:top w:type="dxa" w:w="80"/>
              <w:left w:type="dxa" w:w="100"/>
              <w:bottom w:type="dxa" w:w="80"/>
              <w:right w:type="dxa" w:w="100"/>
            </w:tcMar>
          </w:tcPr>
          <w:p>
            <w:pPr>
              <w:jc w:val="left"/>
            </w:pPr>
            <w:r>
              <w:rPr>
                <w:b w:val="false"/>
                <w:bCs w:val="false"/>
              </w:rPr>
              <w:t xml:space="preserve">Reward-model score</w:t>
            </w:r>
          </w:p>
        </w:tc>
        <w:tc>
          <w:tcPr>
            <w:tcW w:type="dxa" w:w="1670"/>
            <w:tcMar>
              <w:top w:type="dxa" w:w="80"/>
              <w:left w:type="dxa" w:w="100"/>
              <w:bottom w:type="dxa" w:w="80"/>
              <w:right w:type="dxa" w:w="100"/>
            </w:tcMar>
          </w:tcPr>
          <w:p>
            <w:pPr>
              <w:jc w:val="left"/>
            </w:pPr>
            <w:r>
              <w:rPr>
                <w:b w:val="false"/>
                <w:bCs w:val="false"/>
              </w:rPr>
              <w:t xml:space="preserve">-3.71 ~ -4.31</w:t>
            </w:r>
          </w:p>
        </w:tc>
        <w:tc>
          <w:tcPr>
            <w:tcW w:type="dxa" w:w="1670"/>
            <w:tcMar>
              <w:top w:type="dxa" w:w="80"/>
              <w:left w:type="dxa" w:w="100"/>
              <w:bottom w:type="dxa" w:w="80"/>
              <w:right w:type="dxa" w:w="100"/>
            </w:tcMar>
          </w:tcPr>
          <w:p>
            <w:pPr>
              <w:jc w:val="left"/>
            </w:pPr>
            <w:r>
              <w:rPr>
                <w:b w:val="false"/>
                <w:bCs w:val="false"/>
              </w:rPr>
              <w:t xml:space="preserve">-3.47 ~ -3.55</w:t>
            </w:r>
          </w:p>
        </w:tc>
        <w:tc>
          <w:tcPr>
            <w:tcW w:type="dxa" w:w="1670"/>
            <w:tcMar>
              <w:top w:type="dxa" w:w="80"/>
              <w:left w:type="dxa" w:w="100"/>
              <w:bottom w:type="dxa" w:w="80"/>
              <w:right w:type="dxa" w:w="100"/>
            </w:tcMar>
          </w:tcPr>
          <w:p>
            <w:pPr>
              <w:jc w:val="left"/>
            </w:pPr>
            <w:r>
              <w:rPr>
                <w:b w:val="false"/>
                <w:bCs w:val="false"/>
              </w:rPr>
              <w:t xml:space="preserve">-3.79 ~ -4.03</w:t>
            </w:r>
          </w:p>
        </w:tc>
        <w:tc>
          <w:tcPr>
            <w:tcW w:type="dxa" w:w="1670"/>
            <w:tcMar>
              <w:top w:type="dxa" w:w="80"/>
              <w:left w:type="dxa" w:w="100"/>
              <w:bottom w:type="dxa" w:w="80"/>
              <w:right w:type="dxa" w:w="100"/>
            </w:tcMar>
          </w:tcPr>
          <w:p>
            <w:pPr>
              <w:jc w:val="left"/>
            </w:pPr>
            <w:r>
              <w:rPr>
                <w:b w:val="false"/>
                <w:bCs w:val="false"/>
              </w:rPr>
              <w:t xml:space="preserve">-3.66 ~ -3.81</w:t>
            </w:r>
          </w:p>
        </w:tc>
      </w:tr>
      <w:tr>
        <w:tc>
          <w:tcPr>
            <w:tcW w:type="dxa" w:w="1500"/>
            <w:tcMar>
              <w:top w:type="dxa" w:w="80"/>
              <w:left w:type="dxa" w:w="100"/>
              <w:bottom w:type="dxa" w:w="80"/>
              <w:right w:type="dxa" w:w="100"/>
            </w:tcMar>
          </w:tcPr>
          <w:p>
            <w:pPr>
              <w:jc w:val="left"/>
            </w:pPr>
            <w:r>
              <w:rPr>
                <w:b w:val="false"/>
                <w:bCs w:val="false"/>
              </w:rPr>
              <w:t xml:space="preserve"/>
            </w:r>
          </w:p>
        </w:tc>
        <w:tc>
          <w:tcPr>
            <w:tcW w:type="dxa" w:w="1900"/>
            <w:tcMar>
              <w:top w:type="dxa" w:w="80"/>
              <w:left w:type="dxa" w:w="100"/>
              <w:bottom w:type="dxa" w:w="80"/>
              <w:right w:type="dxa" w:w="100"/>
            </w:tcMar>
          </w:tcPr>
          <w:p>
            <w:pPr>
              <w:jc w:val="left"/>
            </w:pPr>
            <w:r>
              <w:rPr>
                <w:b w:val="false"/>
                <w:bCs w:val="false"/>
              </w:rPr>
              <w:t xml:space="preserve">Validity</w:t>
            </w:r>
          </w:p>
        </w:tc>
        <w:tc>
          <w:tcPr>
            <w:tcW w:type="dxa" w:w="1670"/>
            <w:tcMar>
              <w:top w:type="dxa" w:w="80"/>
              <w:left w:type="dxa" w:w="100"/>
              <w:bottom w:type="dxa" w:w="80"/>
              <w:right w:type="dxa" w:w="100"/>
            </w:tcMar>
          </w:tcPr>
          <w:p>
            <w:pPr>
              <w:jc w:val="left"/>
            </w:pPr>
            <w:r>
              <w:rPr>
                <w:b w:val="false"/>
                <w:bCs w:val="false"/>
              </w:rPr>
              <w:t xml:space="preserve">48.8 – 57.2%</w:t>
            </w:r>
          </w:p>
        </w:tc>
        <w:tc>
          <w:tcPr>
            <w:tcW w:type="dxa" w:w="1670"/>
            <w:tcMar>
              <w:top w:type="dxa" w:w="80"/>
              <w:left w:type="dxa" w:w="100"/>
              <w:bottom w:type="dxa" w:w="80"/>
              <w:right w:type="dxa" w:w="100"/>
            </w:tcMar>
          </w:tcPr>
          <w:p>
            <w:pPr>
              <w:jc w:val="left"/>
            </w:pPr>
            <w:r>
              <w:rPr>
                <w:b w:val="false"/>
                <w:bCs w:val="false"/>
              </w:rPr>
              <w:t xml:space="preserve">58.8 – 65.4%</w:t>
            </w:r>
          </w:p>
        </w:tc>
        <w:tc>
          <w:tcPr>
            <w:tcW w:type="dxa" w:w="1670"/>
            <w:tcMar>
              <w:top w:type="dxa" w:w="80"/>
              <w:left w:type="dxa" w:w="100"/>
              <w:bottom w:type="dxa" w:w="80"/>
              <w:right w:type="dxa" w:w="100"/>
            </w:tcMar>
          </w:tcPr>
          <w:p>
            <w:pPr>
              <w:jc w:val="left"/>
            </w:pPr>
            <w:r>
              <w:rPr>
                <w:b w:val="false"/>
                <w:bCs w:val="false"/>
              </w:rPr>
              <w:t xml:space="preserve">54.4 – 57.0%</w:t>
            </w:r>
          </w:p>
        </w:tc>
        <w:tc>
          <w:tcPr>
            <w:tcW w:type="dxa" w:w="1670"/>
            <w:tcMar>
              <w:top w:type="dxa" w:w="80"/>
              <w:left w:type="dxa" w:w="100"/>
              <w:bottom w:type="dxa" w:w="80"/>
              <w:right w:type="dxa" w:w="100"/>
            </w:tcMar>
          </w:tcPr>
          <w:p>
            <w:pPr>
              <w:jc w:val="left"/>
            </w:pPr>
            <w:r>
              <w:rPr>
                <w:b w:val="false"/>
                <w:bCs w:val="false"/>
              </w:rPr>
              <w:t xml:space="preserve">65.4 – 68.0%</w:t>
            </w:r>
          </w:p>
        </w:tc>
      </w:tr>
      <w:tr>
        <w:tc>
          <w:tcPr>
            <w:tcW w:type="dxa" w:w="1500"/>
            <w:tcMar>
              <w:top w:type="dxa" w:w="80"/>
              <w:left w:type="dxa" w:w="100"/>
              <w:bottom w:type="dxa" w:w="80"/>
              <w:right w:type="dxa" w:w="100"/>
            </w:tcMar>
          </w:tcPr>
          <w:p>
            <w:pPr>
              <w:jc w:val="left"/>
            </w:pPr>
            <w:r>
              <w:rPr>
                <w:b w:val="false"/>
                <w:bCs w:val="false"/>
              </w:rPr>
              <w:t xml:space="preserve"/>
            </w:r>
          </w:p>
        </w:tc>
        <w:tc>
          <w:tcPr>
            <w:tcW w:type="dxa" w:w="1900"/>
            <w:tcMar>
              <w:top w:type="dxa" w:w="80"/>
              <w:left w:type="dxa" w:w="100"/>
              <w:bottom w:type="dxa" w:w="80"/>
              <w:right w:type="dxa" w:w="100"/>
            </w:tcMar>
          </w:tcPr>
          <w:p>
            <w:pPr>
              <w:jc w:val="left"/>
            </w:pPr>
            <w:r>
              <w:rPr>
                <w:b w:val="false"/>
                <w:bCs w:val="false"/>
              </w:rPr>
              <w:t xml:space="preserve">Uniqueness</w:t>
            </w:r>
          </w:p>
        </w:tc>
        <w:tc>
          <w:tcPr>
            <w:tcW w:type="dxa" w:w="1670"/>
            <w:tcMar>
              <w:top w:type="dxa" w:w="80"/>
              <w:left w:type="dxa" w:w="100"/>
              <w:bottom w:type="dxa" w:w="80"/>
              <w:right w:type="dxa" w:w="100"/>
            </w:tcMar>
          </w:tcPr>
          <w:p>
            <w:pPr>
              <w:jc w:val="left"/>
            </w:pPr>
            <w:r>
              <w:rPr>
                <w:b w:val="false"/>
                <w:bCs w:val="false"/>
              </w:rPr>
              <w:t xml:space="preserve">37.8 – 38.9%</w:t>
            </w:r>
          </w:p>
        </w:tc>
        <w:tc>
          <w:tcPr>
            <w:tcW w:type="dxa" w:w="1670"/>
            <w:tcMar>
              <w:top w:type="dxa" w:w="80"/>
              <w:left w:type="dxa" w:w="100"/>
              <w:bottom w:type="dxa" w:w="80"/>
              <w:right w:type="dxa" w:w="100"/>
            </w:tcMar>
          </w:tcPr>
          <w:p>
            <w:pPr>
              <w:jc w:val="left"/>
            </w:pPr>
            <w:r>
              <w:rPr>
                <w:b w:val="false"/>
                <w:bCs w:val="false"/>
              </w:rPr>
              <w:t xml:space="preserve">24.2 – 27.2%</w:t>
            </w:r>
          </w:p>
        </w:tc>
        <w:tc>
          <w:tcPr>
            <w:tcW w:type="dxa" w:w="1670"/>
            <w:tcMar>
              <w:top w:type="dxa" w:w="80"/>
              <w:left w:type="dxa" w:w="100"/>
              <w:bottom w:type="dxa" w:w="80"/>
              <w:right w:type="dxa" w:w="100"/>
            </w:tcMar>
          </w:tcPr>
          <w:p>
            <w:pPr>
              <w:jc w:val="left"/>
            </w:pPr>
            <w:r>
              <w:rPr>
                <w:b w:val="false"/>
                <w:bCs w:val="false"/>
              </w:rPr>
              <w:t xml:space="preserve">24.5 – 26.1%</w:t>
            </w:r>
          </w:p>
        </w:tc>
        <w:tc>
          <w:tcPr>
            <w:tcW w:type="dxa" w:w="1670"/>
            <w:tcMar>
              <w:top w:type="dxa" w:w="80"/>
              <w:left w:type="dxa" w:w="100"/>
              <w:bottom w:type="dxa" w:w="80"/>
              <w:right w:type="dxa" w:w="100"/>
            </w:tcMar>
          </w:tcPr>
          <w:p>
            <w:pPr>
              <w:jc w:val="left"/>
            </w:pPr>
            <w:r>
              <w:rPr>
                <w:b w:val="false"/>
                <w:bCs w:val="false"/>
              </w:rPr>
              <w:t xml:space="preserve">51.2 – 56.9%</w:t>
            </w:r>
          </w:p>
        </w:tc>
      </w:tr>
      <w:tr>
        <w:tc>
          <w:tcPr>
            <w:tcW w:type="dxa" w:w="1500"/>
            <w:tcMar>
              <w:top w:type="dxa" w:w="80"/>
              <w:left w:type="dxa" w:w="100"/>
              <w:bottom w:type="dxa" w:w="80"/>
              <w:right w:type="dxa" w:w="100"/>
            </w:tcMar>
          </w:tcPr>
          <w:p>
            <w:pPr>
              <w:jc w:val="left"/>
            </w:pPr>
            <w:r>
              <w:rPr>
                <w:b w:val="false"/>
                <w:bCs w:val="false"/>
              </w:rPr>
              <w:t xml:space="preserve">posterior</w:t>
            </w:r>
          </w:p>
        </w:tc>
        <w:tc>
          <w:tcPr>
            <w:tcW w:type="dxa" w:w="1900"/>
            <w:tcMar>
              <w:top w:type="dxa" w:w="80"/>
              <w:left w:type="dxa" w:w="100"/>
              <w:bottom w:type="dxa" w:w="80"/>
              <w:right w:type="dxa" w:w="100"/>
            </w:tcMar>
          </w:tcPr>
          <w:p>
            <w:pPr>
              <w:jc w:val="left"/>
            </w:pPr>
            <w:r>
              <w:rPr>
                <w:b w:val="false"/>
                <w:bCs w:val="false"/>
              </w:rPr>
              <w:t xml:space="preserve">Reward-model score</w:t>
            </w:r>
          </w:p>
        </w:tc>
        <w:tc>
          <w:tcPr>
            <w:tcW w:type="dxa" w:w="1670"/>
            <w:tcMar>
              <w:top w:type="dxa" w:w="80"/>
              <w:left w:type="dxa" w:w="100"/>
              <w:bottom w:type="dxa" w:w="80"/>
              <w:right w:type="dxa" w:w="100"/>
            </w:tcMar>
          </w:tcPr>
          <w:p>
            <w:pPr>
              <w:jc w:val="left"/>
            </w:pPr>
            <w:r>
              <w:rPr>
                <w:b w:val="false"/>
                <w:bCs w:val="false"/>
              </w:rPr>
              <w:t xml:space="preserve">-3.70 ~ -3.90</w:t>
            </w:r>
          </w:p>
        </w:tc>
        <w:tc>
          <w:tcPr>
            <w:tcW w:type="dxa" w:w="1670"/>
            <w:tcMar>
              <w:top w:type="dxa" w:w="80"/>
              <w:left w:type="dxa" w:w="100"/>
              <w:bottom w:type="dxa" w:w="80"/>
              <w:right w:type="dxa" w:w="100"/>
            </w:tcMar>
          </w:tcPr>
          <w:p>
            <w:pPr>
              <w:jc w:val="left"/>
            </w:pPr>
            <w:r>
              <w:rPr>
                <w:b w:val="false"/>
                <w:bCs w:val="false"/>
              </w:rPr>
              <w:t xml:space="preserve">-3.14 ~ -3.24 (best)</w:t>
            </w:r>
          </w:p>
        </w:tc>
        <w:tc>
          <w:tcPr>
            <w:tcW w:type="dxa" w:w="1670"/>
            <w:tcMar>
              <w:top w:type="dxa" w:w="80"/>
              <w:left w:type="dxa" w:w="100"/>
              <w:bottom w:type="dxa" w:w="80"/>
              <w:right w:type="dxa" w:w="100"/>
            </w:tcMar>
          </w:tcPr>
          <w:p>
            <w:pPr>
              <w:jc w:val="left"/>
            </w:pPr>
            <w:r>
              <w:rPr>
                <w:b w:val="false"/>
                <w:bCs w:val="false"/>
              </w:rPr>
              <w:t xml:space="preserve">-3.63 ~ -3.82</w:t>
            </w:r>
          </w:p>
        </w:tc>
        <w:tc>
          <w:tcPr>
            <w:tcW w:type="dxa" w:w="1670"/>
            <w:tcMar>
              <w:top w:type="dxa" w:w="80"/>
              <w:left w:type="dxa" w:w="100"/>
              <w:bottom w:type="dxa" w:w="80"/>
              <w:right w:type="dxa" w:w="100"/>
            </w:tcMar>
          </w:tcPr>
          <w:p>
            <w:pPr>
              <w:jc w:val="left"/>
            </w:pPr>
            <w:r>
              <w:rPr>
                <w:b w:val="false"/>
                <w:bCs w:val="false"/>
              </w:rPr>
              <w:t xml:space="preserve">-3.39 ~ -3.61</w:t>
            </w:r>
          </w:p>
        </w:tc>
      </w:tr>
      <w:tr>
        <w:tc>
          <w:tcPr>
            <w:tcW w:type="dxa" w:w="1500"/>
            <w:tcMar>
              <w:top w:type="dxa" w:w="80"/>
              <w:left w:type="dxa" w:w="100"/>
              <w:bottom w:type="dxa" w:w="80"/>
              <w:right w:type="dxa" w:w="100"/>
            </w:tcMar>
          </w:tcPr>
          <w:p>
            <w:pPr>
              <w:jc w:val="left"/>
            </w:pPr>
            <w:r>
              <w:rPr>
                <w:b w:val="false"/>
                <w:bCs w:val="false"/>
              </w:rPr>
              <w:t xml:space="preserve"/>
            </w:r>
          </w:p>
        </w:tc>
        <w:tc>
          <w:tcPr>
            <w:tcW w:type="dxa" w:w="1900"/>
            <w:tcMar>
              <w:top w:type="dxa" w:w="80"/>
              <w:left w:type="dxa" w:w="100"/>
              <w:bottom w:type="dxa" w:w="80"/>
              <w:right w:type="dxa" w:w="100"/>
            </w:tcMar>
          </w:tcPr>
          <w:p>
            <w:pPr>
              <w:jc w:val="left"/>
            </w:pPr>
            <w:r>
              <w:rPr>
                <w:b w:val="false"/>
                <w:bCs w:val="false"/>
              </w:rPr>
              <w:t xml:space="preserve">Validity</w:t>
            </w:r>
          </w:p>
        </w:tc>
        <w:tc>
          <w:tcPr>
            <w:tcW w:type="dxa" w:w="1670"/>
            <w:tcMar>
              <w:top w:type="dxa" w:w="80"/>
              <w:left w:type="dxa" w:w="100"/>
              <w:bottom w:type="dxa" w:w="80"/>
              <w:right w:type="dxa" w:w="100"/>
            </w:tcMar>
          </w:tcPr>
          <w:p>
            <w:pPr>
              <w:jc w:val="left"/>
            </w:pPr>
            <w:r>
              <w:rPr>
                <w:b w:val="false"/>
                <w:bCs w:val="false"/>
              </w:rPr>
              <w:t xml:space="preserve">97.8 – 100%</w:t>
            </w:r>
          </w:p>
        </w:tc>
        <w:tc>
          <w:tcPr>
            <w:tcW w:type="dxa" w:w="1670"/>
            <w:tcMar>
              <w:top w:type="dxa" w:w="80"/>
              <w:left w:type="dxa" w:w="100"/>
              <w:bottom w:type="dxa" w:w="80"/>
              <w:right w:type="dxa" w:w="100"/>
            </w:tcMar>
          </w:tcPr>
          <w:p>
            <w:pPr>
              <w:jc w:val="left"/>
            </w:pPr>
            <w:r>
              <w:rPr>
                <w:b w:val="false"/>
                <w:bCs w:val="false"/>
              </w:rPr>
              <w:t xml:space="preserve">97.0 – 98.4%</w:t>
            </w:r>
          </w:p>
        </w:tc>
        <w:tc>
          <w:tcPr>
            <w:tcW w:type="dxa" w:w="1670"/>
            <w:tcMar>
              <w:top w:type="dxa" w:w="80"/>
              <w:left w:type="dxa" w:w="100"/>
              <w:bottom w:type="dxa" w:w="80"/>
              <w:right w:type="dxa" w:w="100"/>
            </w:tcMar>
          </w:tcPr>
          <w:p>
            <w:pPr>
              <w:jc w:val="left"/>
            </w:pPr>
            <w:r>
              <w:rPr>
                <w:b w:val="false"/>
                <w:bCs w:val="false"/>
              </w:rPr>
              <w:t xml:space="preserve">96.0 – 96.4%</w:t>
            </w:r>
          </w:p>
        </w:tc>
        <w:tc>
          <w:tcPr>
            <w:tcW w:type="dxa" w:w="1670"/>
            <w:tcMar>
              <w:top w:type="dxa" w:w="80"/>
              <w:left w:type="dxa" w:w="100"/>
              <w:bottom w:type="dxa" w:w="80"/>
              <w:right w:type="dxa" w:w="100"/>
            </w:tcMar>
          </w:tcPr>
          <w:p>
            <w:pPr>
              <w:jc w:val="left"/>
            </w:pPr>
            <w:r>
              <w:rPr>
                <w:b w:val="false"/>
                <w:bCs w:val="false"/>
              </w:rPr>
              <w:t xml:space="preserve">96.0 – 97.4%</w:t>
            </w:r>
          </w:p>
        </w:tc>
      </w:tr>
      <w:tr>
        <w:tc>
          <w:tcPr>
            <w:tcW w:type="dxa" w:w="1500"/>
            <w:tcMar>
              <w:top w:type="dxa" w:w="80"/>
              <w:left w:type="dxa" w:w="100"/>
              <w:bottom w:type="dxa" w:w="80"/>
              <w:right w:type="dxa" w:w="100"/>
            </w:tcMar>
          </w:tcPr>
          <w:p>
            <w:pPr>
              <w:jc w:val="left"/>
            </w:pPr>
            <w:r>
              <w:rPr>
                <w:b w:val="false"/>
                <w:bCs w:val="false"/>
              </w:rPr>
              <w:t xml:space="preserve"/>
            </w:r>
          </w:p>
        </w:tc>
        <w:tc>
          <w:tcPr>
            <w:tcW w:type="dxa" w:w="1900"/>
            <w:tcMar>
              <w:top w:type="dxa" w:w="80"/>
              <w:left w:type="dxa" w:w="100"/>
              <w:bottom w:type="dxa" w:w="80"/>
              <w:right w:type="dxa" w:w="100"/>
            </w:tcMar>
          </w:tcPr>
          <w:p>
            <w:pPr>
              <w:jc w:val="left"/>
            </w:pPr>
            <w:r>
              <w:rPr>
                <w:b w:val="false"/>
                <w:bCs w:val="false"/>
              </w:rPr>
              <w:t xml:space="preserve">Uniqueness</w:t>
            </w:r>
          </w:p>
        </w:tc>
        <w:tc>
          <w:tcPr>
            <w:tcW w:type="dxa" w:w="1670"/>
            <w:tcMar>
              <w:top w:type="dxa" w:w="80"/>
              <w:left w:type="dxa" w:w="100"/>
              <w:bottom w:type="dxa" w:w="80"/>
              <w:right w:type="dxa" w:w="100"/>
            </w:tcMar>
          </w:tcPr>
          <w:p>
            <w:pPr>
              <w:jc w:val="left"/>
            </w:pPr>
            <w:r>
              <w:rPr>
                <w:b w:val="false"/>
                <w:bCs w:val="false"/>
              </w:rPr>
              <w:t xml:space="preserve">6.3 – 7.8%</w:t>
            </w:r>
          </w:p>
        </w:tc>
        <w:tc>
          <w:tcPr>
            <w:tcW w:type="dxa" w:w="1670"/>
            <w:tcMar>
              <w:top w:type="dxa" w:w="80"/>
              <w:left w:type="dxa" w:w="100"/>
              <w:bottom w:type="dxa" w:w="80"/>
              <w:right w:type="dxa" w:w="100"/>
            </w:tcMar>
          </w:tcPr>
          <w:p>
            <w:pPr>
              <w:jc w:val="left"/>
            </w:pPr>
            <w:r>
              <w:rPr>
                <w:b w:val="false"/>
                <w:bCs w:val="false"/>
              </w:rPr>
              <w:t xml:space="preserve">5.1 – 7.0%</w:t>
            </w:r>
          </w:p>
        </w:tc>
        <w:tc>
          <w:tcPr>
            <w:tcW w:type="dxa" w:w="1670"/>
            <w:tcMar>
              <w:top w:type="dxa" w:w="80"/>
              <w:left w:type="dxa" w:w="100"/>
              <w:bottom w:type="dxa" w:w="80"/>
              <w:right w:type="dxa" w:w="100"/>
            </w:tcMar>
          </w:tcPr>
          <w:p>
            <w:pPr>
              <w:jc w:val="left"/>
            </w:pPr>
            <w:r>
              <w:rPr>
                <w:b w:val="false"/>
                <w:bCs w:val="false"/>
              </w:rPr>
              <w:t xml:space="preserve">5.6 – 6.9%</w:t>
            </w:r>
          </w:p>
        </w:tc>
        <w:tc>
          <w:tcPr>
            <w:tcW w:type="dxa" w:w="1670"/>
            <w:tcMar>
              <w:top w:type="dxa" w:w="80"/>
              <w:left w:type="dxa" w:w="100"/>
              <w:bottom w:type="dxa" w:w="80"/>
              <w:right w:type="dxa" w:w="100"/>
            </w:tcMar>
          </w:tcPr>
          <w:p>
            <w:pPr>
              <w:jc w:val="left"/>
            </w:pPr>
            <w:r>
              <w:rPr>
                <w:b w:val="false"/>
                <w:bCs w:val="false"/>
              </w:rPr>
              <w:t xml:space="preserve">28.2 – 31.6% (best)</w:t>
            </w:r>
          </w:p>
        </w:tc>
      </w:tr>
      <w:tr>
        <w:tc>
          <w:tcPr>
            <w:tcW w:type="dxa" w:w="1500"/>
            <w:tcMar>
              <w:top w:type="dxa" w:w="80"/>
              <w:left w:type="dxa" w:w="100"/>
              <w:bottom w:type="dxa" w:w="80"/>
              <w:right w:type="dxa" w:w="100"/>
            </w:tcMar>
          </w:tcPr>
          <w:p>
            <w:pPr>
              <w:jc w:val="left"/>
            </w:pPr>
            <w:r>
              <w:rPr>
                <w:b w:val="false"/>
                <w:bCs w:val="false"/>
              </w:rPr>
              <w:t xml:space="preserve">both</w:t>
            </w:r>
          </w:p>
        </w:tc>
        <w:tc>
          <w:tcPr>
            <w:tcW w:type="dxa" w:w="1900"/>
            <w:tcMar>
              <w:top w:type="dxa" w:w="80"/>
              <w:left w:type="dxa" w:w="100"/>
              <w:bottom w:type="dxa" w:w="80"/>
              <w:right w:type="dxa" w:w="100"/>
            </w:tcMar>
          </w:tcPr>
          <w:p>
            <w:pPr>
              <w:jc w:val="left"/>
            </w:pPr>
            <w:r>
              <w:rPr>
                <w:b w:val="false"/>
                <w:bCs w:val="false"/>
              </w:rPr>
              <w:t xml:space="preserve">Novelty rate</w:t>
            </w:r>
          </w:p>
        </w:tc>
        <w:tc>
          <w:tcPr>
            <w:tcW w:type="dxa" w:w="1670"/>
            <w:tcMar>
              <w:top w:type="dxa" w:w="80"/>
              <w:left w:type="dxa" w:w="100"/>
              <w:bottom w:type="dxa" w:w="80"/>
              <w:right w:type="dxa" w:w="100"/>
            </w:tcMar>
          </w:tcPr>
          <w:p>
            <w:pPr>
              <w:jc w:val="left"/>
            </w:pPr>
            <w:r>
              <w:rPr>
                <w:b w:val="false"/>
                <w:bCs w:val="false"/>
              </w:rPr>
              <w:t xml:space="preserve">100%</w:t>
            </w:r>
          </w:p>
        </w:tc>
        <w:tc>
          <w:tcPr>
            <w:tcW w:type="dxa" w:w="1670"/>
            <w:tcMar>
              <w:top w:type="dxa" w:w="80"/>
              <w:left w:type="dxa" w:w="100"/>
              <w:bottom w:type="dxa" w:w="80"/>
              <w:right w:type="dxa" w:w="100"/>
            </w:tcMar>
          </w:tcPr>
          <w:p>
            <w:pPr>
              <w:jc w:val="left"/>
            </w:pPr>
            <w:r>
              <w:rPr>
                <w:b w:val="false"/>
                <w:bCs w:val="false"/>
              </w:rPr>
              <w:t xml:space="preserve">100%</w:t>
            </w:r>
          </w:p>
        </w:tc>
        <w:tc>
          <w:tcPr>
            <w:tcW w:type="dxa" w:w="1670"/>
            <w:tcMar>
              <w:top w:type="dxa" w:w="80"/>
              <w:left w:type="dxa" w:w="100"/>
              <w:bottom w:type="dxa" w:w="80"/>
              <w:right w:type="dxa" w:w="100"/>
            </w:tcMar>
          </w:tcPr>
          <w:p>
            <w:pPr>
              <w:jc w:val="left"/>
            </w:pPr>
            <w:r>
              <w:rPr>
                <w:b w:val="false"/>
                <w:bCs w:val="false"/>
              </w:rPr>
              <w:t xml:space="preserve">100%</w:t>
            </w:r>
          </w:p>
        </w:tc>
        <w:tc>
          <w:tcPr>
            <w:tcW w:type="dxa" w:w="1670"/>
            <w:tcMar>
              <w:top w:type="dxa" w:w="80"/>
              <w:left w:type="dxa" w:w="100"/>
              <w:bottom w:type="dxa" w:w="80"/>
              <w:right w:type="dxa" w:w="100"/>
            </w:tcMar>
          </w:tcPr>
          <w:p>
            <w:pPr>
              <w:jc w:val="left"/>
            </w:pPr>
            <w:r>
              <w:rPr>
                <w:b w:val="false"/>
                <w:bCs w:val="false"/>
              </w:rPr>
              <w:t xml:space="preserve">100%</w:t>
            </w:r>
          </w:p>
        </w:tc>
      </w:tr>
      <w:tr>
        <w:tc>
          <w:tcPr>
            <w:tcW w:type="dxa" w:w="1500"/>
            <w:tcMar>
              <w:top w:type="dxa" w:w="80"/>
              <w:left w:type="dxa" w:w="100"/>
              <w:bottom w:type="dxa" w:w="80"/>
              <w:right w:type="dxa" w:w="100"/>
            </w:tcMar>
          </w:tcPr>
          <w:p>
            <w:pPr>
              <w:jc w:val="left"/>
            </w:pPr>
            <w:r>
              <w:rPr>
                <w:b w:val="false"/>
                <w:bCs w:val="false"/>
              </w:rPr>
              <w:t xml:space="preserve">both</w:t>
            </w:r>
          </w:p>
        </w:tc>
        <w:tc>
          <w:tcPr>
            <w:tcW w:type="dxa" w:w="1900"/>
            <w:tcMar>
              <w:top w:type="dxa" w:w="80"/>
              <w:left w:type="dxa" w:w="100"/>
              <w:bottom w:type="dxa" w:w="80"/>
              <w:right w:type="dxa" w:w="100"/>
            </w:tcMar>
          </w:tcPr>
          <w:p>
            <w:pPr>
              <w:jc w:val="left"/>
            </w:pPr>
            <w:r>
              <w:rPr>
                <w:b w:val="false"/>
                <w:bCs w:val="false"/>
              </w:rPr>
              <w:t xml:space="preserve">Lipinski pass rate</w:t>
            </w:r>
          </w:p>
        </w:tc>
        <w:tc>
          <w:tcPr>
            <w:tcW w:type="dxa" w:w="1670"/>
            <w:tcMar>
              <w:top w:type="dxa" w:w="80"/>
              <w:left w:type="dxa" w:w="100"/>
              <w:bottom w:type="dxa" w:w="80"/>
              <w:right w:type="dxa" w:w="100"/>
            </w:tcMar>
          </w:tcPr>
          <w:p>
            <w:pPr>
              <w:jc w:val="left"/>
            </w:pPr>
            <w:r>
              <w:rPr>
                <w:b w:val="false"/>
                <w:bCs w:val="false"/>
              </w:rPr>
              <w:t xml:space="preserve">100%</w:t>
            </w:r>
          </w:p>
        </w:tc>
        <w:tc>
          <w:tcPr>
            <w:tcW w:type="dxa" w:w="1670"/>
            <w:tcMar>
              <w:top w:type="dxa" w:w="80"/>
              <w:left w:type="dxa" w:w="100"/>
              <w:bottom w:type="dxa" w:w="80"/>
              <w:right w:type="dxa" w:w="100"/>
            </w:tcMar>
          </w:tcPr>
          <w:p>
            <w:pPr>
              <w:jc w:val="left"/>
            </w:pPr>
            <w:r>
              <w:rPr>
                <w:b w:val="false"/>
                <w:bCs w:val="false"/>
              </w:rPr>
              <w:t xml:space="preserve">100%</w:t>
            </w:r>
          </w:p>
        </w:tc>
        <w:tc>
          <w:tcPr>
            <w:tcW w:type="dxa" w:w="1670"/>
            <w:tcMar>
              <w:top w:type="dxa" w:w="80"/>
              <w:left w:type="dxa" w:w="100"/>
              <w:bottom w:type="dxa" w:w="80"/>
              <w:right w:type="dxa" w:w="100"/>
            </w:tcMar>
          </w:tcPr>
          <w:p>
            <w:pPr>
              <w:jc w:val="left"/>
            </w:pPr>
            <w:r>
              <w:rPr>
                <w:b w:val="false"/>
                <w:bCs w:val="false"/>
              </w:rPr>
              <w:t xml:space="preserve">100%</w:t>
            </w:r>
          </w:p>
        </w:tc>
        <w:tc>
          <w:tcPr>
            <w:tcW w:type="dxa" w:w="1670"/>
            <w:tcMar>
              <w:top w:type="dxa" w:w="80"/>
              <w:left w:type="dxa" w:w="100"/>
              <w:bottom w:type="dxa" w:w="80"/>
              <w:right w:type="dxa" w:w="100"/>
            </w:tcMar>
          </w:tcPr>
          <w:p>
            <w:pPr>
              <w:jc w:val="left"/>
            </w:pPr>
            <w:r>
              <w:rPr>
                <w:b w:val="false"/>
                <w:bCs w:val="false"/>
              </w:rPr>
              <w:t xml:space="preserve">99.3 – 100%</w:t>
            </w:r>
          </w:p>
        </w:tc>
      </w:tr>
      <w:tr>
        <w:tc>
          <w:tcPr>
            <w:tcW w:type="dxa" w:w="1500"/>
            <w:tcMar>
              <w:top w:type="dxa" w:w="80"/>
              <w:left w:type="dxa" w:w="100"/>
              <w:bottom w:type="dxa" w:w="80"/>
              <w:right w:type="dxa" w:w="100"/>
            </w:tcMar>
          </w:tcPr>
          <w:p>
            <w:pPr>
              <w:jc w:val="left"/>
            </w:pPr>
            <w:r>
              <w:rPr>
                <w:b w:val="false"/>
                <w:bCs w:val="false"/>
              </w:rPr>
              <w:t xml:space="preserve">both</w:t>
            </w:r>
          </w:p>
        </w:tc>
        <w:tc>
          <w:tcPr>
            <w:tcW w:type="dxa" w:w="1900"/>
            <w:tcMar>
              <w:top w:type="dxa" w:w="80"/>
              <w:left w:type="dxa" w:w="100"/>
              <w:bottom w:type="dxa" w:w="80"/>
              <w:right w:type="dxa" w:w="100"/>
            </w:tcMar>
          </w:tcPr>
          <w:p>
            <w:pPr>
              <w:jc w:val="left"/>
            </w:pPr>
            <w:r>
              <w:rPr>
                <w:b w:val="false"/>
                <w:bCs w:val="false"/>
              </w:rPr>
              <w:t xml:space="preserve">mean_NN_Tanimoto</w:t>
            </w:r>
          </w:p>
        </w:tc>
        <w:tc>
          <w:tcPr>
            <w:tcW w:type="dxa" w:w="1670"/>
            <w:tcMar>
              <w:top w:type="dxa" w:w="80"/>
              <w:left w:type="dxa" w:w="100"/>
              <w:bottom w:type="dxa" w:w="80"/>
              <w:right w:type="dxa" w:w="100"/>
            </w:tcMar>
          </w:tcPr>
          <w:p>
            <w:pPr>
              <w:jc w:val="left"/>
            </w:pPr>
            <w:r>
              <w:rPr>
                <w:b w:val="false"/>
                <w:bCs w:val="false"/>
              </w:rPr>
              <w:t xml:space="preserve">0.26 – 0.30</w:t>
            </w:r>
          </w:p>
        </w:tc>
        <w:tc>
          <w:tcPr>
            <w:tcW w:type="dxa" w:w="1670"/>
            <w:tcMar>
              <w:top w:type="dxa" w:w="80"/>
              <w:left w:type="dxa" w:w="100"/>
              <w:bottom w:type="dxa" w:w="80"/>
              <w:right w:type="dxa" w:w="100"/>
            </w:tcMar>
          </w:tcPr>
          <w:p>
            <w:pPr>
              <w:jc w:val="left"/>
            </w:pPr>
            <w:r>
              <w:rPr>
                <w:b w:val="false"/>
                <w:bCs w:val="false"/>
              </w:rPr>
              <w:t xml:space="preserve">0.27 – 0.30</w:t>
            </w:r>
          </w:p>
        </w:tc>
        <w:tc>
          <w:tcPr>
            <w:tcW w:type="dxa" w:w="1670"/>
            <w:tcMar>
              <w:top w:type="dxa" w:w="80"/>
              <w:left w:type="dxa" w:w="100"/>
              <w:bottom w:type="dxa" w:w="80"/>
              <w:right w:type="dxa" w:w="100"/>
            </w:tcMar>
          </w:tcPr>
          <w:p>
            <w:pPr>
              <w:jc w:val="left"/>
            </w:pPr>
            <w:r>
              <w:rPr>
                <w:b w:val="false"/>
                <w:bCs w:val="false"/>
              </w:rPr>
              <w:t xml:space="preserve">0.27 – 0.32</w:t>
            </w:r>
          </w:p>
        </w:tc>
        <w:tc>
          <w:tcPr>
            <w:tcW w:type="dxa" w:w="1670"/>
            <w:tcMar>
              <w:top w:type="dxa" w:w="80"/>
              <w:left w:type="dxa" w:w="100"/>
              <w:bottom w:type="dxa" w:w="80"/>
              <w:right w:type="dxa" w:w="100"/>
            </w:tcMar>
          </w:tcPr>
          <w:p>
            <w:pPr>
              <w:jc w:val="left"/>
            </w:pPr>
            <w:r>
              <w:rPr>
                <w:b w:val="false"/>
                <w:bCs w:val="false"/>
              </w:rPr>
              <w:t xml:space="preserve">0.27 – 0.30</w:t>
            </w:r>
          </w:p>
        </w:tc>
      </w:tr>
    </w:tbl>
    <w:p>
      <w:pPr>
        <w:spacing w:after="160"/>
      </w:pPr>
      <w:r>
        <w:rPr>
          <w:b/>
          <w:bCs/>
        </w:rPr>
        <w:t xml:space="preserve">v4 is the first run with both good validity and good diversity at once: </w:t>
      </w:r>
      <w:r>
        <w:t xml:space="preserve">posterior-mode uniqueness (28.2–31.6%) is 4-5x higher than v1/v2/v3 (5.1–7.8%), while validity (96.0–97.4%) and reward (-3.39~-3.61) stay in the same competitive range as v2/v3. entropy_coef tuning alone (v1→v2→v3) never achieved this; adding the batch-level repetition penalty (Section 8.6) on v2's base hyperparameters did. See Section 5.5 for a broader 15-cell-line confirmation and Section 5.6 for an important caveat this run's Collapse-check diagnostic revealed.</w:t>
      </w:r>
    </w:p>
    <w:p>
      <w:pPr>
        <w:spacing w:after="160"/>
      </w:pPr>
      <w:r>
        <w:rPr>
          <w:i/>
          <w:iCs/>
          <w:color w:val="666666"/>
        </w:rPr>
        <w:t xml:space="preserve">v1–v4 checkpoints were all evaluated with the same script/seed/sample size (same 3 cell lines, since --seed 0 reproduces the same shuffle) for a controlled comparison. This was also the first eval run where the top-repeated-molecule diagnostic (Section 8.6 background) finally appeared in the output — see Section 5.6.</w:t>
      </w:r>
    </w:p>
    <w:p>
      <w:pPr>
        <w:pStyle w:val="Heading2"/>
        <w:spacing w:after="120" w:before="240"/>
      </w:pPr>
      <w:r>
        <w:t xml:space="preserve">5.3 v3 training-log trajectory (entropy_coef = 0.5, applied from epoch 1)</w:t>
      </w:r>
    </w:p>
    <w:p>
      <w:pPr>
        <w:spacing w:after="160"/>
      </w:pPr>
      <w:r>
        <w:t xml:space="preserve">Unlike v2 (entropy_coef raised mid/late training in earlier experiments), v3 applies a 50x larger entropy_coef (0.5 vs v1's 0.01) from the very first epoch, resuming from the same pre-RL VAE checkpoint as v1/v2 — a direct test of the Section 8.5 hypothesis that early application should avoid the softmax-saturation problem.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2140"/>
        <w:gridCol w:w="2140"/>
      </w:tblGrid>
      <w:tr>
        <w:trPr>
          <w:tblHeader/>
        </w:trPr>
        <w:tc>
          <w:tcPr>
            <w:tcW w:type="dxa" w:w="2600"/>
            <w:shd w:fill="D9E2F3" w:val="clear"/>
            <w:tcMar>
              <w:top w:type="dxa" w:w="80"/>
              <w:left w:type="dxa" w:w="100"/>
              <w:bottom w:type="dxa" w:w="80"/>
              <w:right w:type="dxa" w:w="100"/>
            </w:tcMar>
          </w:tcPr>
          <w:p>
            <w:pPr>
              <w:jc w:val="left"/>
            </w:pPr>
            <w:r>
              <w:rPr>
                <w:b/>
                <w:bCs/>
              </w:rPr>
              <w:t xml:space="preserve">Epoch</w:t>
            </w:r>
          </w:p>
        </w:tc>
        <w:tc>
          <w:tcPr>
            <w:tcW w:type="dxa" w:w="1600"/>
            <w:shd w:fill="D9E2F3" w:val="clear"/>
            <w:tcMar>
              <w:top w:type="dxa" w:w="80"/>
              <w:left w:type="dxa" w:w="100"/>
              <w:bottom w:type="dxa" w:w="80"/>
              <w:right w:type="dxa" w:w="100"/>
            </w:tcMar>
          </w:tcPr>
          <w:p>
            <w:pPr>
              <w:jc w:val="left"/>
            </w:pPr>
            <w:r>
              <w:rPr>
                <w:b/>
                <w:bCs/>
              </w:rPr>
              <w:t xml:space="preserve">Entropy</w:t>
            </w:r>
          </w:p>
        </w:tc>
        <w:tc>
          <w:tcPr>
            <w:tcW w:type="dxa" w:w="1600"/>
            <w:shd w:fill="D9E2F3" w:val="clear"/>
            <w:tcMar>
              <w:top w:type="dxa" w:w="80"/>
              <w:left w:type="dxa" w:w="100"/>
              <w:bottom w:type="dxa" w:w="80"/>
              <w:right w:type="dxa" w:w="100"/>
            </w:tcMar>
          </w:tcPr>
          <w:p>
            <w:pPr>
              <w:jc w:val="left"/>
            </w:pPr>
            <w:r>
              <w:rPr>
                <w:b/>
                <w:bCs/>
              </w:rPr>
              <w:t xml:space="preserve">Validity</w:t>
            </w:r>
          </w:p>
        </w:tc>
        <w:tc>
          <w:tcPr>
            <w:tcW w:type="dxa" w:w="2140"/>
            <w:shd w:fill="D9E2F3" w:val="clear"/>
            <w:tcMar>
              <w:top w:type="dxa" w:w="80"/>
              <w:left w:type="dxa" w:w="100"/>
              <w:bottom w:type="dxa" w:w="80"/>
              <w:right w:type="dxa" w:w="100"/>
            </w:tcMar>
          </w:tcPr>
          <w:p>
            <w:pPr>
              <w:jc w:val="left"/>
            </w:pPr>
            <w:r>
              <w:rPr>
                <w:b/>
                <w:bCs/>
              </w:rPr>
              <w:t xml:space="preserve">mean_reward_valid</w:t>
            </w:r>
          </w:p>
        </w:tc>
        <w:tc>
          <w:tcPr>
            <w:tcW w:type="dxa" w:w="2140"/>
            <w:shd w:fill="D9E2F3" w:val="clear"/>
            <w:tcMar>
              <w:top w:type="dxa" w:w="80"/>
              <w:left w:type="dxa" w:w="100"/>
              <w:bottom w:type="dxa" w:w="80"/>
              <w:right w:type="dxa" w:w="100"/>
            </w:tcMar>
          </w:tcPr>
          <w:p>
            <w:pPr>
              <w:jc w:val="left"/>
            </w:pPr>
            <w:r>
              <w:rPr>
                <w:b/>
                <w:bCs/>
              </w:rPr>
              <w:t xml:space="preserve">rl_loss (magnitude)</w:t>
            </w:r>
          </w:p>
        </w:tc>
      </w:tr>
      <w:tr>
        <w:tc>
          <w:tcPr>
            <w:tcW w:type="dxa" w:w="2600"/>
            <w:tcMar>
              <w:top w:type="dxa" w:w="80"/>
              <w:left w:type="dxa" w:w="100"/>
              <w:bottom w:type="dxa" w:w="80"/>
              <w:right w:type="dxa" w:w="100"/>
            </w:tcMar>
          </w:tcPr>
          <w:p>
            <w:pPr>
              <w:jc w:val="left"/>
            </w:pPr>
            <w:r>
              <w:rPr>
                <w:b w:val="false"/>
                <w:bCs w:val="false"/>
              </w:rPr>
              <w:t xml:space="preserve">1</w:t>
            </w:r>
          </w:p>
        </w:tc>
        <w:tc>
          <w:tcPr>
            <w:tcW w:type="dxa" w:w="1600"/>
            <w:tcMar>
              <w:top w:type="dxa" w:w="80"/>
              <w:left w:type="dxa" w:w="100"/>
              <w:bottom w:type="dxa" w:w="80"/>
              <w:right w:type="dxa" w:w="100"/>
            </w:tcMar>
          </w:tcPr>
          <w:p>
            <w:pPr>
              <w:jc w:val="left"/>
            </w:pPr>
            <w:r>
              <w:rPr>
                <w:b w:val="false"/>
                <w:bCs w:val="false"/>
              </w:rPr>
              <w:t xml:space="preserve">1.66</w:t>
            </w:r>
          </w:p>
        </w:tc>
        <w:tc>
          <w:tcPr>
            <w:tcW w:type="dxa" w:w="1600"/>
            <w:tcMar>
              <w:top w:type="dxa" w:w="80"/>
              <w:left w:type="dxa" w:w="100"/>
              <w:bottom w:type="dxa" w:w="80"/>
              <w:right w:type="dxa" w:w="100"/>
            </w:tcMar>
          </w:tcPr>
          <w:p>
            <w:pPr>
              <w:jc w:val="left"/>
            </w:pPr>
            <w:r>
              <w:rPr>
                <w:b w:val="false"/>
                <w:bCs w:val="false"/>
              </w:rPr>
              <w:t xml:space="preserve">10.9%</w:t>
            </w:r>
          </w:p>
        </w:tc>
        <w:tc>
          <w:tcPr>
            <w:tcW w:type="dxa" w:w="2140"/>
            <w:tcMar>
              <w:top w:type="dxa" w:w="80"/>
              <w:left w:type="dxa" w:w="100"/>
              <w:bottom w:type="dxa" w:w="80"/>
              <w:right w:type="dxa" w:w="100"/>
            </w:tcMar>
          </w:tcPr>
          <w:p>
            <w:pPr>
              <w:jc w:val="left"/>
            </w:pPr>
            <w:r>
              <w:rPr>
                <w:b w:val="false"/>
                <w:bCs w:val="false"/>
              </w:rPr>
              <w:t xml:space="preserve">-4.48</w:t>
            </w:r>
          </w:p>
        </w:tc>
        <w:tc>
          <w:tcPr>
            <w:tcW w:type="dxa" w:w="2140"/>
            <w:tcMar>
              <w:top w:type="dxa" w:w="80"/>
              <w:left w:type="dxa" w:w="100"/>
              <w:bottom w:type="dxa" w:w="80"/>
              <w:right w:type="dxa" w:w="100"/>
            </w:tcMar>
          </w:tcPr>
          <w:p>
            <w:pPr>
              <w:jc w:val="left"/>
            </w:pPr>
            <w:r>
              <w:rPr>
                <w:b w:val="false"/>
                <w:bCs w:val="false"/>
              </w:rPr>
              <w:t xml:space="preserve">-993.5</w:t>
            </w:r>
          </w:p>
        </w:tc>
      </w:tr>
      <w:tr>
        <w:tc>
          <w:tcPr>
            <w:tcW w:type="dxa" w:w="2600"/>
            <w:tcMar>
              <w:top w:type="dxa" w:w="80"/>
              <w:left w:type="dxa" w:w="100"/>
              <w:bottom w:type="dxa" w:w="80"/>
              <w:right w:type="dxa" w:w="100"/>
            </w:tcMar>
          </w:tcPr>
          <w:p>
            <w:pPr>
              <w:jc w:val="left"/>
            </w:pPr>
            <w:r>
              <w:rPr>
                <w:b w:val="false"/>
                <w:bCs w:val="false"/>
              </w:rPr>
              <w:t xml:space="preserve">100</w:t>
            </w:r>
          </w:p>
        </w:tc>
        <w:tc>
          <w:tcPr>
            <w:tcW w:type="dxa" w:w="1600"/>
            <w:tcMar>
              <w:top w:type="dxa" w:w="80"/>
              <w:left w:type="dxa" w:w="100"/>
              <w:bottom w:type="dxa" w:w="80"/>
              <w:right w:type="dxa" w:w="100"/>
            </w:tcMar>
          </w:tcPr>
          <w:p>
            <w:pPr>
              <w:jc w:val="left"/>
            </w:pPr>
            <w:r>
              <w:rPr>
                <w:b w:val="false"/>
                <w:bCs w:val="false"/>
              </w:rPr>
              <w:t xml:space="preserve">0.62</w:t>
            </w:r>
          </w:p>
        </w:tc>
        <w:tc>
          <w:tcPr>
            <w:tcW w:type="dxa" w:w="1600"/>
            <w:tcMar>
              <w:top w:type="dxa" w:w="80"/>
              <w:left w:type="dxa" w:w="100"/>
              <w:bottom w:type="dxa" w:w="80"/>
              <w:right w:type="dxa" w:w="100"/>
            </w:tcMar>
          </w:tcPr>
          <w:p>
            <w:pPr>
              <w:jc w:val="left"/>
            </w:pPr>
            <w:r>
              <w:rPr>
                <w:b w:val="false"/>
                <w:bCs w:val="false"/>
              </w:rPr>
              <w:t xml:space="preserve">26.6%</w:t>
            </w:r>
          </w:p>
        </w:tc>
        <w:tc>
          <w:tcPr>
            <w:tcW w:type="dxa" w:w="2140"/>
            <w:tcMar>
              <w:top w:type="dxa" w:w="80"/>
              <w:left w:type="dxa" w:w="100"/>
              <w:bottom w:type="dxa" w:w="80"/>
              <w:right w:type="dxa" w:w="100"/>
            </w:tcMar>
          </w:tcPr>
          <w:p>
            <w:pPr>
              <w:jc w:val="left"/>
            </w:pPr>
            <w:r>
              <w:rPr>
                <w:b w:val="false"/>
                <w:bCs w:val="false"/>
              </w:rPr>
              <w:t xml:space="preserve">-4.12</w:t>
            </w:r>
          </w:p>
        </w:tc>
        <w:tc>
          <w:tcPr>
            <w:tcW w:type="dxa" w:w="2140"/>
            <w:tcMar>
              <w:top w:type="dxa" w:w="80"/>
              <w:left w:type="dxa" w:w="100"/>
              <w:bottom w:type="dxa" w:w="80"/>
              <w:right w:type="dxa" w:w="100"/>
            </w:tcMar>
          </w:tcPr>
          <w:p>
            <w:pPr>
              <w:jc w:val="left"/>
            </w:pPr>
            <w:r>
              <w:rPr>
                <w:b w:val="false"/>
                <w:bCs w:val="false"/>
              </w:rPr>
              <w:t xml:space="preserve">-11.9</w:t>
            </w:r>
          </w:p>
        </w:tc>
      </w:tr>
      <w:tr>
        <w:tc>
          <w:tcPr>
            <w:tcW w:type="dxa" w:w="2600"/>
            <w:tcMar>
              <w:top w:type="dxa" w:w="80"/>
              <w:left w:type="dxa" w:w="100"/>
              <w:bottom w:type="dxa" w:w="80"/>
              <w:right w:type="dxa" w:w="100"/>
            </w:tcMar>
          </w:tcPr>
          <w:p>
            <w:pPr>
              <w:jc w:val="left"/>
            </w:pPr>
            <w:r>
              <w:rPr>
                <w:b w:val="false"/>
                <w:bCs w:val="false"/>
              </w:rPr>
              <w:t xml:space="preserve">250</w:t>
            </w:r>
          </w:p>
        </w:tc>
        <w:tc>
          <w:tcPr>
            <w:tcW w:type="dxa" w:w="1600"/>
            <w:tcMar>
              <w:top w:type="dxa" w:w="80"/>
              <w:left w:type="dxa" w:w="100"/>
              <w:bottom w:type="dxa" w:w="80"/>
              <w:right w:type="dxa" w:w="100"/>
            </w:tcMar>
          </w:tcPr>
          <w:p>
            <w:pPr>
              <w:jc w:val="left"/>
            </w:pPr>
            <w:r>
              <w:rPr>
                <w:b w:val="false"/>
                <w:bCs w:val="false"/>
              </w:rPr>
              <w:t xml:space="preserve">0.29</w:t>
            </w:r>
          </w:p>
        </w:tc>
        <w:tc>
          <w:tcPr>
            <w:tcW w:type="dxa" w:w="1600"/>
            <w:tcMar>
              <w:top w:type="dxa" w:w="80"/>
              <w:left w:type="dxa" w:w="100"/>
              <w:bottom w:type="dxa" w:w="80"/>
              <w:right w:type="dxa" w:w="100"/>
            </w:tcMar>
          </w:tcPr>
          <w:p>
            <w:pPr>
              <w:jc w:val="left"/>
            </w:pPr>
            <w:r>
              <w:rPr>
                <w:b w:val="false"/>
                <w:bCs w:val="false"/>
              </w:rPr>
              <w:t xml:space="preserve">73.4%</w:t>
            </w:r>
          </w:p>
        </w:tc>
        <w:tc>
          <w:tcPr>
            <w:tcW w:type="dxa" w:w="2140"/>
            <w:tcMar>
              <w:top w:type="dxa" w:w="80"/>
              <w:left w:type="dxa" w:w="100"/>
              <w:bottom w:type="dxa" w:w="80"/>
              <w:right w:type="dxa" w:w="100"/>
            </w:tcMar>
          </w:tcPr>
          <w:p>
            <w:pPr>
              <w:jc w:val="left"/>
            </w:pPr>
            <w:r>
              <w:rPr>
                <w:b w:val="false"/>
                <w:bCs w:val="false"/>
              </w:rPr>
              <w:t xml:space="preserve">-4.26</w:t>
            </w:r>
          </w:p>
        </w:tc>
        <w:tc>
          <w:tcPr>
            <w:tcW w:type="dxa" w:w="2140"/>
            <w:tcMar>
              <w:top w:type="dxa" w:w="80"/>
              <w:left w:type="dxa" w:w="100"/>
              <w:bottom w:type="dxa" w:w="80"/>
              <w:right w:type="dxa" w:w="100"/>
            </w:tcMar>
          </w:tcPr>
          <w:p>
            <w:pPr>
              <w:jc w:val="left"/>
            </w:pPr>
            <w:r>
              <w:rPr>
                <w:b w:val="false"/>
                <w:bCs w:val="false"/>
              </w:rPr>
              <w:t xml:space="preserve">—</w:t>
            </w:r>
          </w:p>
        </w:tc>
      </w:tr>
      <w:tr>
        <w:tc>
          <w:tcPr>
            <w:tcW w:type="dxa" w:w="2600"/>
            <w:tcMar>
              <w:top w:type="dxa" w:w="80"/>
              <w:left w:type="dxa" w:w="100"/>
              <w:bottom w:type="dxa" w:w="80"/>
              <w:right w:type="dxa" w:w="100"/>
            </w:tcMar>
          </w:tcPr>
          <w:p>
            <w:pPr>
              <w:jc w:val="left"/>
            </w:pPr>
            <w:r>
              <w:rPr>
                <w:b w:val="false"/>
                <w:bCs w:val="false"/>
              </w:rPr>
              <w:t xml:space="preserve">500</w:t>
            </w:r>
          </w:p>
        </w:tc>
        <w:tc>
          <w:tcPr>
            <w:tcW w:type="dxa" w:w="1600"/>
            <w:tcMar>
              <w:top w:type="dxa" w:w="80"/>
              <w:left w:type="dxa" w:w="100"/>
              <w:bottom w:type="dxa" w:w="80"/>
              <w:right w:type="dxa" w:w="100"/>
            </w:tcMar>
          </w:tcPr>
          <w:p>
            <w:pPr>
              <w:jc w:val="left"/>
            </w:pPr>
            <w:r>
              <w:rPr>
                <w:b w:val="false"/>
                <w:bCs w:val="false"/>
              </w:rPr>
              <w:t xml:space="preserve">0.12</w:t>
            </w:r>
          </w:p>
        </w:tc>
        <w:tc>
          <w:tcPr>
            <w:tcW w:type="dxa" w:w="1600"/>
            <w:tcMar>
              <w:top w:type="dxa" w:w="80"/>
              <w:left w:type="dxa" w:w="100"/>
              <w:bottom w:type="dxa" w:w="80"/>
              <w:right w:type="dxa" w:w="100"/>
            </w:tcMar>
          </w:tcPr>
          <w:p>
            <w:pPr>
              <w:jc w:val="left"/>
            </w:pPr>
            <w:r>
              <w:rPr>
                <w:b w:val="false"/>
                <w:bCs w:val="false"/>
              </w:rPr>
              <w:t xml:space="preserve">82.8%</w:t>
            </w:r>
          </w:p>
        </w:tc>
        <w:tc>
          <w:tcPr>
            <w:tcW w:type="dxa" w:w="2140"/>
            <w:tcMar>
              <w:top w:type="dxa" w:w="80"/>
              <w:left w:type="dxa" w:w="100"/>
              <w:bottom w:type="dxa" w:w="80"/>
              <w:right w:type="dxa" w:w="100"/>
            </w:tcMar>
          </w:tcPr>
          <w:p>
            <w:pPr>
              <w:jc w:val="left"/>
            </w:pPr>
            <w:r>
              <w:rPr>
                <w:b w:val="false"/>
                <w:bCs w:val="false"/>
              </w:rPr>
              <w:t xml:space="preserve">-4.05</w:t>
            </w:r>
          </w:p>
        </w:tc>
        <w:tc>
          <w:tcPr>
            <w:tcW w:type="dxa" w:w="2140"/>
            <w:tcMar>
              <w:top w:type="dxa" w:w="80"/>
              <w:left w:type="dxa" w:w="100"/>
              <w:bottom w:type="dxa" w:w="80"/>
              <w:right w:type="dxa" w:w="100"/>
            </w:tcMar>
          </w:tcPr>
          <w:p>
            <w:pPr>
              <w:jc w:val="left"/>
            </w:pPr>
            <w:r>
              <w:rPr>
                <w:b w:val="false"/>
                <w:bCs w:val="false"/>
              </w:rPr>
              <w:t xml:space="preserve">-1.69</w:t>
            </w:r>
          </w:p>
        </w:tc>
      </w:tr>
      <w:tr>
        <w:tc>
          <w:tcPr>
            <w:tcW w:type="dxa" w:w="2600"/>
            <w:tcMar>
              <w:top w:type="dxa" w:w="80"/>
              <w:left w:type="dxa" w:w="100"/>
              <w:bottom w:type="dxa" w:w="80"/>
              <w:right w:type="dxa" w:w="100"/>
            </w:tcMar>
          </w:tcPr>
          <w:p>
            <w:pPr>
              <w:jc w:val="left"/>
            </w:pPr>
            <w:r>
              <w:rPr>
                <w:b w:val="false"/>
                <w:bCs w:val="false"/>
              </w:rPr>
              <w:t xml:space="preserve">750</w:t>
            </w:r>
          </w:p>
        </w:tc>
        <w:tc>
          <w:tcPr>
            <w:tcW w:type="dxa" w:w="1600"/>
            <w:tcMar>
              <w:top w:type="dxa" w:w="80"/>
              <w:left w:type="dxa" w:w="100"/>
              <w:bottom w:type="dxa" w:w="80"/>
              <w:right w:type="dxa" w:w="100"/>
            </w:tcMar>
          </w:tcPr>
          <w:p>
            <w:pPr>
              <w:jc w:val="left"/>
            </w:pPr>
            <w:r>
              <w:rPr>
                <w:b w:val="false"/>
                <w:bCs w:val="false"/>
              </w:rPr>
              <w:t xml:space="preserve">0.08</w:t>
            </w:r>
          </w:p>
        </w:tc>
        <w:tc>
          <w:tcPr>
            <w:tcW w:type="dxa" w:w="1600"/>
            <w:tcMar>
              <w:top w:type="dxa" w:w="80"/>
              <w:left w:type="dxa" w:w="100"/>
              <w:bottom w:type="dxa" w:w="80"/>
              <w:right w:type="dxa" w:w="100"/>
            </w:tcMar>
          </w:tcPr>
          <w:p>
            <w:pPr>
              <w:jc w:val="left"/>
            </w:pPr>
            <w:r>
              <w:rPr>
                <w:b w:val="false"/>
                <w:bCs w:val="false"/>
              </w:rPr>
              <w:t xml:space="preserve">85.9%</w:t>
            </w:r>
          </w:p>
        </w:tc>
        <w:tc>
          <w:tcPr>
            <w:tcW w:type="dxa" w:w="2140"/>
            <w:tcMar>
              <w:top w:type="dxa" w:w="80"/>
              <w:left w:type="dxa" w:w="100"/>
              <w:bottom w:type="dxa" w:w="80"/>
              <w:right w:type="dxa" w:w="100"/>
            </w:tcMar>
          </w:tcPr>
          <w:p>
            <w:pPr>
              <w:jc w:val="left"/>
            </w:pPr>
            <w:r>
              <w:rPr>
                <w:b w:val="false"/>
                <w:bCs w:val="false"/>
              </w:rPr>
              <w:t xml:space="preserve">-3.00</w:t>
            </w:r>
          </w:p>
        </w:tc>
        <w:tc>
          <w:tcPr>
            <w:tcW w:type="dxa" w:w="2140"/>
            <w:tcMar>
              <w:top w:type="dxa" w:w="80"/>
              <w:left w:type="dxa" w:w="100"/>
              <w:bottom w:type="dxa" w:w="80"/>
              <w:right w:type="dxa" w:w="100"/>
            </w:tcMar>
          </w:tcPr>
          <w:p>
            <w:pPr>
              <w:jc w:val="left"/>
            </w:pPr>
            <w:r>
              <w:rPr>
                <w:b w:val="false"/>
                <w:bCs w:val="false"/>
              </w:rPr>
              <w:t xml:space="preserve">—</w:t>
            </w:r>
          </w:p>
        </w:tc>
      </w:tr>
      <w:tr>
        <w:tc>
          <w:tcPr>
            <w:tcW w:type="dxa" w:w="2600"/>
            <w:tcMar>
              <w:top w:type="dxa" w:w="80"/>
              <w:left w:type="dxa" w:w="100"/>
              <w:bottom w:type="dxa" w:w="80"/>
              <w:right w:type="dxa" w:w="100"/>
            </w:tcMar>
          </w:tcPr>
          <w:p>
            <w:pPr>
              <w:jc w:val="left"/>
            </w:pPr>
            <w:r>
              <w:rPr>
                <w:b w:val="false"/>
                <w:bCs w:val="false"/>
              </w:rPr>
              <w:t xml:space="preserve">1000</w:t>
            </w:r>
          </w:p>
        </w:tc>
        <w:tc>
          <w:tcPr>
            <w:tcW w:type="dxa" w:w="1600"/>
            <w:tcMar>
              <w:top w:type="dxa" w:w="80"/>
              <w:left w:type="dxa" w:w="100"/>
              <w:bottom w:type="dxa" w:w="80"/>
              <w:right w:type="dxa" w:w="100"/>
            </w:tcMar>
          </w:tcPr>
          <w:p>
            <w:pPr>
              <w:jc w:val="left"/>
            </w:pPr>
            <w:r>
              <w:rPr>
                <w:b w:val="false"/>
                <w:bCs w:val="false"/>
              </w:rPr>
              <w:t xml:space="preserve">0.10</w:t>
            </w:r>
          </w:p>
        </w:tc>
        <w:tc>
          <w:tcPr>
            <w:tcW w:type="dxa" w:w="1600"/>
            <w:tcMar>
              <w:top w:type="dxa" w:w="80"/>
              <w:left w:type="dxa" w:w="100"/>
              <w:bottom w:type="dxa" w:w="80"/>
              <w:right w:type="dxa" w:w="100"/>
            </w:tcMar>
          </w:tcPr>
          <w:p>
            <w:pPr>
              <w:jc w:val="left"/>
            </w:pPr>
            <w:r>
              <w:rPr>
                <w:b w:val="false"/>
                <w:bCs w:val="false"/>
              </w:rPr>
              <w:t xml:space="preserve">89.1%</w:t>
            </w:r>
          </w:p>
        </w:tc>
        <w:tc>
          <w:tcPr>
            <w:tcW w:type="dxa" w:w="2140"/>
            <w:tcMar>
              <w:top w:type="dxa" w:w="80"/>
              <w:left w:type="dxa" w:w="100"/>
              <w:bottom w:type="dxa" w:w="80"/>
              <w:right w:type="dxa" w:w="100"/>
            </w:tcMar>
          </w:tcPr>
          <w:p>
            <w:pPr>
              <w:jc w:val="left"/>
            </w:pPr>
            <w:r>
              <w:rPr>
                <w:b w:val="false"/>
                <w:bCs w:val="false"/>
              </w:rPr>
              <w:t xml:space="preserve">-3.89</w:t>
            </w:r>
          </w:p>
        </w:tc>
        <w:tc>
          <w:tcPr>
            <w:tcW w:type="dxa" w:w="2140"/>
            <w:tcMar>
              <w:top w:type="dxa" w:w="80"/>
              <w:left w:type="dxa" w:w="100"/>
              <w:bottom w:type="dxa" w:w="80"/>
              <w:right w:type="dxa" w:w="100"/>
            </w:tcMar>
          </w:tcPr>
          <w:p>
            <w:pPr>
              <w:jc w:val="left"/>
            </w:pPr>
            <w:r>
              <w:rPr>
                <w:b w:val="false"/>
                <w:bCs w:val="false"/>
              </w:rPr>
              <w:t xml:space="preserve">-2.96</w:t>
            </w:r>
          </w:p>
        </w:tc>
      </w:tr>
      <w:tr>
        <w:tc>
          <w:tcPr>
            <w:tcW w:type="dxa" w:w="2600"/>
            <w:tcMar>
              <w:top w:type="dxa" w:w="80"/>
              <w:left w:type="dxa" w:w="100"/>
              <w:bottom w:type="dxa" w:w="80"/>
              <w:right w:type="dxa" w:w="100"/>
            </w:tcMar>
          </w:tcPr>
          <w:p>
            <w:pPr>
              <w:jc w:val="left"/>
            </w:pPr>
            <w:r>
              <w:rPr>
                <w:b w:val="false"/>
                <w:bCs w:val="false"/>
              </w:rPr>
              <w:t xml:space="preserve">1500</w:t>
            </w:r>
          </w:p>
        </w:tc>
        <w:tc>
          <w:tcPr>
            <w:tcW w:type="dxa" w:w="1600"/>
            <w:tcMar>
              <w:top w:type="dxa" w:w="80"/>
              <w:left w:type="dxa" w:w="100"/>
              <w:bottom w:type="dxa" w:w="80"/>
              <w:right w:type="dxa" w:w="100"/>
            </w:tcMar>
          </w:tcPr>
          <w:p>
            <w:pPr>
              <w:jc w:val="left"/>
            </w:pPr>
            <w:r>
              <w:rPr>
                <w:b w:val="false"/>
                <w:bCs w:val="false"/>
              </w:rPr>
              <w:t xml:space="preserve">0.10</w:t>
            </w:r>
          </w:p>
        </w:tc>
        <w:tc>
          <w:tcPr>
            <w:tcW w:type="dxa" w:w="1600"/>
            <w:tcMar>
              <w:top w:type="dxa" w:w="80"/>
              <w:left w:type="dxa" w:w="100"/>
              <w:bottom w:type="dxa" w:w="80"/>
              <w:right w:type="dxa" w:w="100"/>
            </w:tcMar>
          </w:tcPr>
          <w:p>
            <w:pPr>
              <w:jc w:val="left"/>
            </w:pPr>
            <w:r>
              <w:rPr>
                <w:b w:val="false"/>
                <w:bCs w:val="false"/>
              </w:rPr>
              <w:t xml:space="preserve">95.3%</w:t>
            </w:r>
          </w:p>
        </w:tc>
        <w:tc>
          <w:tcPr>
            <w:tcW w:type="dxa" w:w="2140"/>
            <w:tcMar>
              <w:top w:type="dxa" w:w="80"/>
              <w:left w:type="dxa" w:w="100"/>
              <w:bottom w:type="dxa" w:w="80"/>
              <w:right w:type="dxa" w:w="100"/>
            </w:tcMar>
          </w:tcPr>
          <w:p>
            <w:pPr>
              <w:jc w:val="left"/>
            </w:pPr>
            <w:r>
              <w:rPr>
                <w:b w:val="false"/>
                <w:bCs w:val="false"/>
              </w:rPr>
              <w:t xml:space="preserve">-3.84</w:t>
            </w:r>
          </w:p>
        </w:tc>
        <w:tc>
          <w:tcPr>
            <w:tcW w:type="dxa" w:w="2140"/>
            <w:tcMar>
              <w:top w:type="dxa" w:w="80"/>
              <w:left w:type="dxa" w:w="100"/>
              <w:bottom w:type="dxa" w:w="80"/>
              <w:right w:type="dxa" w:w="100"/>
            </w:tcMar>
          </w:tcPr>
          <w:p>
            <w:pPr>
              <w:jc w:val="left"/>
            </w:pPr>
            <w:r>
              <w:rPr>
                <w:b w:val="false"/>
                <w:bCs w:val="false"/>
              </w:rPr>
              <w:t xml:space="preserve">—</w:t>
            </w:r>
          </w:p>
        </w:tc>
      </w:tr>
      <w:tr>
        <w:tc>
          <w:tcPr>
            <w:tcW w:type="dxa" w:w="2600"/>
            <w:tcMar>
              <w:top w:type="dxa" w:w="80"/>
              <w:left w:type="dxa" w:w="100"/>
              <w:bottom w:type="dxa" w:w="80"/>
              <w:right w:type="dxa" w:w="100"/>
            </w:tcMar>
          </w:tcPr>
          <w:p>
            <w:pPr>
              <w:jc w:val="left"/>
            </w:pPr>
            <w:r>
              <w:rPr>
                <w:b w:val="false"/>
                <w:bCs w:val="false"/>
              </w:rPr>
              <w:t xml:space="preserve">2000 (tail avg, last 20)</w:t>
            </w:r>
          </w:p>
        </w:tc>
        <w:tc>
          <w:tcPr>
            <w:tcW w:type="dxa" w:w="1600"/>
            <w:tcMar>
              <w:top w:type="dxa" w:w="80"/>
              <w:left w:type="dxa" w:w="100"/>
              <w:bottom w:type="dxa" w:w="80"/>
              <w:right w:type="dxa" w:w="100"/>
            </w:tcMar>
          </w:tcPr>
          <w:p>
            <w:pPr>
              <w:jc w:val="left"/>
            </w:pPr>
            <w:r>
              <w:rPr>
                <w:b w:val="false"/>
                <w:bCs w:val="false"/>
              </w:rPr>
              <w:t xml:space="preserve">0.055</w:t>
            </w:r>
          </w:p>
        </w:tc>
        <w:tc>
          <w:tcPr>
            <w:tcW w:type="dxa" w:w="1600"/>
            <w:tcMar>
              <w:top w:type="dxa" w:w="80"/>
              <w:left w:type="dxa" w:w="100"/>
              <w:bottom w:type="dxa" w:w="80"/>
              <w:right w:type="dxa" w:w="100"/>
            </w:tcMar>
          </w:tcPr>
          <w:p>
            <w:pPr>
              <w:jc w:val="left"/>
            </w:pPr>
            <w:r>
              <w:rPr>
                <w:b w:val="false"/>
                <w:bCs w:val="false"/>
              </w:rPr>
              <w:t xml:space="preserve">95.1%</w:t>
            </w:r>
          </w:p>
        </w:tc>
        <w:tc>
          <w:tcPr>
            <w:tcW w:type="dxa" w:w="2140"/>
            <w:tcMar>
              <w:top w:type="dxa" w:w="80"/>
              <w:left w:type="dxa" w:w="100"/>
              <w:bottom w:type="dxa" w:w="80"/>
              <w:right w:type="dxa" w:w="100"/>
            </w:tcMar>
          </w:tcPr>
          <w:p>
            <w:pPr>
              <w:jc w:val="left"/>
            </w:pPr>
            <w:r>
              <w:rPr>
                <w:b w:val="false"/>
                <w:bCs w:val="false"/>
              </w:rPr>
              <w:t xml:space="preserve">-3.78</w:t>
            </w:r>
          </w:p>
        </w:tc>
        <w:tc>
          <w:tcPr>
            <w:tcW w:type="dxa" w:w="2140"/>
            <w:tcMar>
              <w:top w:type="dxa" w:w="80"/>
              <w:left w:type="dxa" w:w="100"/>
              <w:bottom w:type="dxa" w:w="80"/>
              <w:right w:type="dxa" w:w="100"/>
            </w:tcMar>
          </w:tcPr>
          <w:p>
            <w:pPr>
              <w:jc w:val="left"/>
            </w:pPr>
            <w:r>
              <w:rPr>
                <w:b w:val="false"/>
                <w:bCs w:val="false"/>
              </w:rPr>
              <w:t xml:space="preserve">-2.27</w:t>
            </w:r>
          </w:p>
        </w:tc>
      </w:tr>
    </w:tbl>
    <w:p>
      <w:pPr>
        <w:spacing w:after="160"/>
      </w:pPr>
      <w:r>
        <w:rPr>
          <w:b/>
          <w:bCs/>
        </w:rPr>
        <w:t xml:space="preserve">Result: the 50x larger, epoch-1 entropy_coef did NOT prevent collapse. </w:t>
      </w:r>
      <w:r>
        <w:t xml:space="preserve">Entropy was already down to 0.10–0.12 by epoch 500–1000 — statistically indistinguishable from where v1 (entropy_coef 0.01) ended up by ITS epoch 1000 (0.06–0.24). By the tail, v3's entropy (avg 0.055) is in the same collapsed range as v2's (0.025–0.091), and v3's reward (avg -3.78) is actually WORSE than v2's (-2.7 ~ -3.35) — a 10x larger entropy_coef than v2 bought no diversity benefit and cost some reward quality. This falsifies the simple form of the Section 8.5 recommendation and is analyzed in Section 8.7.</w:t>
      </w:r>
    </w:p>
    <w:p>
      <w:pPr>
        <w:spacing w:after="160"/>
      </w:pPr>
      <w:r>
        <w:rPr>
          <w:i/>
          <w:iCs/>
          <w:color w:val="666666"/>
        </w:rPr>
        <w:t xml:space="preserve">v3's full independent-eval numbers (uniqueness, novelty, Lipinski, reward-model score) are now available in Section 5.2, confirming this training-log trajectory.</w:t>
      </w:r>
    </w:p>
    <w:p>
      <w:pPr>
        <w:pStyle w:val="Heading2"/>
        <w:spacing w:after="120" w:before="240"/>
      </w:pPr>
      <w:r>
        <w:t xml:space="preserve">5.4 v4 training-log trajectory (lambda_div = 0.1 added on top of v2's entropy_coef/invalid_penalty)</w:t>
      </w:r>
    </w:p>
    <w:p>
      <w:pPr>
        <w:spacing w:after="160"/>
      </w:pPr>
      <w:r>
        <w:t xml:space="preserve">v4 resumes from the same pre-RL VAE as v1/v2/v3, keeps v2's entropy_coef (0.05) and invalid_penalty (-5.0), and adds the Section 8.6 batch-level repetition penalty (lambda_div=0.1, untuned first guess). batch_uniqueness (distinct valid canonical SMILES / valid samples, per 64-sample training batch) is a new logged column.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2340"/>
        <w:gridCol w:w="2340"/>
      </w:tblGrid>
      <w:tr>
        <w:trPr>
          <w:tblHeader/>
        </w:trPr>
        <w:tc>
          <w:tcPr>
            <w:tcW w:type="dxa" w:w="2600"/>
            <w:shd w:fill="D9E2F3" w:val="clear"/>
            <w:tcMar>
              <w:top w:type="dxa" w:w="80"/>
              <w:left w:type="dxa" w:w="100"/>
              <w:bottom w:type="dxa" w:w="80"/>
              <w:right w:type="dxa" w:w="100"/>
            </w:tcMar>
          </w:tcPr>
          <w:p>
            <w:pPr>
              <w:jc w:val="left"/>
            </w:pPr>
            <w:r>
              <w:rPr>
                <w:b/>
                <w:bCs/>
              </w:rPr>
              <w:t xml:space="preserve">Epoch</w:t>
            </w:r>
          </w:p>
        </w:tc>
        <w:tc>
          <w:tcPr>
            <w:tcW w:type="dxa" w:w="1400"/>
            <w:shd w:fill="D9E2F3" w:val="clear"/>
            <w:tcMar>
              <w:top w:type="dxa" w:w="80"/>
              <w:left w:type="dxa" w:w="100"/>
              <w:bottom w:type="dxa" w:w="80"/>
              <w:right w:type="dxa" w:w="100"/>
            </w:tcMar>
          </w:tcPr>
          <w:p>
            <w:pPr>
              <w:jc w:val="left"/>
            </w:pPr>
            <w:r>
              <w:rPr>
                <w:b/>
                <w:bCs/>
              </w:rPr>
              <w:t xml:space="preserve">Entropy</w:t>
            </w:r>
          </w:p>
        </w:tc>
        <w:tc>
          <w:tcPr>
            <w:tcW w:type="dxa" w:w="1400"/>
            <w:shd w:fill="D9E2F3" w:val="clear"/>
            <w:tcMar>
              <w:top w:type="dxa" w:w="80"/>
              <w:left w:type="dxa" w:w="100"/>
              <w:bottom w:type="dxa" w:w="80"/>
              <w:right w:type="dxa" w:w="100"/>
            </w:tcMar>
          </w:tcPr>
          <w:p>
            <w:pPr>
              <w:jc w:val="left"/>
            </w:pPr>
            <w:r>
              <w:rPr>
                <w:b/>
                <w:bCs/>
              </w:rPr>
              <w:t xml:space="preserve">Validity</w:t>
            </w:r>
          </w:p>
        </w:tc>
        <w:tc>
          <w:tcPr>
            <w:tcW w:type="dxa" w:w="2340"/>
            <w:shd w:fill="D9E2F3" w:val="clear"/>
            <w:tcMar>
              <w:top w:type="dxa" w:w="80"/>
              <w:left w:type="dxa" w:w="100"/>
              <w:bottom w:type="dxa" w:w="80"/>
              <w:right w:type="dxa" w:w="100"/>
            </w:tcMar>
          </w:tcPr>
          <w:p>
            <w:pPr>
              <w:jc w:val="left"/>
            </w:pPr>
            <w:r>
              <w:rPr>
                <w:b/>
                <w:bCs/>
              </w:rPr>
              <w:t xml:space="preserve">batch_uniqueness</w:t>
            </w:r>
          </w:p>
        </w:tc>
        <w:tc>
          <w:tcPr>
            <w:tcW w:type="dxa" w:w="2340"/>
            <w:shd w:fill="D9E2F3" w:val="clear"/>
            <w:tcMar>
              <w:top w:type="dxa" w:w="80"/>
              <w:left w:type="dxa" w:w="100"/>
              <w:bottom w:type="dxa" w:w="80"/>
              <w:right w:type="dxa" w:w="100"/>
            </w:tcMar>
          </w:tcPr>
          <w:p>
            <w:pPr>
              <w:jc w:val="left"/>
            </w:pPr>
            <w:r>
              <w:rPr>
                <w:b/>
                <w:bCs/>
              </w:rPr>
              <w:t xml:space="preserve">mean_reward_valid</w:t>
            </w:r>
          </w:p>
        </w:tc>
      </w:tr>
      <w:tr>
        <w:tc>
          <w:tcPr>
            <w:tcW w:type="dxa" w:w="2600"/>
            <w:tcMar>
              <w:top w:type="dxa" w:w="80"/>
              <w:left w:type="dxa" w:w="100"/>
              <w:bottom w:type="dxa" w:w="80"/>
              <w:right w:type="dxa" w:w="100"/>
            </w:tcMar>
          </w:tcPr>
          <w:p>
            <w:pPr>
              <w:jc w:val="left"/>
            </w:pPr>
            <w:r>
              <w:rPr>
                <w:b w:val="false"/>
                <w:bCs w:val="false"/>
              </w:rPr>
              <w:t xml:space="preserve">1</w:t>
            </w:r>
          </w:p>
        </w:tc>
        <w:tc>
          <w:tcPr>
            <w:tcW w:type="dxa" w:w="1400"/>
            <w:tcMar>
              <w:top w:type="dxa" w:w="80"/>
              <w:left w:type="dxa" w:w="100"/>
              <w:bottom w:type="dxa" w:w="80"/>
              <w:right w:type="dxa" w:w="100"/>
            </w:tcMar>
          </w:tcPr>
          <w:p>
            <w:pPr>
              <w:jc w:val="left"/>
            </w:pPr>
            <w:r>
              <w:rPr>
                <w:b w:val="false"/>
                <w:bCs w:val="false"/>
              </w:rPr>
              <w:t xml:space="preserve">1.663</w:t>
            </w:r>
          </w:p>
        </w:tc>
        <w:tc>
          <w:tcPr>
            <w:tcW w:type="dxa" w:w="1400"/>
            <w:tcMar>
              <w:top w:type="dxa" w:w="80"/>
              <w:left w:type="dxa" w:w="100"/>
              <w:bottom w:type="dxa" w:w="80"/>
              <w:right w:type="dxa" w:w="100"/>
            </w:tcMar>
          </w:tcPr>
          <w:p>
            <w:pPr>
              <w:jc w:val="left"/>
            </w:pPr>
            <w:r>
              <w:rPr>
                <w:b w:val="false"/>
                <w:bCs w:val="false"/>
              </w:rPr>
              <w:t xml:space="preserve">10.9%</w:t>
            </w:r>
          </w:p>
        </w:tc>
        <w:tc>
          <w:tcPr>
            <w:tcW w:type="dxa" w:w="2340"/>
            <w:tcMar>
              <w:top w:type="dxa" w:w="80"/>
              <w:left w:type="dxa" w:w="100"/>
              <w:bottom w:type="dxa" w:w="80"/>
              <w:right w:type="dxa" w:w="100"/>
            </w:tcMar>
          </w:tcPr>
          <w:p>
            <w:pPr>
              <w:jc w:val="left"/>
            </w:pPr>
            <w:r>
              <w:rPr>
                <w:b w:val="false"/>
                <w:bCs w:val="false"/>
              </w:rPr>
              <w:t xml:space="preserve">71.4%</w:t>
            </w:r>
          </w:p>
        </w:tc>
        <w:tc>
          <w:tcPr>
            <w:tcW w:type="dxa" w:w="2340"/>
            <w:tcMar>
              <w:top w:type="dxa" w:w="80"/>
              <w:left w:type="dxa" w:w="100"/>
              <w:bottom w:type="dxa" w:w="80"/>
              <w:right w:type="dxa" w:w="100"/>
            </w:tcMar>
          </w:tcPr>
          <w:p>
            <w:pPr>
              <w:jc w:val="left"/>
            </w:pPr>
            <w:r>
              <w:rPr>
                <w:b w:val="false"/>
                <w:bCs w:val="false"/>
              </w:rPr>
              <w:t xml:space="preserve">-4.48</w:t>
            </w:r>
          </w:p>
        </w:tc>
      </w:tr>
      <w:tr>
        <w:tc>
          <w:tcPr>
            <w:tcW w:type="dxa" w:w="2600"/>
            <w:tcMar>
              <w:top w:type="dxa" w:w="80"/>
              <w:left w:type="dxa" w:w="100"/>
              <w:bottom w:type="dxa" w:w="80"/>
              <w:right w:type="dxa" w:w="100"/>
            </w:tcMar>
          </w:tcPr>
          <w:p>
            <w:pPr>
              <w:jc w:val="left"/>
            </w:pPr>
            <w:r>
              <w:rPr>
                <w:b w:val="false"/>
                <w:bCs w:val="false"/>
              </w:rPr>
              <w:t xml:space="preserve">100</w:t>
            </w:r>
          </w:p>
        </w:tc>
        <w:tc>
          <w:tcPr>
            <w:tcW w:type="dxa" w:w="1400"/>
            <w:tcMar>
              <w:top w:type="dxa" w:w="80"/>
              <w:left w:type="dxa" w:w="100"/>
              <w:bottom w:type="dxa" w:w="80"/>
              <w:right w:type="dxa" w:w="100"/>
            </w:tcMar>
          </w:tcPr>
          <w:p>
            <w:pPr>
              <w:jc w:val="left"/>
            </w:pPr>
            <w:r>
              <w:rPr>
                <w:b w:val="false"/>
                <w:bCs w:val="false"/>
              </w:rPr>
              <w:t xml:space="preserve">0.567</w:t>
            </w:r>
          </w:p>
        </w:tc>
        <w:tc>
          <w:tcPr>
            <w:tcW w:type="dxa" w:w="1400"/>
            <w:tcMar>
              <w:top w:type="dxa" w:w="80"/>
              <w:left w:type="dxa" w:w="100"/>
              <w:bottom w:type="dxa" w:w="80"/>
              <w:right w:type="dxa" w:w="100"/>
            </w:tcMar>
          </w:tcPr>
          <w:p>
            <w:pPr>
              <w:jc w:val="left"/>
            </w:pPr>
            <w:r>
              <w:rPr>
                <w:b w:val="false"/>
                <w:bCs w:val="false"/>
              </w:rPr>
              <w:t xml:space="preserve">28.1%</w:t>
            </w:r>
          </w:p>
        </w:tc>
        <w:tc>
          <w:tcPr>
            <w:tcW w:type="dxa" w:w="2340"/>
            <w:tcMar>
              <w:top w:type="dxa" w:w="80"/>
              <w:left w:type="dxa" w:w="100"/>
              <w:bottom w:type="dxa" w:w="80"/>
              <w:right w:type="dxa" w:w="100"/>
            </w:tcMar>
          </w:tcPr>
          <w:p>
            <w:pPr>
              <w:jc w:val="left"/>
            </w:pPr>
            <w:r>
              <w:rPr>
                <w:b w:val="false"/>
                <w:bCs w:val="false"/>
              </w:rPr>
              <w:t xml:space="preserve">83.3%</w:t>
            </w:r>
          </w:p>
        </w:tc>
        <w:tc>
          <w:tcPr>
            <w:tcW w:type="dxa" w:w="2340"/>
            <w:tcMar>
              <w:top w:type="dxa" w:w="80"/>
              <w:left w:type="dxa" w:w="100"/>
              <w:bottom w:type="dxa" w:w="80"/>
              <w:right w:type="dxa" w:w="100"/>
            </w:tcMar>
          </w:tcPr>
          <w:p>
            <w:pPr>
              <w:jc w:val="left"/>
            </w:pPr>
            <w:r>
              <w:rPr>
                <w:b w:val="false"/>
                <w:bCs w:val="false"/>
              </w:rPr>
              <w:t xml:space="preserve">-4.13</w:t>
            </w:r>
          </w:p>
        </w:tc>
      </w:tr>
      <w:tr>
        <w:tc>
          <w:tcPr>
            <w:tcW w:type="dxa" w:w="2600"/>
            <w:tcMar>
              <w:top w:type="dxa" w:w="80"/>
              <w:left w:type="dxa" w:w="100"/>
              <w:bottom w:type="dxa" w:w="80"/>
              <w:right w:type="dxa" w:w="100"/>
            </w:tcMar>
          </w:tcPr>
          <w:p>
            <w:pPr>
              <w:jc w:val="left"/>
            </w:pPr>
            <w:r>
              <w:rPr>
                <w:b w:val="false"/>
                <w:bCs w:val="false"/>
              </w:rPr>
              <w:t xml:space="preserve">250</w:t>
            </w:r>
          </w:p>
        </w:tc>
        <w:tc>
          <w:tcPr>
            <w:tcW w:type="dxa" w:w="1400"/>
            <w:tcMar>
              <w:top w:type="dxa" w:w="80"/>
              <w:left w:type="dxa" w:w="100"/>
              <w:bottom w:type="dxa" w:w="80"/>
              <w:right w:type="dxa" w:w="100"/>
            </w:tcMar>
          </w:tcPr>
          <w:p>
            <w:pPr>
              <w:jc w:val="left"/>
            </w:pPr>
            <w:r>
              <w:rPr>
                <w:b w:val="false"/>
                <w:bCs w:val="false"/>
              </w:rPr>
              <w:t xml:space="preserve">0.180</w:t>
            </w:r>
          </w:p>
        </w:tc>
        <w:tc>
          <w:tcPr>
            <w:tcW w:type="dxa" w:w="1400"/>
            <w:tcMar>
              <w:top w:type="dxa" w:w="80"/>
              <w:left w:type="dxa" w:w="100"/>
              <w:bottom w:type="dxa" w:w="80"/>
              <w:right w:type="dxa" w:w="100"/>
            </w:tcMar>
          </w:tcPr>
          <w:p>
            <w:pPr>
              <w:jc w:val="left"/>
            </w:pPr>
            <w:r>
              <w:rPr>
                <w:b w:val="false"/>
                <w:bCs w:val="false"/>
              </w:rPr>
              <w:t xml:space="preserve">68.8%</w:t>
            </w:r>
          </w:p>
        </w:tc>
        <w:tc>
          <w:tcPr>
            <w:tcW w:type="dxa" w:w="2340"/>
            <w:tcMar>
              <w:top w:type="dxa" w:w="80"/>
              <w:left w:type="dxa" w:w="100"/>
              <w:bottom w:type="dxa" w:w="80"/>
              <w:right w:type="dxa" w:w="100"/>
            </w:tcMar>
          </w:tcPr>
          <w:p>
            <w:pPr>
              <w:jc w:val="left"/>
            </w:pPr>
            <w:r>
              <w:rPr>
                <w:b w:val="false"/>
                <w:bCs w:val="false"/>
              </w:rPr>
              <w:t xml:space="preserve">93.2%</w:t>
            </w:r>
          </w:p>
        </w:tc>
        <w:tc>
          <w:tcPr>
            <w:tcW w:type="dxa" w:w="2340"/>
            <w:tcMar>
              <w:top w:type="dxa" w:w="80"/>
              <w:left w:type="dxa" w:w="100"/>
              <w:bottom w:type="dxa" w:w="80"/>
              <w:right w:type="dxa" w:w="100"/>
            </w:tcMar>
          </w:tcPr>
          <w:p>
            <w:pPr>
              <w:jc w:val="left"/>
            </w:pPr>
            <w:r>
              <w:rPr>
                <w:b w:val="false"/>
                <w:bCs w:val="false"/>
              </w:rPr>
              <w:t xml:space="preserve">-4.24</w:t>
            </w:r>
          </w:p>
        </w:tc>
      </w:tr>
      <w:tr>
        <w:tc>
          <w:tcPr>
            <w:tcW w:type="dxa" w:w="2600"/>
            <w:tcMar>
              <w:top w:type="dxa" w:w="80"/>
              <w:left w:type="dxa" w:w="100"/>
              <w:bottom w:type="dxa" w:w="80"/>
              <w:right w:type="dxa" w:w="100"/>
            </w:tcMar>
          </w:tcPr>
          <w:p>
            <w:pPr>
              <w:jc w:val="left"/>
            </w:pPr>
            <w:r>
              <w:rPr>
                <w:b w:val="false"/>
                <w:bCs w:val="false"/>
              </w:rPr>
              <w:t xml:space="preserve">500</w:t>
            </w:r>
          </w:p>
        </w:tc>
        <w:tc>
          <w:tcPr>
            <w:tcW w:type="dxa" w:w="1400"/>
            <w:tcMar>
              <w:top w:type="dxa" w:w="80"/>
              <w:left w:type="dxa" w:w="100"/>
              <w:bottom w:type="dxa" w:w="80"/>
              <w:right w:type="dxa" w:w="100"/>
            </w:tcMar>
          </w:tcPr>
          <w:p>
            <w:pPr>
              <w:jc w:val="left"/>
            </w:pPr>
            <w:r>
              <w:rPr>
                <w:b w:val="false"/>
                <w:bCs w:val="false"/>
              </w:rPr>
              <w:t xml:space="preserve">0.163</w:t>
            </w:r>
          </w:p>
        </w:tc>
        <w:tc>
          <w:tcPr>
            <w:tcW w:type="dxa" w:w="1400"/>
            <w:tcMar>
              <w:top w:type="dxa" w:w="80"/>
              <w:left w:type="dxa" w:w="100"/>
              <w:bottom w:type="dxa" w:w="80"/>
              <w:right w:type="dxa" w:w="100"/>
            </w:tcMar>
          </w:tcPr>
          <w:p>
            <w:pPr>
              <w:jc w:val="left"/>
            </w:pPr>
            <w:r>
              <w:rPr>
                <w:b w:val="false"/>
                <w:bCs w:val="false"/>
              </w:rPr>
              <w:t xml:space="preserve">89.1%</w:t>
            </w:r>
          </w:p>
        </w:tc>
        <w:tc>
          <w:tcPr>
            <w:tcW w:type="dxa" w:w="2340"/>
            <w:tcMar>
              <w:top w:type="dxa" w:w="80"/>
              <w:left w:type="dxa" w:w="100"/>
              <w:bottom w:type="dxa" w:w="80"/>
              <w:right w:type="dxa" w:w="100"/>
            </w:tcMar>
          </w:tcPr>
          <w:p>
            <w:pPr>
              <w:jc w:val="left"/>
            </w:pPr>
            <w:r>
              <w:rPr>
                <w:b w:val="false"/>
                <w:bCs w:val="false"/>
              </w:rPr>
              <w:t xml:space="preserve">82.5%</w:t>
            </w:r>
          </w:p>
        </w:tc>
        <w:tc>
          <w:tcPr>
            <w:tcW w:type="dxa" w:w="2340"/>
            <w:tcMar>
              <w:top w:type="dxa" w:w="80"/>
              <w:left w:type="dxa" w:w="100"/>
              <w:bottom w:type="dxa" w:w="80"/>
              <w:right w:type="dxa" w:w="100"/>
            </w:tcMar>
          </w:tcPr>
          <w:p>
            <w:pPr>
              <w:jc w:val="left"/>
            </w:pPr>
            <w:r>
              <w:rPr>
                <w:b w:val="false"/>
                <w:bCs w:val="false"/>
              </w:rPr>
              <w:t xml:space="preserve">-4.12</w:t>
            </w:r>
          </w:p>
        </w:tc>
      </w:tr>
      <w:tr>
        <w:tc>
          <w:tcPr>
            <w:tcW w:type="dxa" w:w="2600"/>
            <w:tcMar>
              <w:top w:type="dxa" w:w="80"/>
              <w:left w:type="dxa" w:w="100"/>
              <w:bottom w:type="dxa" w:w="80"/>
              <w:right w:type="dxa" w:w="100"/>
            </w:tcMar>
          </w:tcPr>
          <w:p>
            <w:pPr>
              <w:jc w:val="left"/>
            </w:pPr>
            <w:r>
              <w:rPr>
                <w:b w:val="false"/>
                <w:bCs w:val="false"/>
              </w:rPr>
              <w:t xml:space="preserve">750</w:t>
            </w:r>
          </w:p>
        </w:tc>
        <w:tc>
          <w:tcPr>
            <w:tcW w:type="dxa" w:w="1400"/>
            <w:tcMar>
              <w:top w:type="dxa" w:w="80"/>
              <w:left w:type="dxa" w:w="100"/>
              <w:bottom w:type="dxa" w:w="80"/>
              <w:right w:type="dxa" w:w="100"/>
            </w:tcMar>
          </w:tcPr>
          <w:p>
            <w:pPr>
              <w:jc w:val="left"/>
            </w:pPr>
            <w:r>
              <w:rPr>
                <w:b w:val="false"/>
                <w:bCs w:val="false"/>
              </w:rPr>
              <w:t xml:space="preserve">0.182</w:t>
            </w:r>
          </w:p>
        </w:tc>
        <w:tc>
          <w:tcPr>
            <w:tcW w:type="dxa" w:w="1400"/>
            <w:tcMar>
              <w:top w:type="dxa" w:w="80"/>
              <w:left w:type="dxa" w:w="100"/>
              <w:bottom w:type="dxa" w:w="80"/>
              <w:right w:type="dxa" w:w="100"/>
            </w:tcMar>
          </w:tcPr>
          <w:p>
            <w:pPr>
              <w:jc w:val="left"/>
            </w:pPr>
            <w:r>
              <w:rPr>
                <w:b w:val="false"/>
                <w:bCs w:val="false"/>
              </w:rPr>
              <w:t xml:space="preserve">76.6%</w:t>
            </w:r>
          </w:p>
        </w:tc>
        <w:tc>
          <w:tcPr>
            <w:tcW w:type="dxa" w:w="2340"/>
            <w:tcMar>
              <w:top w:type="dxa" w:w="80"/>
              <w:left w:type="dxa" w:w="100"/>
              <w:bottom w:type="dxa" w:w="80"/>
              <w:right w:type="dxa" w:w="100"/>
            </w:tcMar>
          </w:tcPr>
          <w:p>
            <w:pPr>
              <w:jc w:val="left"/>
            </w:pPr>
            <w:r>
              <w:rPr>
                <w:b w:val="false"/>
                <w:bCs w:val="false"/>
              </w:rPr>
              <w:t xml:space="preserve">69.4%</w:t>
            </w:r>
          </w:p>
        </w:tc>
        <w:tc>
          <w:tcPr>
            <w:tcW w:type="dxa" w:w="2340"/>
            <w:tcMar>
              <w:top w:type="dxa" w:w="80"/>
              <w:left w:type="dxa" w:w="100"/>
              <w:bottom w:type="dxa" w:w="80"/>
              <w:right w:type="dxa" w:w="100"/>
            </w:tcMar>
          </w:tcPr>
          <w:p>
            <w:pPr>
              <w:jc w:val="left"/>
            </w:pPr>
            <w:r>
              <w:rPr>
                <w:b w:val="false"/>
                <w:bCs w:val="false"/>
              </w:rPr>
              <w:t xml:space="preserve">-2.99</w:t>
            </w:r>
          </w:p>
        </w:tc>
      </w:tr>
      <w:tr>
        <w:tc>
          <w:tcPr>
            <w:tcW w:type="dxa" w:w="2600"/>
            <w:tcMar>
              <w:top w:type="dxa" w:w="80"/>
              <w:left w:type="dxa" w:w="100"/>
              <w:bottom w:type="dxa" w:w="80"/>
              <w:right w:type="dxa" w:w="100"/>
            </w:tcMar>
          </w:tcPr>
          <w:p>
            <w:pPr>
              <w:jc w:val="left"/>
            </w:pPr>
            <w:r>
              <w:rPr>
                <w:b w:val="false"/>
                <w:bCs w:val="false"/>
              </w:rPr>
              <w:t xml:space="preserve">1000</w:t>
            </w:r>
          </w:p>
        </w:tc>
        <w:tc>
          <w:tcPr>
            <w:tcW w:type="dxa" w:w="1400"/>
            <w:tcMar>
              <w:top w:type="dxa" w:w="80"/>
              <w:left w:type="dxa" w:w="100"/>
              <w:bottom w:type="dxa" w:w="80"/>
              <w:right w:type="dxa" w:w="100"/>
            </w:tcMar>
          </w:tcPr>
          <w:p>
            <w:pPr>
              <w:jc w:val="left"/>
            </w:pPr>
            <w:r>
              <w:rPr>
                <w:b w:val="false"/>
                <w:bCs w:val="false"/>
              </w:rPr>
              <w:t xml:space="preserve">0.206</w:t>
            </w:r>
          </w:p>
        </w:tc>
        <w:tc>
          <w:tcPr>
            <w:tcW w:type="dxa" w:w="1400"/>
            <w:tcMar>
              <w:top w:type="dxa" w:w="80"/>
              <w:left w:type="dxa" w:w="100"/>
              <w:bottom w:type="dxa" w:w="80"/>
              <w:right w:type="dxa" w:w="100"/>
            </w:tcMar>
          </w:tcPr>
          <w:p>
            <w:pPr>
              <w:jc w:val="left"/>
            </w:pPr>
            <w:r>
              <w:rPr>
                <w:b w:val="false"/>
                <w:bCs w:val="false"/>
              </w:rPr>
              <w:t xml:space="preserve">90.6%</w:t>
            </w:r>
          </w:p>
        </w:tc>
        <w:tc>
          <w:tcPr>
            <w:tcW w:type="dxa" w:w="2340"/>
            <w:tcMar>
              <w:top w:type="dxa" w:w="80"/>
              <w:left w:type="dxa" w:w="100"/>
              <w:bottom w:type="dxa" w:w="80"/>
              <w:right w:type="dxa" w:w="100"/>
            </w:tcMar>
          </w:tcPr>
          <w:p>
            <w:pPr>
              <w:jc w:val="left"/>
            </w:pPr>
            <w:r>
              <w:rPr>
                <w:b w:val="false"/>
                <w:bCs w:val="false"/>
              </w:rPr>
              <w:t xml:space="preserve">65.5%</w:t>
            </w:r>
          </w:p>
        </w:tc>
        <w:tc>
          <w:tcPr>
            <w:tcW w:type="dxa" w:w="2340"/>
            <w:tcMar>
              <w:top w:type="dxa" w:w="80"/>
              <w:left w:type="dxa" w:w="100"/>
              <w:bottom w:type="dxa" w:w="80"/>
              <w:right w:type="dxa" w:w="100"/>
            </w:tcMar>
          </w:tcPr>
          <w:p>
            <w:pPr>
              <w:jc w:val="left"/>
            </w:pPr>
            <w:r>
              <w:rPr>
                <w:b w:val="false"/>
                <w:bCs w:val="false"/>
              </w:rPr>
              <w:t xml:space="preserve">-3.56</w:t>
            </w:r>
          </w:p>
        </w:tc>
      </w:tr>
      <w:tr>
        <w:tc>
          <w:tcPr>
            <w:tcW w:type="dxa" w:w="2600"/>
            <w:tcMar>
              <w:top w:type="dxa" w:w="80"/>
              <w:left w:type="dxa" w:w="100"/>
              <w:bottom w:type="dxa" w:w="80"/>
              <w:right w:type="dxa" w:w="100"/>
            </w:tcMar>
          </w:tcPr>
          <w:p>
            <w:pPr>
              <w:jc w:val="left"/>
            </w:pPr>
            <w:r>
              <w:rPr>
                <w:b w:val="false"/>
                <w:bCs w:val="false"/>
              </w:rPr>
              <w:t xml:space="preserve">1500</w:t>
            </w:r>
          </w:p>
        </w:tc>
        <w:tc>
          <w:tcPr>
            <w:tcW w:type="dxa" w:w="1400"/>
            <w:tcMar>
              <w:top w:type="dxa" w:w="80"/>
              <w:left w:type="dxa" w:w="100"/>
              <w:bottom w:type="dxa" w:w="80"/>
              <w:right w:type="dxa" w:w="100"/>
            </w:tcMar>
          </w:tcPr>
          <w:p>
            <w:pPr>
              <w:jc w:val="left"/>
            </w:pPr>
            <w:r>
              <w:rPr>
                <w:b w:val="false"/>
                <w:bCs w:val="false"/>
              </w:rPr>
              <w:t xml:space="preserve">0.146</w:t>
            </w:r>
          </w:p>
        </w:tc>
        <w:tc>
          <w:tcPr>
            <w:tcW w:type="dxa" w:w="1400"/>
            <w:tcMar>
              <w:top w:type="dxa" w:w="80"/>
              <w:left w:type="dxa" w:w="100"/>
              <w:bottom w:type="dxa" w:w="80"/>
              <w:right w:type="dxa" w:w="100"/>
            </w:tcMar>
          </w:tcPr>
          <w:p>
            <w:pPr>
              <w:jc w:val="left"/>
            </w:pPr>
            <w:r>
              <w:rPr>
                <w:b w:val="false"/>
                <w:bCs w:val="false"/>
              </w:rPr>
              <w:t xml:space="preserve">98.4%</w:t>
            </w:r>
          </w:p>
        </w:tc>
        <w:tc>
          <w:tcPr>
            <w:tcW w:type="dxa" w:w="2340"/>
            <w:tcMar>
              <w:top w:type="dxa" w:w="80"/>
              <w:left w:type="dxa" w:w="100"/>
              <w:bottom w:type="dxa" w:w="80"/>
              <w:right w:type="dxa" w:w="100"/>
            </w:tcMar>
          </w:tcPr>
          <w:p>
            <w:pPr>
              <w:jc w:val="left"/>
            </w:pPr>
            <w:r>
              <w:rPr>
                <w:b w:val="false"/>
                <w:bCs w:val="false"/>
              </w:rPr>
              <w:t xml:space="preserve">63.5%</w:t>
            </w:r>
          </w:p>
        </w:tc>
        <w:tc>
          <w:tcPr>
            <w:tcW w:type="dxa" w:w="2340"/>
            <w:tcMar>
              <w:top w:type="dxa" w:w="80"/>
              <w:left w:type="dxa" w:w="100"/>
              <w:bottom w:type="dxa" w:w="80"/>
              <w:right w:type="dxa" w:w="100"/>
            </w:tcMar>
          </w:tcPr>
          <w:p>
            <w:pPr>
              <w:jc w:val="left"/>
            </w:pPr>
            <w:r>
              <w:rPr>
                <w:b w:val="false"/>
                <w:bCs w:val="false"/>
              </w:rPr>
              <w:t xml:space="preserve">-3.45</w:t>
            </w:r>
          </w:p>
        </w:tc>
      </w:tr>
      <w:tr>
        <w:tc>
          <w:tcPr>
            <w:tcW w:type="dxa" w:w="2600"/>
            <w:tcMar>
              <w:top w:type="dxa" w:w="80"/>
              <w:left w:type="dxa" w:w="100"/>
              <w:bottom w:type="dxa" w:w="80"/>
              <w:right w:type="dxa" w:w="100"/>
            </w:tcMar>
          </w:tcPr>
          <w:p>
            <w:pPr>
              <w:jc w:val="left"/>
            </w:pPr>
            <w:r>
              <w:rPr>
                <w:b w:val="false"/>
                <w:bCs w:val="false"/>
              </w:rPr>
              <w:t xml:space="preserve">1750</w:t>
            </w:r>
          </w:p>
        </w:tc>
        <w:tc>
          <w:tcPr>
            <w:tcW w:type="dxa" w:w="1400"/>
            <w:tcMar>
              <w:top w:type="dxa" w:w="80"/>
              <w:left w:type="dxa" w:w="100"/>
              <w:bottom w:type="dxa" w:w="80"/>
              <w:right w:type="dxa" w:w="100"/>
            </w:tcMar>
          </w:tcPr>
          <w:p>
            <w:pPr>
              <w:jc w:val="left"/>
            </w:pPr>
            <w:r>
              <w:rPr>
                <w:b w:val="false"/>
                <w:bCs w:val="false"/>
              </w:rPr>
              <w:t xml:space="preserve">0.158</w:t>
            </w:r>
          </w:p>
        </w:tc>
        <w:tc>
          <w:tcPr>
            <w:tcW w:type="dxa" w:w="1400"/>
            <w:tcMar>
              <w:top w:type="dxa" w:w="80"/>
              <w:left w:type="dxa" w:w="100"/>
              <w:bottom w:type="dxa" w:w="80"/>
              <w:right w:type="dxa" w:w="100"/>
            </w:tcMar>
          </w:tcPr>
          <w:p>
            <w:pPr>
              <w:jc w:val="left"/>
            </w:pPr>
            <w:r>
              <w:rPr>
                <w:b w:val="false"/>
                <w:bCs w:val="false"/>
              </w:rPr>
              <w:t xml:space="preserve">95.3%</w:t>
            </w:r>
          </w:p>
        </w:tc>
        <w:tc>
          <w:tcPr>
            <w:tcW w:type="dxa" w:w="2340"/>
            <w:tcMar>
              <w:top w:type="dxa" w:w="80"/>
              <w:left w:type="dxa" w:w="100"/>
              <w:bottom w:type="dxa" w:w="80"/>
              <w:right w:type="dxa" w:w="100"/>
            </w:tcMar>
          </w:tcPr>
          <w:p>
            <w:pPr>
              <w:jc w:val="left"/>
            </w:pPr>
            <w:r>
              <w:rPr>
                <w:b w:val="false"/>
                <w:bCs w:val="false"/>
              </w:rPr>
              <w:t xml:space="preserve">67.2%</w:t>
            </w:r>
          </w:p>
        </w:tc>
        <w:tc>
          <w:tcPr>
            <w:tcW w:type="dxa" w:w="2340"/>
            <w:tcMar>
              <w:top w:type="dxa" w:w="80"/>
              <w:left w:type="dxa" w:w="100"/>
              <w:bottom w:type="dxa" w:w="80"/>
              <w:right w:type="dxa" w:w="100"/>
            </w:tcMar>
          </w:tcPr>
          <w:p>
            <w:pPr>
              <w:jc w:val="left"/>
            </w:pPr>
            <w:r>
              <w:rPr>
                <w:b w:val="false"/>
                <w:bCs w:val="false"/>
              </w:rPr>
              <w:t xml:space="preserve">-3.53</w:t>
            </w:r>
          </w:p>
        </w:tc>
      </w:tr>
      <w:tr>
        <w:tc>
          <w:tcPr>
            <w:tcW w:type="dxa" w:w="2600"/>
            <w:tcMar>
              <w:top w:type="dxa" w:w="80"/>
              <w:left w:type="dxa" w:w="100"/>
              <w:bottom w:type="dxa" w:w="80"/>
              <w:right w:type="dxa" w:w="100"/>
            </w:tcMar>
          </w:tcPr>
          <w:p>
            <w:pPr>
              <w:jc w:val="left"/>
            </w:pPr>
            <w:r>
              <w:rPr>
                <w:b w:val="false"/>
                <w:bCs w:val="false"/>
              </w:rPr>
              <w:t xml:space="preserve">2000 (tail avg, last 25)</w:t>
            </w:r>
          </w:p>
        </w:tc>
        <w:tc>
          <w:tcPr>
            <w:tcW w:type="dxa" w:w="1400"/>
            <w:tcMar>
              <w:top w:type="dxa" w:w="80"/>
              <w:left w:type="dxa" w:w="100"/>
              <w:bottom w:type="dxa" w:w="80"/>
              <w:right w:type="dxa" w:w="100"/>
            </w:tcMar>
          </w:tcPr>
          <w:p>
            <w:pPr>
              <w:jc w:val="left"/>
            </w:pPr>
            <w:r>
              <w:rPr>
                <w:b w:val="false"/>
                <w:bCs w:val="false"/>
              </w:rPr>
              <w:t xml:space="preserve">0.134</w:t>
            </w:r>
          </w:p>
        </w:tc>
        <w:tc>
          <w:tcPr>
            <w:tcW w:type="dxa" w:w="1400"/>
            <w:tcMar>
              <w:top w:type="dxa" w:w="80"/>
              <w:left w:type="dxa" w:w="100"/>
              <w:bottom w:type="dxa" w:w="80"/>
              <w:right w:type="dxa" w:w="100"/>
            </w:tcMar>
          </w:tcPr>
          <w:p>
            <w:pPr>
              <w:jc w:val="left"/>
            </w:pPr>
            <w:r>
              <w:rPr>
                <w:b w:val="false"/>
                <w:bCs w:val="false"/>
              </w:rPr>
              <w:t xml:space="preserve">95.9%</w:t>
            </w:r>
          </w:p>
        </w:tc>
        <w:tc>
          <w:tcPr>
            <w:tcW w:type="dxa" w:w="2340"/>
            <w:tcMar>
              <w:top w:type="dxa" w:w="80"/>
              <w:left w:type="dxa" w:w="100"/>
              <w:bottom w:type="dxa" w:w="80"/>
              <w:right w:type="dxa" w:w="100"/>
            </w:tcMar>
          </w:tcPr>
          <w:p>
            <w:pPr>
              <w:jc w:val="left"/>
            </w:pPr>
            <w:r>
              <w:rPr>
                <w:b w:val="false"/>
                <w:bCs w:val="false"/>
              </w:rPr>
              <w:t xml:space="preserve">55.3%</w:t>
            </w:r>
          </w:p>
        </w:tc>
        <w:tc>
          <w:tcPr>
            <w:tcW w:type="dxa" w:w="2340"/>
            <w:tcMar>
              <w:top w:type="dxa" w:w="80"/>
              <w:left w:type="dxa" w:w="100"/>
              <w:bottom w:type="dxa" w:w="80"/>
              <w:right w:type="dxa" w:w="100"/>
            </w:tcMar>
          </w:tcPr>
          <w:p>
            <w:pPr>
              <w:jc w:val="left"/>
            </w:pPr>
            <w:r>
              <w:rPr>
                <w:b w:val="false"/>
                <w:bCs w:val="false"/>
              </w:rPr>
              <w:t xml:space="preserve">-3.44</w:t>
            </w:r>
          </w:p>
        </w:tc>
      </w:tr>
    </w:tbl>
    <w:p>
      <w:pPr>
        <w:spacing w:after="160"/>
      </w:pPr>
      <w:r>
        <w:rPr>
          <w:b/>
          <w:bCs/>
        </w:rPr>
        <w:t xml:space="preserve">Entropy stayed just as low as v1/v2/v3 (tail avg 0.134) — but batch_uniqueness stayed high (tail avg 55.3%) throughout training, instead of collapsing to single digits. </w:t>
      </w:r>
      <w:r>
        <w:t xml:space="preserve">This is the clearest evidence yet that per-step entropy and batch-level output diversity are different axes (Section 5.6 explains the mechanism): the repetition penalty fixed diversity directly, without needing the decoder to become less confident at each token.</w:t>
      </w:r>
    </w:p>
    <w:p>
      <w:pPr>
        <w:spacing w:after="160"/>
      </w:pPr>
      <w:r>
        <w:rPr>
          <w:i/>
          <w:iCs/>
          <w:color w:val="666666"/>
        </w:rPr>
        <w:t xml:space="preserve">Note: batch_uniqueness here is computed on 64-sample training batches, versus 500-sample eval batches for the Section 5.2/5.5 numbers — smaller samples mechanically read higher on a uniqueness ratio (fewer draws, fewer chances to collide), so the training-log 55.3% and eval-level ~29% are not directly comparable figures, both are genuine and consistent with the same underlying improvement, just measured at different sample sizes.</w:t>
      </w:r>
    </w:p>
    <w:p>
      <w:pPr>
        <w:pStyle w:val="Heading2"/>
        <w:spacing w:after="120" w:before="240"/>
      </w:pPr>
      <w:r>
        <w:t xml:space="preserve">5.5 v4 broader independent evaluation (500 samples/cell line, 15 cell lines, both sampling modes)</w:t>
      </w:r>
    </w:p>
    <w:p>
      <w:pPr>
        <w:spacing w:after="160"/>
      </w:pPr>
      <w:r>
        <w:t xml:space="preserve">Per the user's request, this eval covers 5x more cell lines than the v1/v2/v3 comparisons (15 of 51, vs 3) for a more representative picture, not just the same 3 cell lines used throughout this report.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340"/>
        <w:gridCol w:w="3340"/>
      </w:tblGrid>
      <w:tr>
        <w:trPr>
          <w:tblHeader/>
        </w:trPr>
        <w:tc>
          <w:tcPr>
            <w:tcW w:type="dxa" w:w="1500"/>
            <w:shd w:fill="D9E2F3" w:val="clear"/>
            <w:tcMar>
              <w:top w:type="dxa" w:w="80"/>
              <w:left w:type="dxa" w:w="100"/>
              <w:bottom w:type="dxa" w:w="80"/>
              <w:right w:type="dxa" w:w="100"/>
            </w:tcMar>
          </w:tcPr>
          <w:p>
            <w:pPr>
              <w:jc w:val="left"/>
            </w:pPr>
            <w:r>
              <w:rPr>
                <w:b/>
                <w:bCs/>
              </w:rPr>
              <w:t xml:space="preserve">Mode</w:t>
            </w:r>
          </w:p>
        </w:tc>
        <w:tc>
          <w:tcPr>
            <w:tcW w:type="dxa" w:w="1900"/>
            <w:shd w:fill="D9E2F3" w:val="clear"/>
            <w:tcMar>
              <w:top w:type="dxa" w:w="80"/>
              <w:left w:type="dxa" w:w="100"/>
              <w:bottom w:type="dxa" w:w="80"/>
              <w:right w:type="dxa" w:w="100"/>
            </w:tcMar>
          </w:tcPr>
          <w:p>
            <w:pPr>
              <w:jc w:val="left"/>
            </w:pPr>
            <w:r>
              <w:rPr>
                <w:b/>
                <w:bCs/>
              </w:rPr>
              <w:t xml:space="preserve">Metric</w:t>
            </w:r>
          </w:p>
        </w:tc>
        <w:tc>
          <w:tcPr>
            <w:tcW w:type="dxa" w:w="3340"/>
            <w:shd w:fill="D9E2F3" w:val="clear"/>
            <w:tcMar>
              <w:top w:type="dxa" w:w="80"/>
              <w:left w:type="dxa" w:w="100"/>
              <w:bottom w:type="dxa" w:w="80"/>
              <w:right w:type="dxa" w:w="100"/>
            </w:tcMar>
          </w:tcPr>
          <w:p>
            <w:pPr>
              <w:jc w:val="left"/>
            </w:pPr>
            <w:r>
              <w:rPr>
                <w:b/>
                <w:bCs/>
              </w:rPr>
              <w:t xml:space="preserve">Range (15 cell lines)</w:t>
            </w:r>
          </w:p>
        </w:tc>
        <w:tc>
          <w:tcPr>
            <w:tcW w:type="dxa" w:w="3340"/>
            <w:shd w:fill="D9E2F3" w:val="clear"/>
            <w:tcMar>
              <w:top w:type="dxa" w:w="80"/>
              <w:left w:type="dxa" w:w="100"/>
              <w:bottom w:type="dxa" w:w="80"/>
              <w:right w:type="dxa" w:w="100"/>
            </w:tcMar>
          </w:tcPr>
          <w:p>
            <w:pPr>
              <w:jc w:val="left"/>
            </w:pPr>
            <w:r>
              <w:rPr>
                <w:b/>
                <w:bCs/>
              </w:rPr>
              <w:t xml:space="preserve">Mean</w:t>
            </w:r>
          </w:p>
        </w:tc>
      </w:tr>
      <w:tr>
        <w:tc>
          <w:tcPr>
            <w:tcW w:type="dxa" w:w="1500"/>
            <w:tcMar>
              <w:top w:type="dxa" w:w="80"/>
              <w:left w:type="dxa" w:w="100"/>
              <w:bottom w:type="dxa" w:w="80"/>
              <w:right w:type="dxa" w:w="100"/>
            </w:tcMar>
          </w:tcPr>
          <w:p>
            <w:pPr>
              <w:jc w:val="left"/>
            </w:pPr>
            <w:r>
              <w:rPr>
                <w:b w:val="false"/>
                <w:bCs w:val="false"/>
              </w:rPr>
              <w:t xml:space="preserve">prior</w:t>
            </w:r>
          </w:p>
        </w:tc>
        <w:tc>
          <w:tcPr>
            <w:tcW w:type="dxa" w:w="1900"/>
            <w:tcMar>
              <w:top w:type="dxa" w:w="80"/>
              <w:left w:type="dxa" w:w="100"/>
              <w:bottom w:type="dxa" w:w="80"/>
              <w:right w:type="dxa" w:w="100"/>
            </w:tcMar>
          </w:tcPr>
          <w:p>
            <w:pPr>
              <w:jc w:val="left"/>
            </w:pPr>
            <w:r>
              <w:rPr>
                <w:b w:val="false"/>
                <w:bCs w:val="false"/>
              </w:rPr>
              <w:t xml:space="preserve">Reward-model score</w:t>
            </w:r>
          </w:p>
        </w:tc>
        <w:tc>
          <w:tcPr>
            <w:tcW w:type="dxa" w:w="3340"/>
            <w:tcMar>
              <w:top w:type="dxa" w:w="80"/>
              <w:left w:type="dxa" w:w="100"/>
              <w:bottom w:type="dxa" w:w="80"/>
              <w:right w:type="dxa" w:w="100"/>
            </w:tcMar>
          </w:tcPr>
          <w:p>
            <w:pPr>
              <w:jc w:val="left"/>
            </w:pPr>
            <w:r>
              <w:rPr>
                <w:b w:val="false"/>
                <w:bCs w:val="false"/>
              </w:rPr>
              <w:t xml:space="preserve">-3.50 ~ -3.81</w:t>
            </w:r>
          </w:p>
        </w:tc>
        <w:tc>
          <w:tcPr>
            <w:tcW w:type="dxa" w:w="3340"/>
            <w:tcMar>
              <w:top w:type="dxa" w:w="80"/>
              <w:left w:type="dxa" w:w="100"/>
              <w:bottom w:type="dxa" w:w="80"/>
              <w:right w:type="dxa" w:w="100"/>
            </w:tcMar>
          </w:tcPr>
          <w:p>
            <w:pPr>
              <w:jc w:val="left"/>
            </w:pPr>
            <w:r>
              <w:rPr>
                <w:b w:val="false"/>
                <w:bCs w:val="false"/>
              </w:rPr>
              <w:t xml:space="preserve">≈ -3.71</w:t>
            </w:r>
          </w:p>
        </w:tc>
      </w:tr>
      <w:tr>
        <w:tc>
          <w:tcPr>
            <w:tcW w:type="dxa" w:w="1500"/>
            <w:tcMar>
              <w:top w:type="dxa" w:w="80"/>
              <w:left w:type="dxa" w:w="100"/>
              <w:bottom w:type="dxa" w:w="80"/>
              <w:right w:type="dxa" w:w="100"/>
            </w:tcMar>
          </w:tcPr>
          <w:p>
            <w:pPr>
              <w:jc w:val="left"/>
            </w:pPr>
            <w:r>
              <w:rPr>
                <w:b w:val="false"/>
                <w:bCs w:val="false"/>
              </w:rPr>
              <w:t xml:space="preserve"/>
            </w:r>
          </w:p>
        </w:tc>
        <w:tc>
          <w:tcPr>
            <w:tcW w:type="dxa" w:w="1900"/>
            <w:tcMar>
              <w:top w:type="dxa" w:w="80"/>
              <w:left w:type="dxa" w:w="100"/>
              <w:bottom w:type="dxa" w:w="80"/>
              <w:right w:type="dxa" w:w="100"/>
            </w:tcMar>
          </w:tcPr>
          <w:p>
            <w:pPr>
              <w:jc w:val="left"/>
            </w:pPr>
            <w:r>
              <w:rPr>
                <w:b w:val="false"/>
                <w:bCs w:val="false"/>
              </w:rPr>
              <w:t xml:space="preserve">Validity</w:t>
            </w:r>
          </w:p>
        </w:tc>
        <w:tc>
          <w:tcPr>
            <w:tcW w:type="dxa" w:w="3340"/>
            <w:tcMar>
              <w:top w:type="dxa" w:w="80"/>
              <w:left w:type="dxa" w:w="100"/>
              <w:bottom w:type="dxa" w:w="80"/>
              <w:right w:type="dxa" w:w="100"/>
            </w:tcMar>
          </w:tcPr>
          <w:p>
            <w:pPr>
              <w:jc w:val="left"/>
            </w:pPr>
            <w:r>
              <w:rPr>
                <w:b w:val="false"/>
                <w:bCs w:val="false"/>
              </w:rPr>
              <w:t xml:space="preserve">61.6 – 69.4%</w:t>
            </w:r>
          </w:p>
        </w:tc>
        <w:tc>
          <w:tcPr>
            <w:tcW w:type="dxa" w:w="3340"/>
            <w:tcMar>
              <w:top w:type="dxa" w:w="80"/>
              <w:left w:type="dxa" w:w="100"/>
              <w:bottom w:type="dxa" w:w="80"/>
              <w:right w:type="dxa" w:w="100"/>
            </w:tcMar>
          </w:tcPr>
          <w:p>
            <w:pPr>
              <w:jc w:val="left"/>
            </w:pPr>
            <w:r>
              <w:rPr>
                <w:b w:val="false"/>
                <w:bCs w:val="false"/>
              </w:rPr>
              <w:t xml:space="preserve">≈ 65.7%</w:t>
            </w:r>
          </w:p>
        </w:tc>
      </w:tr>
      <w:tr>
        <w:tc>
          <w:tcPr>
            <w:tcW w:type="dxa" w:w="1500"/>
            <w:tcMar>
              <w:top w:type="dxa" w:w="80"/>
              <w:left w:type="dxa" w:w="100"/>
              <w:bottom w:type="dxa" w:w="80"/>
              <w:right w:type="dxa" w:w="100"/>
            </w:tcMar>
          </w:tcPr>
          <w:p>
            <w:pPr>
              <w:jc w:val="left"/>
            </w:pPr>
            <w:r>
              <w:rPr>
                <w:b w:val="false"/>
                <w:bCs w:val="false"/>
              </w:rPr>
              <w:t xml:space="preserve"/>
            </w:r>
          </w:p>
        </w:tc>
        <w:tc>
          <w:tcPr>
            <w:tcW w:type="dxa" w:w="1900"/>
            <w:tcMar>
              <w:top w:type="dxa" w:w="80"/>
              <w:left w:type="dxa" w:w="100"/>
              <w:bottom w:type="dxa" w:w="80"/>
              <w:right w:type="dxa" w:w="100"/>
            </w:tcMar>
          </w:tcPr>
          <w:p>
            <w:pPr>
              <w:jc w:val="left"/>
            </w:pPr>
            <w:r>
              <w:rPr>
                <w:b w:val="false"/>
                <w:bCs w:val="false"/>
              </w:rPr>
              <w:t xml:space="preserve">Uniqueness</w:t>
            </w:r>
          </w:p>
        </w:tc>
        <w:tc>
          <w:tcPr>
            <w:tcW w:type="dxa" w:w="3340"/>
            <w:tcMar>
              <w:top w:type="dxa" w:w="80"/>
              <w:left w:type="dxa" w:w="100"/>
              <w:bottom w:type="dxa" w:w="80"/>
              <w:right w:type="dxa" w:w="100"/>
            </w:tcMar>
          </w:tcPr>
          <w:p>
            <w:pPr>
              <w:jc w:val="left"/>
            </w:pPr>
            <w:r>
              <w:rPr>
                <w:b w:val="false"/>
                <w:bCs w:val="false"/>
              </w:rPr>
              <w:t xml:space="preserve">47.7 – 56.9%</w:t>
            </w:r>
          </w:p>
        </w:tc>
        <w:tc>
          <w:tcPr>
            <w:tcW w:type="dxa" w:w="3340"/>
            <w:tcMar>
              <w:top w:type="dxa" w:w="80"/>
              <w:left w:type="dxa" w:w="100"/>
              <w:bottom w:type="dxa" w:w="80"/>
              <w:right w:type="dxa" w:w="100"/>
            </w:tcMar>
          </w:tcPr>
          <w:p>
            <w:pPr>
              <w:jc w:val="left"/>
            </w:pPr>
            <w:r>
              <w:rPr>
                <w:b w:val="false"/>
                <w:bCs w:val="false"/>
              </w:rPr>
              <w:t xml:space="preserve">≈ 51.9%</w:t>
            </w:r>
          </w:p>
        </w:tc>
      </w:tr>
      <w:tr>
        <w:tc>
          <w:tcPr>
            <w:tcW w:type="dxa" w:w="1500"/>
            <w:tcMar>
              <w:top w:type="dxa" w:w="80"/>
              <w:left w:type="dxa" w:w="100"/>
              <w:bottom w:type="dxa" w:w="80"/>
              <w:right w:type="dxa" w:w="100"/>
            </w:tcMar>
          </w:tcPr>
          <w:p>
            <w:pPr>
              <w:jc w:val="left"/>
            </w:pPr>
            <w:r>
              <w:rPr>
                <w:b w:val="false"/>
                <w:bCs w:val="false"/>
              </w:rPr>
              <w:t xml:space="preserve">posterior</w:t>
            </w:r>
          </w:p>
        </w:tc>
        <w:tc>
          <w:tcPr>
            <w:tcW w:type="dxa" w:w="1900"/>
            <w:tcMar>
              <w:top w:type="dxa" w:w="80"/>
              <w:left w:type="dxa" w:w="100"/>
              <w:bottom w:type="dxa" w:w="80"/>
              <w:right w:type="dxa" w:w="100"/>
            </w:tcMar>
          </w:tcPr>
          <w:p>
            <w:pPr>
              <w:jc w:val="left"/>
            </w:pPr>
            <w:r>
              <w:rPr>
                <w:b w:val="false"/>
                <w:bCs w:val="false"/>
              </w:rPr>
              <w:t xml:space="preserve">Reward-model score</w:t>
            </w:r>
          </w:p>
        </w:tc>
        <w:tc>
          <w:tcPr>
            <w:tcW w:type="dxa" w:w="3340"/>
            <w:tcMar>
              <w:top w:type="dxa" w:w="80"/>
              <w:left w:type="dxa" w:w="100"/>
              <w:bottom w:type="dxa" w:w="80"/>
              <w:right w:type="dxa" w:w="100"/>
            </w:tcMar>
          </w:tcPr>
          <w:p>
            <w:pPr>
              <w:jc w:val="left"/>
            </w:pPr>
            <w:r>
              <w:rPr>
                <w:b w:val="false"/>
                <w:bCs w:val="false"/>
              </w:rPr>
              <w:t xml:space="preserve">-3.30 ~ -3.61</w:t>
            </w:r>
          </w:p>
        </w:tc>
        <w:tc>
          <w:tcPr>
            <w:tcW w:type="dxa" w:w="3340"/>
            <w:tcMar>
              <w:top w:type="dxa" w:w="80"/>
              <w:left w:type="dxa" w:w="100"/>
              <w:bottom w:type="dxa" w:w="80"/>
              <w:right w:type="dxa" w:w="100"/>
            </w:tcMar>
          </w:tcPr>
          <w:p>
            <w:pPr>
              <w:jc w:val="left"/>
            </w:pPr>
            <w:r>
              <w:rPr>
                <w:b w:val="false"/>
                <w:bCs w:val="false"/>
              </w:rPr>
              <w:t xml:space="preserve">≈ -3.45</w:t>
            </w:r>
          </w:p>
        </w:tc>
      </w:tr>
      <w:tr>
        <w:tc>
          <w:tcPr>
            <w:tcW w:type="dxa" w:w="1500"/>
            <w:tcMar>
              <w:top w:type="dxa" w:w="80"/>
              <w:left w:type="dxa" w:w="100"/>
              <w:bottom w:type="dxa" w:w="80"/>
              <w:right w:type="dxa" w:w="100"/>
            </w:tcMar>
          </w:tcPr>
          <w:p>
            <w:pPr>
              <w:jc w:val="left"/>
            </w:pPr>
            <w:r>
              <w:rPr>
                <w:b w:val="false"/>
                <w:bCs w:val="false"/>
              </w:rPr>
              <w:t xml:space="preserve"/>
            </w:r>
          </w:p>
        </w:tc>
        <w:tc>
          <w:tcPr>
            <w:tcW w:type="dxa" w:w="1900"/>
            <w:tcMar>
              <w:top w:type="dxa" w:w="80"/>
              <w:left w:type="dxa" w:w="100"/>
              <w:bottom w:type="dxa" w:w="80"/>
              <w:right w:type="dxa" w:w="100"/>
            </w:tcMar>
          </w:tcPr>
          <w:p>
            <w:pPr>
              <w:jc w:val="left"/>
            </w:pPr>
            <w:r>
              <w:rPr>
                <w:b w:val="false"/>
                <w:bCs w:val="false"/>
              </w:rPr>
              <w:t xml:space="preserve">Validity</w:t>
            </w:r>
          </w:p>
        </w:tc>
        <w:tc>
          <w:tcPr>
            <w:tcW w:type="dxa" w:w="3340"/>
            <w:tcMar>
              <w:top w:type="dxa" w:w="80"/>
              <w:left w:type="dxa" w:w="100"/>
              <w:bottom w:type="dxa" w:w="80"/>
              <w:right w:type="dxa" w:w="100"/>
            </w:tcMar>
          </w:tcPr>
          <w:p>
            <w:pPr>
              <w:jc w:val="left"/>
            </w:pPr>
            <w:r>
              <w:rPr>
                <w:b w:val="false"/>
                <w:bCs w:val="false"/>
              </w:rPr>
              <w:t xml:space="preserve">93.8 – 98.2%</w:t>
            </w:r>
          </w:p>
        </w:tc>
        <w:tc>
          <w:tcPr>
            <w:tcW w:type="dxa" w:w="3340"/>
            <w:tcMar>
              <w:top w:type="dxa" w:w="80"/>
              <w:left w:type="dxa" w:w="100"/>
              <w:bottom w:type="dxa" w:w="80"/>
              <w:right w:type="dxa" w:w="100"/>
            </w:tcMar>
          </w:tcPr>
          <w:p>
            <w:pPr>
              <w:jc w:val="left"/>
            </w:pPr>
            <w:r>
              <w:rPr>
                <w:b w:val="false"/>
                <w:bCs w:val="false"/>
              </w:rPr>
              <w:t xml:space="preserve">≈ 96.1%</w:t>
            </w:r>
          </w:p>
        </w:tc>
      </w:tr>
      <w:tr>
        <w:tc>
          <w:tcPr>
            <w:tcW w:type="dxa" w:w="1500"/>
            <w:tcMar>
              <w:top w:type="dxa" w:w="80"/>
              <w:left w:type="dxa" w:w="100"/>
              <w:bottom w:type="dxa" w:w="80"/>
              <w:right w:type="dxa" w:w="100"/>
            </w:tcMar>
          </w:tcPr>
          <w:p>
            <w:pPr>
              <w:jc w:val="left"/>
            </w:pPr>
            <w:r>
              <w:rPr>
                <w:b w:val="false"/>
                <w:bCs w:val="false"/>
              </w:rPr>
              <w:t xml:space="preserve"/>
            </w:r>
          </w:p>
        </w:tc>
        <w:tc>
          <w:tcPr>
            <w:tcW w:type="dxa" w:w="1900"/>
            <w:tcMar>
              <w:top w:type="dxa" w:w="80"/>
              <w:left w:type="dxa" w:w="100"/>
              <w:bottom w:type="dxa" w:w="80"/>
              <w:right w:type="dxa" w:w="100"/>
            </w:tcMar>
          </w:tcPr>
          <w:p>
            <w:pPr>
              <w:jc w:val="left"/>
            </w:pPr>
            <w:r>
              <w:rPr>
                <w:b w:val="false"/>
                <w:bCs w:val="false"/>
              </w:rPr>
              <w:t xml:space="preserve">Uniqueness</w:t>
            </w:r>
          </w:p>
        </w:tc>
        <w:tc>
          <w:tcPr>
            <w:tcW w:type="dxa" w:w="3340"/>
            <w:tcMar>
              <w:top w:type="dxa" w:w="80"/>
              <w:left w:type="dxa" w:w="100"/>
              <w:bottom w:type="dxa" w:w="80"/>
              <w:right w:type="dxa" w:w="100"/>
            </w:tcMar>
          </w:tcPr>
          <w:p>
            <w:pPr>
              <w:jc w:val="left"/>
            </w:pPr>
            <w:r>
              <w:rPr>
                <w:b w:val="false"/>
                <w:bCs w:val="false"/>
              </w:rPr>
              <w:t xml:space="preserve">24.6 – 31.8%</w:t>
            </w:r>
          </w:p>
        </w:tc>
        <w:tc>
          <w:tcPr>
            <w:tcW w:type="dxa" w:w="3340"/>
            <w:tcMar>
              <w:top w:type="dxa" w:w="80"/>
              <w:left w:type="dxa" w:w="100"/>
              <w:bottom w:type="dxa" w:w="80"/>
              <w:right w:type="dxa" w:w="100"/>
            </w:tcMar>
          </w:tcPr>
          <w:p>
            <w:pPr>
              <w:jc w:val="left"/>
            </w:pPr>
            <w:r>
              <w:rPr>
                <w:b w:val="false"/>
                <w:bCs w:val="false"/>
              </w:rPr>
              <w:t xml:space="preserve">≈ 28.9%</w:t>
            </w:r>
          </w:p>
        </w:tc>
      </w:tr>
      <w:tr>
        <w:tc>
          <w:tcPr>
            <w:tcW w:type="dxa" w:w="1500"/>
            <w:tcMar>
              <w:top w:type="dxa" w:w="80"/>
              <w:left w:type="dxa" w:w="100"/>
              <w:bottom w:type="dxa" w:w="80"/>
              <w:right w:type="dxa" w:w="100"/>
            </w:tcMar>
          </w:tcPr>
          <w:p>
            <w:pPr>
              <w:jc w:val="left"/>
            </w:pPr>
            <w:r>
              <w:rPr>
                <w:b w:val="false"/>
                <w:bCs w:val="false"/>
              </w:rPr>
              <w:t xml:space="preserve">both</w:t>
            </w:r>
          </w:p>
        </w:tc>
        <w:tc>
          <w:tcPr>
            <w:tcW w:type="dxa" w:w="1900"/>
            <w:tcMar>
              <w:top w:type="dxa" w:w="80"/>
              <w:left w:type="dxa" w:w="100"/>
              <w:bottom w:type="dxa" w:w="80"/>
              <w:right w:type="dxa" w:w="100"/>
            </w:tcMar>
          </w:tcPr>
          <w:p>
            <w:pPr>
              <w:jc w:val="left"/>
            </w:pPr>
            <w:r>
              <w:rPr>
                <w:b w:val="false"/>
                <w:bCs w:val="false"/>
              </w:rPr>
              <w:t xml:space="preserve">Novelty rate</w:t>
            </w:r>
          </w:p>
        </w:tc>
        <w:tc>
          <w:tcPr>
            <w:tcW w:type="dxa" w:w="3340"/>
            <w:tcMar>
              <w:top w:type="dxa" w:w="80"/>
              <w:left w:type="dxa" w:w="100"/>
              <w:bottom w:type="dxa" w:w="80"/>
              <w:right w:type="dxa" w:w="100"/>
            </w:tcMar>
          </w:tcPr>
          <w:p>
            <w:pPr>
              <w:jc w:val="left"/>
            </w:pPr>
            <w:r>
              <w:rPr>
                <w:b w:val="false"/>
                <w:bCs w:val="false"/>
              </w:rPr>
              <w:t xml:space="preserve">99.4 – 100%</w:t>
            </w:r>
          </w:p>
        </w:tc>
        <w:tc>
          <w:tcPr>
            <w:tcW w:type="dxa" w:w="3340"/>
            <w:tcMar>
              <w:top w:type="dxa" w:w="80"/>
              <w:left w:type="dxa" w:w="100"/>
              <w:bottom w:type="dxa" w:w="80"/>
              <w:right w:type="dxa" w:w="100"/>
            </w:tcMar>
          </w:tcPr>
          <w:p>
            <w:pPr>
              <w:jc w:val="left"/>
            </w:pPr>
            <w:r>
              <w:rPr>
                <w:b w:val="false"/>
                <w:bCs w:val="false"/>
              </w:rPr>
              <w:t xml:space="preserve">≈ 100%</w:t>
            </w:r>
          </w:p>
        </w:tc>
      </w:tr>
      <w:tr>
        <w:tc>
          <w:tcPr>
            <w:tcW w:type="dxa" w:w="1500"/>
            <w:tcMar>
              <w:top w:type="dxa" w:w="80"/>
              <w:left w:type="dxa" w:w="100"/>
              <w:bottom w:type="dxa" w:w="80"/>
              <w:right w:type="dxa" w:w="100"/>
            </w:tcMar>
          </w:tcPr>
          <w:p>
            <w:pPr>
              <w:jc w:val="left"/>
            </w:pPr>
            <w:r>
              <w:rPr>
                <w:b w:val="false"/>
                <w:bCs w:val="false"/>
              </w:rPr>
              <w:t xml:space="preserve">both</w:t>
            </w:r>
          </w:p>
        </w:tc>
        <w:tc>
          <w:tcPr>
            <w:tcW w:type="dxa" w:w="1900"/>
            <w:tcMar>
              <w:top w:type="dxa" w:w="80"/>
              <w:left w:type="dxa" w:w="100"/>
              <w:bottom w:type="dxa" w:w="80"/>
              <w:right w:type="dxa" w:w="100"/>
            </w:tcMar>
          </w:tcPr>
          <w:p>
            <w:pPr>
              <w:jc w:val="left"/>
            </w:pPr>
            <w:r>
              <w:rPr>
                <w:b w:val="false"/>
                <w:bCs w:val="false"/>
              </w:rPr>
              <w:t xml:space="preserve">Lipinski pass rate</w:t>
            </w:r>
          </w:p>
        </w:tc>
        <w:tc>
          <w:tcPr>
            <w:tcW w:type="dxa" w:w="3340"/>
            <w:tcMar>
              <w:top w:type="dxa" w:w="80"/>
              <w:left w:type="dxa" w:w="100"/>
              <w:bottom w:type="dxa" w:w="80"/>
              <w:right w:type="dxa" w:w="100"/>
            </w:tcMar>
          </w:tcPr>
          <w:p>
            <w:pPr>
              <w:jc w:val="left"/>
            </w:pPr>
            <w:r>
              <w:rPr>
                <w:b w:val="false"/>
                <w:bCs w:val="false"/>
              </w:rPr>
              <w:t xml:space="preserve">97.8 – 100%</w:t>
            </w:r>
          </w:p>
        </w:tc>
        <w:tc>
          <w:tcPr>
            <w:tcW w:type="dxa" w:w="3340"/>
            <w:tcMar>
              <w:top w:type="dxa" w:w="80"/>
              <w:left w:type="dxa" w:w="100"/>
              <w:bottom w:type="dxa" w:w="80"/>
              <w:right w:type="dxa" w:w="100"/>
            </w:tcMar>
          </w:tcPr>
          <w:p>
            <w:pPr>
              <w:jc w:val="left"/>
            </w:pPr>
            <w:r>
              <w:rPr>
                <w:b w:val="false"/>
                <w:bCs w:val="false"/>
              </w:rPr>
              <w:t xml:space="preserve">≈ 99.6%</w:t>
            </w:r>
          </w:p>
        </w:tc>
      </w:tr>
    </w:tbl>
    <w:p>
      <w:pPr>
        <w:spacing w:after="160"/>
      </w:pPr>
      <w:r>
        <w:rPr>
          <w:b/>
          <w:bCs/>
        </w:rPr>
        <w:t xml:space="preserve">Confirms Section 5.2 was not a 3-cell-line fluke: </w:t>
      </w:r>
      <w:r>
        <w:t xml:space="preserve">posterior uniqueness averages ≈28.9% across 15 cell lines (range 24.6–31.8%), consistent with the 3-cell-line number (28.2–31.6%). Lipinski pass rate dips slightly below 100% for the first time in this project (min 97.8%), still very high but worth tracking in future runs.</w:t>
      </w:r>
    </w:p>
    <w:p>
      <w:pPr>
        <w:pStyle w:val="Heading2"/>
        <w:spacing w:after="120" w:before="240"/>
      </w:pPr>
      <w:r>
        <w:t xml:space="preserve">5.6 Important caveat: scaffold-level repetition (found via the Collapse-check diagnostic)</w:t>
      </w:r>
    </w:p>
    <w:p>
      <w:pPr>
        <w:spacing w:after="160"/>
      </w:pPr>
      <w:r>
        <w:t xml:space="preserve">The top-repeated-molecule diagnostic (added to new_rl_eval_independent.py, finally synced and run for the first time on v4) reveals a pattern invisible in the aggregate uniqueness numbers above: in posterior mode, across ALL 15 cell lines evaluated, the #1 or #2 most-repeated molecule is one of the same two structures every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4114"/>
        <w:gridCol w:w="3366"/>
      </w:tblGrid>
      <w:tr>
        <w:trPr>
          <w:tblHeader/>
        </w:trPr>
        <w:tc>
          <w:tcPr>
            <w:tcW w:type="dxa" w:w="2600"/>
            <w:shd w:fill="D9E2F3" w:val="clear"/>
            <w:tcMar>
              <w:top w:type="dxa" w:w="80"/>
              <w:left w:type="dxa" w:w="100"/>
              <w:bottom w:type="dxa" w:w="80"/>
              <w:right w:type="dxa" w:w="100"/>
            </w:tcMar>
          </w:tcPr>
          <w:p>
            <w:pPr>
              <w:jc w:val="left"/>
            </w:pPr>
            <w:r>
              <w:rPr>
                <w:b/>
                <w:bCs/>
              </w:rPr>
              <w:t xml:space="preserve">Canonical SMILES</w:t>
            </w:r>
          </w:p>
        </w:tc>
        <w:tc>
          <w:tcPr>
            <w:tcW w:type="dxa" w:w="4114"/>
            <w:shd w:fill="D9E2F3" w:val="clear"/>
            <w:tcMar>
              <w:top w:type="dxa" w:w="80"/>
              <w:left w:type="dxa" w:w="100"/>
              <w:bottom w:type="dxa" w:w="80"/>
              <w:right w:type="dxa" w:w="100"/>
            </w:tcMar>
          </w:tcPr>
          <w:p>
            <w:pPr>
              <w:jc w:val="left"/>
            </w:pPr>
            <w:r>
              <w:rPr>
                <w:b/>
                <w:bCs/>
              </w:rPr>
              <w:t xml:space="preserve">Cell lines where it's a top-2 repeat</w:t>
            </w:r>
          </w:p>
        </w:tc>
        <w:tc>
          <w:tcPr>
            <w:tcW w:type="dxa" w:w="3366"/>
            <w:shd w:fill="D9E2F3" w:val="clear"/>
            <w:tcMar>
              <w:top w:type="dxa" w:w="80"/>
              <w:left w:type="dxa" w:w="100"/>
              <w:bottom w:type="dxa" w:w="80"/>
              <w:right w:type="dxa" w:w="100"/>
            </w:tcMar>
          </w:tcPr>
          <w:p>
            <w:pPr>
              <w:jc w:val="left"/>
            </w:pPr>
            <w:r>
              <w:rPr>
                <w:b/>
                <w:bCs/>
              </w:rPr>
              <w:t xml:space="preserve">Typical count (of 500 samples)</w:t>
            </w:r>
          </w:p>
        </w:tc>
      </w:tr>
      <w:tr>
        <w:tc>
          <w:tcPr>
            <w:tcW w:type="dxa" w:w="2600"/>
            <w:tcMar>
              <w:top w:type="dxa" w:w="80"/>
              <w:left w:type="dxa" w:w="100"/>
              <w:bottom w:type="dxa" w:w="80"/>
              <w:right w:type="dxa" w:w="100"/>
            </w:tcMar>
          </w:tcPr>
          <w:p>
            <w:pPr>
              <w:jc w:val="left"/>
            </w:pPr>
            <w:r>
              <w:rPr>
                <w:b w:val="false"/>
                <w:bCs w:val="false"/>
              </w:rPr>
              <w:t xml:space="preserve">CCCOC(O)OC</w:t>
            </w:r>
          </w:p>
        </w:tc>
        <w:tc>
          <w:tcPr>
            <w:tcW w:type="dxa" w:w="4114"/>
            <w:tcMar>
              <w:top w:type="dxa" w:w="80"/>
              <w:left w:type="dxa" w:w="100"/>
              <w:bottom w:type="dxa" w:w="80"/>
              <w:right w:type="dxa" w:w="100"/>
            </w:tcMar>
          </w:tcPr>
          <w:p>
            <w:pPr>
              <w:jc w:val="left"/>
            </w:pPr>
            <w:r>
              <w:rPr>
                <w:b w:val="false"/>
                <w:bCs w:val="false"/>
              </w:rPr>
              <w:t xml:space="preserve">15 of 15</w:t>
            </w:r>
          </w:p>
        </w:tc>
        <w:tc>
          <w:tcPr>
            <w:tcW w:type="dxa" w:w="3366"/>
            <w:tcMar>
              <w:top w:type="dxa" w:w="80"/>
              <w:left w:type="dxa" w:w="100"/>
              <w:bottom w:type="dxa" w:w="80"/>
              <w:right w:type="dxa" w:w="100"/>
            </w:tcMar>
          </w:tcPr>
          <w:p>
            <w:pPr>
              <w:jc w:val="left"/>
            </w:pPr>
            <w:r>
              <w:rPr>
                <w:b w:val="false"/>
                <w:bCs w:val="false"/>
              </w:rPr>
              <w:t xml:space="preserve">35 – 59</w:t>
            </w:r>
          </w:p>
        </w:tc>
      </w:tr>
      <w:tr>
        <w:tc>
          <w:tcPr>
            <w:tcW w:type="dxa" w:w="2600"/>
            <w:tcMar>
              <w:top w:type="dxa" w:w="80"/>
              <w:left w:type="dxa" w:w="100"/>
              <w:bottom w:type="dxa" w:w="80"/>
              <w:right w:type="dxa" w:w="100"/>
            </w:tcMar>
          </w:tcPr>
          <w:p>
            <w:pPr>
              <w:jc w:val="left"/>
            </w:pPr>
            <w:r>
              <w:rPr>
                <w:b w:val="false"/>
                <w:bCs w:val="false"/>
              </w:rPr>
              <w:t xml:space="preserve">COC(O)OCCO</w:t>
            </w:r>
          </w:p>
        </w:tc>
        <w:tc>
          <w:tcPr>
            <w:tcW w:type="dxa" w:w="4114"/>
            <w:tcMar>
              <w:top w:type="dxa" w:w="80"/>
              <w:left w:type="dxa" w:w="100"/>
              <w:bottom w:type="dxa" w:w="80"/>
              <w:right w:type="dxa" w:w="100"/>
            </w:tcMar>
          </w:tcPr>
          <w:p>
            <w:pPr>
              <w:jc w:val="left"/>
            </w:pPr>
            <w:r>
              <w:rPr>
                <w:b w:val="false"/>
                <w:bCs w:val="false"/>
              </w:rPr>
              <w:t xml:space="preserve">15 of 15</w:t>
            </w:r>
          </w:p>
        </w:tc>
        <w:tc>
          <w:tcPr>
            <w:tcW w:type="dxa" w:w="3366"/>
            <w:tcMar>
              <w:top w:type="dxa" w:w="80"/>
              <w:left w:type="dxa" w:w="100"/>
              <w:bottom w:type="dxa" w:w="80"/>
              <w:right w:type="dxa" w:w="100"/>
            </w:tcMar>
          </w:tcPr>
          <w:p>
            <w:pPr>
              <w:jc w:val="left"/>
            </w:pPr>
            <w:r>
              <w:rPr>
                <w:b w:val="false"/>
                <w:bCs w:val="false"/>
              </w:rPr>
              <w:t xml:space="preserve">28 – 55</w:t>
            </w:r>
          </w:p>
        </w:tc>
      </w:tr>
    </w:tbl>
    <w:p>
      <w:pPr>
        <w:spacing w:after="160"/>
      </w:pPr>
      <w:r>
        <w:t xml:space="preserve">Close relatives of the same template (CCCOC(O)OCO, CCCOC(O)OCCO, OCCOC(O)OCCO, OCCOC(O)OCO — chain-length/branching variants of the same [alkyl]-O-CH(OH)-O-[alkyl] scaffold) fill out most of the remaining top-5 slots in every single cell line's report.</w:t>
      </w:r>
    </w:p>
    <w:p>
      <w:pPr>
        <w:spacing w:after="160"/>
      </w:pPr>
      <w:r>
        <w:rPr>
          <w:b/>
          <w:bCs/>
        </w:rPr>
        <w:t xml:space="preserve">Root cause: the repetition penalty only matches EXACT canonical-SMILES duplicates. </w:t>
      </w:r>
      <w:r>
        <w:t xml:space="preserve">compute_diversity_penalty() (Section 8.6) computes count_i by exact string equality — "CCCOC(O)OC" and "CCCCOC(O)OC" (one more carbon) are, correctly per the code, two different strings, so neither is penalized relative to the other. The policy found it can satisfy the letter of the uniqueness reward by enumerating chain-length/branching variants of one simple, easy-to-decode scaffold, rather than by exploring genuinely different chemistry — a subtler, second-order form of the same specification-gaming pattern this whole investigation has been tracking, now caught concretely by name because the diagnostic exists.</w:t>
      </w:r>
    </w:p>
    <w:p>
      <w:pPr>
        <w:spacing w:after="160"/>
      </w:pPr>
      <w:r>
        <w:rPr>
          <w:b/>
          <w:bCs/>
        </w:rPr>
        <w:t xml:space="preserve">This is not a data-coverage problem: </w:t>
      </w:r>
      <w:r>
        <w:t xml:space="preserve">training already visits all 51 cell lines via epoch % 51 (2000 epochs ⟹ ≈39 visits/cell line), identically across v1–v4 — the scaffold-reuse pattern recurring across every cell line is a property of the penalty's exact-match granularity, not of how many cell lines or how many epochs were used. See Section 10 / report_V2.docx for the planned fix (Tanimoto-similarity-threshold repetition penalty, v5).</w:t>
      </w:r>
    </w:p>
    <w:p>
      <w:pPr>
        <w:pStyle w:val="Heading1"/>
        <w:spacing w:after="160" w:before="320"/>
      </w:pPr>
      <w:r>
        <w:t xml:space="preserve">6. Interpretation</w:t>
      </w:r>
    </w:p>
    <w:p>
      <w:pPr>
        <w:pStyle w:val="ListParagraph"/>
        <w:numPr>
          <w:ilvl w:val="0"/>
          <w:numId w:val="2"/>
        </w:numPr>
        <w:spacing w:after="80"/>
      </w:pPr>
      <w:r>
        <w:t xml:space="preserve">Reward genuinely improved in v2, in both sampling modes (e.g. posterior-mode reward moved from ~-3.8 average to ~-3.2 average). This is real progress on the actual objective, not just a validity artifact — unlike v1, where reward for valid molecules was essentially flat across training despite validity climbing from ~10% to ~97%.</w:t>
      </w:r>
    </w:p>
    <w:p>
      <w:pPr>
        <w:pStyle w:val="ListParagraph"/>
        <w:numPr>
          <w:ilvl w:val="0"/>
          <w:numId w:val="2"/>
        </w:numPr>
        <w:spacing w:after="80"/>
      </w:pPr>
      <w:r>
        <w:t xml:space="preserve">Entropy collapsed further in v2, not less, despite entropy_coef increasing 5x. Likely explanation: the entropy bonus term is entropy_coef × mean(entropy). Once entropy is already small (as it was by the end of v1), a 5x larger coefficient on an already-tiny value still contributes a negligible term next to the main REINFORCE loss (order 1–5 in magnitude). The bonus was too weak at this scale to fight the collapse.</w:t>
      </w:r>
    </w:p>
    <w:p>
      <w:pPr>
        <w:pStyle w:val="ListParagraph"/>
        <w:numPr>
          <w:ilvl w:val="0"/>
          <w:numId w:val="2"/>
        </w:numPr>
        <w:spacing w:after="80"/>
      </w:pPr>
      <w:r>
        <w:t xml:space="preserve">Prior-mode uniqueness got worse in v2 (38% → 25%) even as prior-mode validity improved — consistent with the whole policy narrowing onto a smaller, higher-reward set of outputs, not a mode-specific effect.</w:t>
      </w:r>
    </w:p>
    <w:p>
      <w:pPr>
        <w:pStyle w:val="ListParagraph"/>
        <w:numPr>
          <w:ilvl w:val="0"/>
          <w:numId w:val="2"/>
        </w:numPr>
        <w:spacing w:after="80"/>
      </w:pPr>
      <w:r>
        <w:t xml:space="preserve">Posterior-mode collapse persists essentially unchanged (~6–8% uniqueness in both runs): the encoder-seeded path is generating a small, repeated set of molecules regardless of which real compound was encoded as the seed. Neither the invalid_penalty relaxation nor the entropy_coef increase meaningfully affected this.</w:t>
      </w:r>
    </w:p>
    <w:p>
      <w:pPr>
        <w:pStyle w:val="ListParagraph"/>
        <w:numPr>
          <w:ilvl w:val="0"/>
          <w:numId w:val="2"/>
        </w:numPr>
        <w:spacing w:after="80"/>
      </w:pPr>
      <w:r>
        <w:t xml:space="preserve">No strict reward-hacking flag (predictor rewarding non-drug-like molecules) fired in either run: Lipinski pass rate stayed at 100% and reward-model score stayed negative throughout. The predictor is not being fooled into favoring molecules a standard druglikeness filter would reject.</w:t>
      </w:r>
    </w:p>
    <w:p>
      <w:pPr>
        <w:pStyle w:val="Heading1"/>
        <w:spacing w:after="160" w:before="320"/>
      </w:pPr>
      <w:r>
        <w:t xml:space="preserve">7. Verdict</w:t>
      </w:r>
    </w:p>
    <w:p>
      <w:pPr>
        <w:spacing w:after="160"/>
      </w:pPr>
      <w:r>
        <w:rPr>
          <w:b/>
          <w:bCs/>
        </w:rPr>
        <w:t xml:space="preserve">No classic reward hacking detected (predictor exploited via non-drug-like molecules). </w:t>
      </w:r>
      <w:r>
        <w:t xml:space="preserve">Lipinski pass rate held at 100% and reward-model score remained solidly negative across both runs and both sampling modes — the specific failure mode the evaluation script is built to catch did not occur.</w:t>
      </w:r>
    </w:p>
    <w:p>
      <w:pPr>
        <w:spacing w:after="160"/>
      </w:pPr>
      <w:r>
        <w:rPr>
          <w:b/>
          <w:bCs/>
        </w:rPr>
        <w:t xml:space="preserve">A related but distinct failure mode was found instead: specification gaming via validity, compounded by mode collapse. </w:t>
      </w:r>
      <w:r>
        <w:t xml:space="preserve">Over 1000–2000 epochs, the policy learned to reliably avoid the invalid_penalty (validity 10% → ~97–100%) largely by narrowing its output distribution onto a small, repeated set of molecules (uniqueness collapsed to single digits in the encoder-seeded path), rather than by broadly exploring toward better drug candidates. v2's hyperparameter change did produce a real reward improvement, but at the cost of even lower diversity — a genuine trade-off, not a fix.</w:t>
      </w:r>
    </w:p>
    <w:p>
      <w:pPr>
        <w:spacing w:after="160"/>
      </w:pPr>
      <w:r>
        <w:rPr>
          <w:b/>
          <w:bCs/>
        </w:rPr>
        <w:t xml:space="preserve">Confirmed by the Section 9 baseline: </w:t>
      </w:r>
      <w:r>
        <w:t xml:space="preserve">the pre-RL warm-start VAE's posterior-mode uniqueness is 45.8–53.9% — RL fine-tuning is what collapses it to 6.3–7.8% (v1/v2), not a limitation of the VAE's generative capacity. The diversity being traded away for validity was genuinely there before RL touched the model.</w:t>
      </w:r>
    </w:p>
    <w:p>
      <w:pPr>
        <w:spacing w:after="160"/>
      </w:pPr>
      <w:r>
        <w:rPr>
          <w:b/>
          <w:bCs/>
        </w:rPr>
        <w:t xml:space="preserve">v4 update: the Section 8.6 repetition penalty recovers most of that lost diversity. </w:t>
      </w:r>
      <w:r>
        <w:t xml:space="preserve">Posterior uniqueness rose to 28.2–31.6% (3 cell lines) / 24.6–31.8% (broader 15-cell-line check, Section 5.5), 4-5x v1/v2/v3, while keeping v2-level reward and validity. But Section 5.6's Collapse-check diagnostic shows this is not yet clean: the SAME two-molecule scaffold family dominates the repeats in every single cell line tested, because the penalty only catches exact string duplicates, not near-identical chain-length variants. v4 is real progress, not a solved problem — a second-order form of specification gaming was traded in for the first.</w:t>
      </w:r>
    </w:p>
    <w:p>
      <w:pPr>
        <w:spacing w:after="160"/>
      </w:pPr>
      <w:r>
        <w:rPr>
          <w:b/>
          <w:bCs/>
        </w:rPr>
        <w:t xml:space="preserve">Update from v3 (Section 5.3 / 8.7): </w:t>
      </w:r>
      <w:r>
        <w:t xml:space="preserve">raising entropy_coef further, even 50x and applied from epoch 1 rather than mid-training, still collapsed to the same entropy range as v1/v2 and did not improve on v2's reward. Entropy regularization alone, within the range tested (0.01 → 0.5), is not a viable fix for this collapse — see Section 8.7 for why, and Section 8.6 for the proposed alternative.</w:t>
      </w:r>
    </w:p>
    <w:p>
      <w:pPr>
        <w:pStyle w:val="Heading1"/>
        <w:spacing w:after="160" w:before="320"/>
      </w:pPr>
      <w:r>
        <w:t xml:space="preserve">8. Theoretical Analysis: Role of Entropy in REINFORCE Training</w:t>
      </w:r>
    </w:p>
    <w:p>
      <w:pPr>
        <w:pStyle w:val="Heading2"/>
        <w:spacing w:after="120" w:before="240"/>
      </w:pPr>
      <w:r>
        <w:t xml:space="preserve">8.1 Setup — matching the codebase</w:t>
      </w:r>
    </w:p>
    <w:p>
      <w:pPr>
        <w:spacing w:after="160"/>
      </w:pPr>
      <w:r>
        <w:t xml:space="preserve">Let π_θ denote the decoder policy over token sequences τ = (a_1, …, a_T), conditioned on cell-line embedding z_C and latent z (from either the prior or the encoder posterior). The standard REINFORCE objective is:</w:t>
      </w:r>
    </w:p>
    <w:p>
      <w:pPr>
        <w:spacing w:after="80" w:before="80"/>
        <w:ind w:left="360"/>
      </w:pPr>
      <w:r>
        <w:rPr>
          <w:rFonts w:ascii="Consolas" w:cs="Consolas" w:eastAsia="Consolas" w:hAnsi="Consolas"/>
          <w:sz w:val="21"/>
          <w:szCs w:val="21"/>
        </w:rPr>
        <w:t xml:space="preserve">J(θ) = E_{τ~π_θ}[ R(τ) ]</w:t>
      </w:r>
    </w:p>
    <w:p>
      <w:pPr>
        <w:spacing w:after="160"/>
      </w:pPr>
      <w:r>
        <w:t xml:space="preserve">with the score-function gradient estimator, using a running-mean baseline b for variance reduction (as implemented):</w:t>
      </w:r>
    </w:p>
    <w:p>
      <w:pPr>
        <w:spacing w:after="80" w:before="80"/>
        <w:ind w:left="360"/>
      </w:pPr>
      <w:r>
        <w:rPr>
          <w:rFonts w:ascii="Consolas" w:cs="Consolas" w:eastAsia="Consolas" w:hAnsi="Consolas"/>
          <w:sz w:val="21"/>
          <w:szCs w:val="21"/>
        </w:rPr>
        <w:t xml:space="preserve">∇_θ J(θ) ≈ E[ (R(τ) − b) · ∇_θ log π_θ(τ) ],    log π_θ(τ) = Σ_t log π_θ(a_t | s_t)</w:t>
      </w:r>
    </w:p>
    <w:p>
      <w:pPr>
        <w:spacing w:after="160"/>
      </w:pPr>
      <w:r>
        <w:t xml:space="preserve">Code correspondence: logprobs = Σ_t log π_θ(a_t|s_t) (logprob_sum in new_rl_policy.py), advantage = R(τ) − b, and rl_loss = −mean[advantage · logprobs] − β · mean[H]. This term requires the score-function trick because R(τ) is not differentiable w.r.t. θ — it passes through discrete token sampling and an external, non-differentiable predictor.</w:t>
      </w:r>
    </w:p>
    <w:p>
      <w:pPr>
        <w:pStyle w:val="Heading2"/>
        <w:spacing w:after="120" w:before="240"/>
      </w:pPr>
      <w:r>
        <w:t xml:space="preserve">8.2 Entropy-regularized objective</w:t>
      </w:r>
    </w:p>
    <w:p>
      <w:pPr>
        <w:spacing w:after="160"/>
      </w:pPr>
      <w:r>
        <w:t xml:space="preserve">With an entropy bonus of weight β (entropy_coef), the objective becomes the standard maximum-entropy RL form:</w:t>
      </w:r>
    </w:p>
    <w:p>
      <w:pPr>
        <w:spacing w:after="80" w:before="80"/>
        <w:ind w:left="360"/>
      </w:pPr>
      <w:r>
        <w:rPr>
          <w:rFonts w:ascii="Consolas" w:cs="Consolas" w:eastAsia="Consolas" w:hAnsi="Consolas"/>
          <w:sz w:val="21"/>
          <w:szCs w:val="21"/>
        </w:rPr>
        <w:t xml:space="preserve">J_H(θ) = E[ R(τ) ] + β · E[ H(π_θ(· | s_t)) ]</w:t>
      </w:r>
    </w:p>
    <w:p>
      <w:pPr>
        <w:spacing w:after="160"/>
      </w:pPr>
      <w:r>
        <w:t xml:space="preserve">where H(p) = −Σ_a p_a log p_a is the per-step categorical entropy over the vocabulary, averaged across the sequence (entropy_mean in the code). Unlike the reward term, H is computed in closed form directly from the softmax output (torch.distributions.Categorical(probs).entropy()), so its gradient flows directly through the network — no score-function estimator, no sampling noise.</w:t>
      </w:r>
    </w:p>
    <w:p>
      <w:pPr>
        <w:pStyle w:val="Heading2"/>
        <w:spacing w:after="120" w:before="240"/>
      </w:pPr>
      <w:r>
        <w:t xml:space="preserve">8.3 Why entropy regularization matters, in principle</w:t>
      </w:r>
    </w:p>
    <w:p>
      <w:pPr>
        <w:pStyle w:val="ListParagraph"/>
        <w:numPr>
          <w:ilvl w:val="0"/>
          <w:numId w:val="2"/>
        </w:numPr>
        <w:spacing w:after="80"/>
      </w:pPr>
      <w:r>
        <w:t xml:space="preserve">Vanilla REINFORCE (β = 0) has no term that explicitly rewards diversity. Its gradient increases log π_θ(τ) for any trajectory with above-average reward and decreases it for below-average ones — a "rich get richer" dynamic with no counter-force. Generically, the nearest local optimum of this dynamic is a near-deterministic policy: once some sequence is found to score above the running baseline, repeated reinforcement drives its probability toward 1 and everything else toward 0.</w:t>
      </w:r>
    </w:p>
    <w:p>
      <w:pPr>
        <w:pStyle w:val="ListParagraph"/>
        <w:numPr>
          <w:ilvl w:val="0"/>
          <w:numId w:val="2"/>
        </w:numPr>
        <w:spacing w:after="80"/>
      </w:pPr>
      <w:r>
        <w:t xml:space="preserve">The fixed, asymmetric invalid_penalty amplifies this further: any sequence already verified valid is reinforced sharply relative to any newly-explored (and possibly invalid) alternative, which accelerates collapse onto whatever small "safe set" the policy discovers first.</w:t>
      </w:r>
    </w:p>
    <w:p>
      <w:pPr>
        <w:pStyle w:val="ListParagraph"/>
        <w:numPr>
          <w:ilvl w:val="0"/>
          <w:numId w:val="2"/>
        </w:numPr>
        <w:spacing w:after="80"/>
      </w:pPr>
      <w:r>
        <w:t xml:space="preserve">The entropy bonus (β·H) is the standard counter-force in this framework (Williams, 1992; Mnih et al., 2016; Haarnoja et al., 2018): it directly rewards the network for keeping each step's distribution closer to uniform, opposing the reward term's pressure to sharpen.</w:t>
      </w:r>
    </w:p>
    <w:p>
      <w:pPr>
        <w:pStyle w:val="Heading2"/>
        <w:spacing w:after="120" w:before="240"/>
      </w:pPr>
      <w:r>
        <w:t xml:space="preserve">8.4 Why raising β after collapse had already started did not help — a saturation argument</w:t>
      </w:r>
    </w:p>
    <w:p>
      <w:pPr>
        <w:spacing w:after="160"/>
      </w:pPr>
      <w:r>
        <w:t xml:space="preserve">For a per-step categorical distribution p = softmax(z) over logits z = (z_1, …, z_K), differentiating H(p) through the softmax Jacobian ∂p_a/∂z_j = p_a(δ_{aj} − p_j) gives:</w:t>
      </w:r>
    </w:p>
    <w:p>
      <w:pPr>
        <w:spacing w:after="80" w:before="80"/>
        <w:ind w:left="360"/>
      </w:pPr>
      <w:r>
        <w:rPr>
          <w:rFonts w:ascii="Consolas" w:cs="Consolas" w:eastAsia="Consolas" w:hAnsi="Consolas"/>
          <w:sz w:val="21"/>
          <w:szCs w:val="21"/>
        </w:rPr>
        <w:t xml:space="preserve">∂H/∂z_j  =  − p_j · ( log p_j + H )</w:t>
      </w:r>
    </w:p>
    <w:p>
      <w:pPr>
        <w:spacing w:after="160"/>
      </w:pPr>
      <w:r>
        <w:t xml:space="preserve">As the distribution saturates toward a one-hot point (some p_j* → 1, all others → 0, so H → 0):</w:t>
      </w:r>
    </w:p>
    <w:p>
      <w:pPr>
        <w:pStyle w:val="ListParagraph"/>
        <w:numPr>
          <w:ilvl w:val="0"/>
          <w:numId w:val="2"/>
        </w:numPr>
        <w:spacing w:after="80"/>
      </w:pPr>
      <w:r>
        <w:t xml:space="preserve">For the dominant token j*: p_j* → 1, log p_j* → 0, H → 0  ⟹  ∂H/∂z_j* → −1·(0+0) = 0</w:t>
      </w:r>
    </w:p>
    <w:p>
      <w:pPr>
        <w:pStyle w:val="ListParagraph"/>
        <w:numPr>
          <w:ilvl w:val="0"/>
          <w:numId w:val="2"/>
        </w:numPr>
        <w:spacing w:after="80"/>
      </w:pPr>
      <w:r>
        <w:t xml:space="preserve">For every suppressed token j: p_j → 0 dominates the divergent log p_j → −∞ term (since p·log p → 0), and H → 0  ⟹  ∂H/∂z_j → 0</w:t>
      </w:r>
    </w:p>
    <w:p>
      <w:pPr>
        <w:spacing w:after="160"/>
      </w:pPr>
      <w:r>
        <w:rPr>
          <w:b/>
          <w:bCs/>
        </w:rPr>
        <w:t xml:space="preserve">Conclusion: </w:t>
      </w:r>
      <w:r>
        <w:t xml:space="preserve">the gradient of the entropy term vanishes exactly in the regime (near-deterministic, low-H policy) where it is most needed — structurally analogous to vanishing gradients in a saturated sigmoid/softmax. Scaling β up after this point scales an already-vanishing gradient; it cannot restore diversity once the per-step distribution has saturated.</w:t>
      </w:r>
    </w:p>
    <w:p>
      <w:pPr>
        <w:spacing w:after="160"/>
      </w:pPr>
      <w:r>
        <w:t xml:space="preserve">This gives a rigorous explanation for the empirical v1 → v2 observation in Section 6: entropy_coef was raised 5x (0.01 → 0.05), yet entropy collapsed further, not less. By the time the larger β took effect, the per-step softmax outputs were already entering the saturated regime where ∂H/∂z ≈ 0 — so a 5x larger coefficient was multiplying a near-zero gradient, not a meaningful one.</w:t>
      </w:r>
    </w:p>
    <w:p>
      <w:pPr>
        <w:pStyle w:val="Heading2"/>
        <w:spacing w:after="120" w:before="240"/>
      </w:pPr>
      <w:r>
        <w:t xml:space="preserve">8.5 Formal implication for training design</w:t>
      </w:r>
    </w:p>
    <w:p>
      <w:pPr>
        <w:pStyle w:val="ListParagraph"/>
        <w:numPr>
          <w:ilvl w:val="0"/>
          <w:numId w:val="2"/>
        </w:numPr>
        <w:spacing w:after="80"/>
      </w:pPr>
      <w:r>
        <w:t xml:space="preserve">Entropy regularization must act before the per-step distribution saturates to have a restorative effect. Raising β late in training, once H is already small, has diminishing-to-zero returns, because both H and ∂H/∂z vanish together — this is a structural property of the softmax entropy gradient, not a tuning failure specific to this run.</w:t>
      </w:r>
    </w:p>
    <w:p>
      <w:pPr>
        <w:pStyle w:val="ListParagraph"/>
        <w:numPr>
          <w:ilvl w:val="0"/>
          <w:numId w:val="2"/>
        </w:numPr>
        <w:spacing w:after="80"/>
      </w:pPr>
      <w:r>
        <w:t xml:space="preserve">A robust fix requires a term whose gradient does not vanish under saturation — e.g., an explicit batch-level diversity/uniqueness penalty (computed on aggregate output statistics across a batch, not the local softmax Jacobian), or scheduling a much larger β from the very start of RL fine-tuning, before any collapse has occurred, or periodically raising the decode temperature to reinject exploration mid-training.</w:t>
      </w:r>
    </w:p>
    <w:p>
      <w:pPr>
        <w:pStyle w:val="Heading2"/>
        <w:spacing w:after="120" w:before="240"/>
      </w:pPr>
      <w:r>
        <w:t xml:space="preserve">8.6 Proposed Fix: Batch-Level Repetition Penalty (Validity + Uniqueness, Combined)</w:t>
      </w:r>
    </w:p>
    <w:p>
      <w:pPr>
        <w:spacing w:after="160"/>
      </w:pPr>
      <w:r>
        <w:t xml:space="preserve">Section 8.4 shows the entropy bonus saturates because it is a function of the per-step softmax distribution, which collapses together with its own gradient. A more robust alternative folds uniqueness directly into the reward signal itself, at the batch level, rather than relying on a per-step distributional statistic:</w:t>
      </w:r>
    </w:p>
    <w:p>
      <w:pPr>
        <w:spacing w:after="160"/>
      </w:pPr>
      <w:r>
        <w:t xml:space="preserve">For a batch of N sampled sequences τ_1, …, τ_N with predictor rewards R_1, …, R_N:</w:t>
      </w:r>
    </w:p>
    <w:p>
      <w:pPr>
        <w:spacing w:after="80" w:before="80"/>
        <w:ind w:left="360"/>
      </w:pPr>
      <w:r>
        <w:rPr>
          <w:rFonts w:ascii="Consolas" w:cs="Consolas" w:eastAsia="Consolas" w:hAnsi="Consolas"/>
          <w:sz w:val="21"/>
          <w:szCs w:val="21"/>
        </w:rPr>
        <w:t xml:space="preserve">c_i = canonical(τ_i) if τ_i is valid, else ⊥ (invalid marker)</w:t>
      </w:r>
    </w:p>
    <w:p>
      <w:pPr>
        <w:spacing w:after="80" w:before="80"/>
        <w:ind w:left="360"/>
      </w:pPr>
      <w:r>
        <w:rPr>
          <w:rFonts w:ascii="Consolas" w:cs="Consolas" w:eastAsia="Consolas" w:hAnsi="Consolas"/>
          <w:sz w:val="21"/>
          <w:szCs w:val="21"/>
        </w:rPr>
        <w:t xml:space="preserve">count_i = | { j : c_j = c_i, c_i ≠ ⊥ } |     (how many batch members share i's exact molecule)</w:t>
      </w:r>
    </w:p>
    <w:p>
      <w:pPr>
        <w:spacing w:after="80" w:before="80"/>
        <w:ind w:left="360"/>
      </w:pPr>
      <w:r>
        <w:rPr>
          <w:rFonts w:ascii="Consolas" w:cs="Consolas" w:eastAsia="Consolas" w:hAnsi="Consolas"/>
          <w:sz w:val="21"/>
          <w:szCs w:val="21"/>
        </w:rPr>
        <w:t xml:space="preserve">R_i^div = invalid_penalty                                    if τ_i invalid</w:t>
      </w:r>
    </w:p>
    <w:p>
      <w:pPr>
        <w:spacing w:after="80" w:before="80"/>
        <w:ind w:left="360"/>
      </w:pPr>
      <w:r>
        <w:rPr>
          <w:rFonts w:ascii="Consolas" w:cs="Consolas" w:eastAsia="Consolas" w:hAnsi="Consolas"/>
          <w:sz w:val="21"/>
          <w:szCs w:val="21"/>
        </w:rPr>
        <w:t xml:space="preserve">        = R_i − λ_div · max(0, count_i − 1)                  if τ_i valid</w:t>
      </w:r>
    </w:p>
    <w:p>
      <w:pPr>
        <w:spacing w:after="160"/>
      </w:pPr>
      <w:r>
        <w:t xml:space="preserve">The first occurrence of any molecule in the batch is unpenalized (count_i=1 ⟹ max(0, count_i−1)=0); every additional duplicate accumulates penalty. Validity is still governed entirely by invalid_penalty as before — this term only acts on the uniqueness axis, and only among already-valid samples, so it does not create pressure toward invalidity.</w:t>
      </w:r>
    </w:p>
    <w:p>
      <w:pPr>
        <w:spacing w:after="160"/>
      </w:pPr>
      <w:r>
        <w:t xml:space="preserve">Implementation-wise this is a minimal change: R^div replaces the plain rewards tensor from score_with_predictor() before the existing line `advantage = rewards.detach() - baseline`, so it flows through the same REINFORCE pipeline already in new_rl_finetune.py unchanged.</w:t>
      </w:r>
    </w:p>
    <w:p>
      <w:pPr>
        <w:spacing w:after="160"/>
      </w:pPr>
      <w:r>
        <w:rPr>
          <w:b/>
          <w:bCs/>
        </w:rPr>
        <w:t xml:space="preserve">Caveat (for rigor): </w:t>
      </w:r>
      <w:r>
        <w:t xml:space="preserve">this does not fully escape Section 8.4's saturation problem — it still reaches θ through the same score-function term ∇_θ log π_θ(τ), whose own Jacobian (∂log p_a/∂z_j = δ_aj − p_j) also flattens as the policy saturates. The practical advantage is magnitude and timing, not immunity: count_i can be large (e.g. dozens of duplicates), giving this term far more weight per step than the bounded entropy bonus (β·H, with H already ≈0.05–0.2 nats by the time collapse is visible), and — per Section 8.5 — it must be applied from early in training, before saturation sets in, to be effective either way.</w:t>
      </w:r>
    </w:p>
    <w:p>
      <w:pPr>
        <w:pStyle w:val="Heading2"/>
        <w:spacing w:after="120" w:before="240"/>
      </w:pPr>
      <w:r>
        <w:t xml:space="preserve">8.7 Empirical Test (v3) and a Revised Mechanism: Magnitude Mismatch, Not Only Saturation</w:t>
      </w:r>
    </w:p>
    <w:p>
      <w:pPr>
        <w:spacing w:after="160"/>
      </w:pPr>
      <w:r>
        <w:t xml:space="preserve">Section 8.5 predicted that applying a much larger entropy_coef from the very start of training (before any saturation) should preserve diversity. v3 tests this directly: entropy_coef = 0.5 (50x v1's 0.01, 10x v2's 0.05), applied from epoch 1, resuming from the same pre-RL checkpoint as v1/v2 (Section 5.3).</w:t>
      </w:r>
    </w:p>
    <w:p>
      <w:pPr>
        <w:spacing w:after="160"/>
      </w:pPr>
      <w:r>
        <w:rPr>
          <w:b/>
          <w:bCs/>
        </w:rPr>
        <w:t xml:space="preserve">Result: the prediction was falsified. </w:t>
      </w:r>
      <w:r>
        <w:t xml:space="preserve">Entropy was already down to 0.10–0.12 by epoch 500–1000 — the same range v1 (entropy_coef=0.01) reached only by its final epoch ~1000. By the tail, v3's entropy (avg 0.055) sits in the same collapsed range as v2's, and v3's reward (avg -3.78) is worse than v2's (-2.7 ~ -3.35): a 10x larger coefficient than v2 bought no diversity and cost some reward quality. Early application alone does not prevent the collapse.</w:t>
      </w:r>
    </w:p>
    <w:p>
      <w:pPr>
        <w:spacing w:after="160"/>
      </w:pPr>
      <w:r>
        <w:t xml:space="preserve">The missing piece is magnitude, not just timing. The entropy bonus is bounded above by β·ln|V| (maximum entropy of a uniform categorical over the vocabulary, |V| = 52 tokens here):</w:t>
      </w:r>
    </w:p>
    <w:p>
      <w:pPr>
        <w:spacing w:after="80" w:before="80"/>
        <w:ind w:left="360"/>
      </w:pPr>
      <w:r>
        <w:rPr>
          <w:rFonts w:ascii="Consolas" w:cs="Consolas" w:eastAsia="Consolas" w:hAnsi="Consolas"/>
          <w:sz w:val="21"/>
          <w:szCs w:val="21"/>
        </w:rPr>
        <w:t xml:space="preserve">max( β · H )  =  β · ln|V|  =  0.5 · ln(52)  ≈  0.5 · 3.95  ≈  1.98</w:t>
      </w:r>
    </w:p>
    <w:p>
      <w:pPr>
        <w:spacing w:after="160"/>
      </w:pPr>
      <w:r>
        <w:t xml:space="preserve">The REINFORCE reward term has no such ceiling — it scales with sequence length and the advantage's magnitude. The actual v3 training log shows this gap directly (rl_loss magnitude, i.e. the term the entropy bonus must compete against, at the same epochs as Section 5.3):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3680"/>
      </w:tblGrid>
      <w:tr>
        <w:trPr>
          <w:tblHeader/>
        </w:trPr>
        <w:tc>
          <w:tcPr>
            <w:tcW w:type="dxa" w:w="1600"/>
            <w:shd w:fill="D9E2F3" w:val="clear"/>
            <w:tcMar>
              <w:top w:type="dxa" w:w="80"/>
              <w:left w:type="dxa" w:w="100"/>
              <w:bottom w:type="dxa" w:w="80"/>
              <w:right w:type="dxa" w:w="100"/>
            </w:tcMar>
          </w:tcPr>
          <w:p>
            <w:pPr>
              <w:jc w:val="left"/>
            </w:pPr>
            <w:r>
              <w:rPr>
                <w:b/>
                <w:bCs/>
              </w:rPr>
              <w:t xml:space="preserve">Epoch</w:t>
            </w:r>
          </w:p>
        </w:tc>
        <w:tc>
          <w:tcPr>
            <w:tcW w:type="dxa" w:w="2200"/>
            <w:shd w:fill="D9E2F3" w:val="clear"/>
            <w:tcMar>
              <w:top w:type="dxa" w:w="80"/>
              <w:left w:type="dxa" w:w="100"/>
              <w:bottom w:type="dxa" w:w="80"/>
              <w:right w:type="dxa" w:w="100"/>
            </w:tcMar>
          </w:tcPr>
          <w:p>
            <w:pPr>
              <w:jc w:val="left"/>
            </w:pPr>
            <w:r>
              <w:rPr>
                <w:b/>
                <w:bCs/>
              </w:rPr>
              <w:t xml:space="preserve">|rl_loss|</w:t>
            </w:r>
          </w:p>
        </w:tc>
        <w:tc>
          <w:tcPr>
            <w:tcW w:type="dxa" w:w="2600"/>
            <w:shd w:fill="D9E2F3" w:val="clear"/>
            <w:tcMar>
              <w:top w:type="dxa" w:w="80"/>
              <w:left w:type="dxa" w:w="100"/>
              <w:bottom w:type="dxa" w:w="80"/>
              <w:right w:type="dxa" w:w="100"/>
            </w:tcMar>
          </w:tcPr>
          <w:p>
            <w:pPr>
              <w:jc w:val="left"/>
            </w:pPr>
            <w:r>
              <w:rPr>
                <w:b/>
                <w:bCs/>
              </w:rPr>
              <w:t xml:space="preserve">max possible β·H (β=0.5)</w:t>
            </w:r>
          </w:p>
        </w:tc>
        <w:tc>
          <w:tcPr>
            <w:tcW w:type="dxa" w:w="3680"/>
            <w:shd w:fill="D9E2F3" w:val="clear"/>
            <w:tcMar>
              <w:top w:type="dxa" w:w="80"/>
              <w:left w:type="dxa" w:w="100"/>
              <w:bottom w:type="dxa" w:w="80"/>
              <w:right w:type="dxa" w:w="100"/>
            </w:tcMar>
          </w:tcPr>
          <w:p>
            <w:pPr>
              <w:jc w:val="left"/>
            </w:pPr>
            <w:r>
              <w:rPr>
                <w:b/>
                <w:bCs/>
              </w:rPr>
              <w:t xml:space="preserve">Ratio</w:t>
            </w:r>
          </w:p>
        </w:tc>
      </w:tr>
      <w:tr>
        <w:tc>
          <w:tcPr>
            <w:tcW w:type="dxa" w:w="1600"/>
            <w:tcMar>
              <w:top w:type="dxa" w:w="80"/>
              <w:left w:type="dxa" w:w="100"/>
              <w:bottom w:type="dxa" w:w="80"/>
              <w:right w:type="dxa" w:w="100"/>
            </w:tcMar>
          </w:tcPr>
          <w:p>
            <w:pPr>
              <w:jc w:val="left"/>
            </w:pPr>
            <w:r>
              <w:rPr>
                <w:b w:val="false"/>
                <w:bCs w:val="false"/>
              </w:rPr>
              <w:t xml:space="preserve">1</w:t>
            </w:r>
          </w:p>
        </w:tc>
        <w:tc>
          <w:tcPr>
            <w:tcW w:type="dxa" w:w="2200"/>
            <w:tcMar>
              <w:top w:type="dxa" w:w="80"/>
              <w:left w:type="dxa" w:w="100"/>
              <w:bottom w:type="dxa" w:w="80"/>
              <w:right w:type="dxa" w:w="100"/>
            </w:tcMar>
          </w:tcPr>
          <w:p>
            <w:pPr>
              <w:jc w:val="left"/>
            </w:pPr>
            <w:r>
              <w:rPr>
                <w:b w:val="false"/>
                <w:bCs w:val="false"/>
              </w:rPr>
              <w:t xml:space="preserve">993.5</w:t>
            </w:r>
          </w:p>
        </w:tc>
        <w:tc>
          <w:tcPr>
            <w:tcW w:type="dxa" w:w="2600"/>
            <w:tcMar>
              <w:top w:type="dxa" w:w="80"/>
              <w:left w:type="dxa" w:w="100"/>
              <w:bottom w:type="dxa" w:w="80"/>
              <w:right w:type="dxa" w:w="100"/>
            </w:tcMar>
          </w:tcPr>
          <w:p>
            <w:pPr>
              <w:jc w:val="left"/>
            </w:pPr>
            <w:r>
              <w:rPr>
                <w:b w:val="false"/>
                <w:bCs w:val="false"/>
              </w:rPr>
              <w:t xml:space="preserve">1.98</w:t>
            </w:r>
          </w:p>
        </w:tc>
        <w:tc>
          <w:tcPr>
            <w:tcW w:type="dxa" w:w="3680"/>
            <w:tcMar>
              <w:top w:type="dxa" w:w="80"/>
              <w:left w:type="dxa" w:w="100"/>
              <w:bottom w:type="dxa" w:w="80"/>
              <w:right w:type="dxa" w:w="100"/>
            </w:tcMar>
          </w:tcPr>
          <w:p>
            <w:pPr>
              <w:jc w:val="left"/>
            </w:pPr>
            <w:r>
              <w:rPr>
                <w:b w:val="false"/>
                <w:bCs w:val="false"/>
              </w:rPr>
              <w:t xml:space="preserve">~500 : 1</w:t>
            </w:r>
          </w:p>
        </w:tc>
      </w:tr>
      <w:tr>
        <w:tc>
          <w:tcPr>
            <w:tcW w:type="dxa" w:w="1600"/>
            <w:tcMar>
              <w:top w:type="dxa" w:w="80"/>
              <w:left w:type="dxa" w:w="100"/>
              <w:bottom w:type="dxa" w:w="80"/>
              <w:right w:type="dxa" w:w="100"/>
            </w:tcMar>
          </w:tcPr>
          <w:p>
            <w:pPr>
              <w:jc w:val="left"/>
            </w:pPr>
            <w:r>
              <w:rPr>
                <w:b w:val="false"/>
                <w:bCs w:val="false"/>
              </w:rPr>
              <w:t xml:space="preserve">100</w:t>
            </w:r>
          </w:p>
        </w:tc>
        <w:tc>
          <w:tcPr>
            <w:tcW w:type="dxa" w:w="2200"/>
            <w:tcMar>
              <w:top w:type="dxa" w:w="80"/>
              <w:left w:type="dxa" w:w="100"/>
              <w:bottom w:type="dxa" w:w="80"/>
              <w:right w:type="dxa" w:w="100"/>
            </w:tcMar>
          </w:tcPr>
          <w:p>
            <w:pPr>
              <w:jc w:val="left"/>
            </w:pPr>
            <w:r>
              <w:rPr>
                <w:b w:val="false"/>
                <w:bCs w:val="false"/>
              </w:rPr>
              <w:t xml:space="preserve">11.9</w:t>
            </w:r>
          </w:p>
        </w:tc>
        <w:tc>
          <w:tcPr>
            <w:tcW w:type="dxa" w:w="2600"/>
            <w:tcMar>
              <w:top w:type="dxa" w:w="80"/>
              <w:left w:type="dxa" w:w="100"/>
              <w:bottom w:type="dxa" w:w="80"/>
              <w:right w:type="dxa" w:w="100"/>
            </w:tcMar>
          </w:tcPr>
          <w:p>
            <w:pPr>
              <w:jc w:val="left"/>
            </w:pPr>
            <w:r>
              <w:rPr>
                <w:b w:val="false"/>
                <w:bCs w:val="false"/>
              </w:rPr>
              <w:t xml:space="preserve">1.98</w:t>
            </w:r>
          </w:p>
        </w:tc>
        <w:tc>
          <w:tcPr>
            <w:tcW w:type="dxa" w:w="3680"/>
            <w:tcMar>
              <w:top w:type="dxa" w:w="80"/>
              <w:left w:type="dxa" w:w="100"/>
              <w:bottom w:type="dxa" w:w="80"/>
              <w:right w:type="dxa" w:w="100"/>
            </w:tcMar>
          </w:tcPr>
          <w:p>
            <w:pPr>
              <w:jc w:val="left"/>
            </w:pPr>
            <w:r>
              <w:rPr>
                <w:b w:val="false"/>
                <w:bCs w:val="false"/>
              </w:rPr>
              <w:t xml:space="preserve">~6 : 1</w:t>
            </w:r>
          </w:p>
        </w:tc>
      </w:tr>
      <w:tr>
        <w:tc>
          <w:tcPr>
            <w:tcW w:type="dxa" w:w="1600"/>
            <w:tcMar>
              <w:top w:type="dxa" w:w="80"/>
              <w:left w:type="dxa" w:w="100"/>
              <w:bottom w:type="dxa" w:w="80"/>
              <w:right w:type="dxa" w:w="100"/>
            </w:tcMar>
          </w:tcPr>
          <w:p>
            <w:pPr>
              <w:jc w:val="left"/>
            </w:pPr>
            <w:r>
              <w:rPr>
                <w:b w:val="false"/>
                <w:bCs w:val="false"/>
              </w:rPr>
              <w:t xml:space="preserve">500</w:t>
            </w:r>
          </w:p>
        </w:tc>
        <w:tc>
          <w:tcPr>
            <w:tcW w:type="dxa" w:w="2200"/>
            <w:tcMar>
              <w:top w:type="dxa" w:w="80"/>
              <w:left w:type="dxa" w:w="100"/>
              <w:bottom w:type="dxa" w:w="80"/>
              <w:right w:type="dxa" w:w="100"/>
            </w:tcMar>
          </w:tcPr>
          <w:p>
            <w:pPr>
              <w:jc w:val="left"/>
            </w:pPr>
            <w:r>
              <w:rPr>
                <w:b w:val="false"/>
                <w:bCs w:val="false"/>
              </w:rPr>
              <w:t xml:space="preserve">1.69</w:t>
            </w:r>
          </w:p>
        </w:tc>
        <w:tc>
          <w:tcPr>
            <w:tcW w:type="dxa" w:w="2600"/>
            <w:tcMar>
              <w:top w:type="dxa" w:w="80"/>
              <w:left w:type="dxa" w:w="100"/>
              <w:bottom w:type="dxa" w:w="80"/>
              <w:right w:type="dxa" w:w="100"/>
            </w:tcMar>
          </w:tcPr>
          <w:p>
            <w:pPr>
              <w:jc w:val="left"/>
            </w:pPr>
            <w:r>
              <w:rPr>
                <w:b w:val="false"/>
                <w:bCs w:val="false"/>
              </w:rPr>
              <w:t xml:space="preserve">1.98</w:t>
            </w:r>
          </w:p>
        </w:tc>
        <w:tc>
          <w:tcPr>
            <w:tcW w:type="dxa" w:w="3680"/>
            <w:tcMar>
              <w:top w:type="dxa" w:w="80"/>
              <w:left w:type="dxa" w:w="100"/>
              <w:bottom w:type="dxa" w:w="80"/>
              <w:right w:type="dxa" w:w="100"/>
            </w:tcMar>
          </w:tcPr>
          <w:p>
            <w:pPr>
              <w:jc w:val="left"/>
            </w:pPr>
            <w:r>
              <w:rPr>
                <w:b w:val="false"/>
                <w:bCs w:val="false"/>
              </w:rPr>
              <w:t xml:space="preserve">~1 : 1</w:t>
            </w:r>
          </w:p>
        </w:tc>
      </w:tr>
      <w:tr>
        <w:tc>
          <w:tcPr>
            <w:tcW w:type="dxa" w:w="1600"/>
            <w:tcMar>
              <w:top w:type="dxa" w:w="80"/>
              <w:left w:type="dxa" w:w="100"/>
              <w:bottom w:type="dxa" w:w="80"/>
              <w:right w:type="dxa" w:w="100"/>
            </w:tcMar>
          </w:tcPr>
          <w:p>
            <w:pPr>
              <w:jc w:val="left"/>
            </w:pPr>
            <w:r>
              <w:rPr>
                <w:b w:val="false"/>
                <w:bCs w:val="false"/>
              </w:rPr>
              <w:t xml:space="preserve">2000</w:t>
            </w:r>
          </w:p>
        </w:tc>
        <w:tc>
          <w:tcPr>
            <w:tcW w:type="dxa" w:w="2200"/>
            <w:tcMar>
              <w:top w:type="dxa" w:w="80"/>
              <w:left w:type="dxa" w:w="100"/>
              <w:bottom w:type="dxa" w:w="80"/>
              <w:right w:type="dxa" w:w="100"/>
            </w:tcMar>
          </w:tcPr>
          <w:p>
            <w:pPr>
              <w:jc w:val="left"/>
            </w:pPr>
            <w:r>
              <w:rPr>
                <w:b w:val="false"/>
                <w:bCs w:val="false"/>
              </w:rPr>
              <w:t xml:space="preserve">2.27</w:t>
            </w:r>
          </w:p>
        </w:tc>
        <w:tc>
          <w:tcPr>
            <w:tcW w:type="dxa" w:w="2600"/>
            <w:tcMar>
              <w:top w:type="dxa" w:w="80"/>
              <w:left w:type="dxa" w:w="100"/>
              <w:bottom w:type="dxa" w:w="80"/>
              <w:right w:type="dxa" w:w="100"/>
            </w:tcMar>
          </w:tcPr>
          <w:p>
            <w:pPr>
              <w:jc w:val="left"/>
            </w:pPr>
            <w:r>
              <w:rPr>
                <w:b w:val="false"/>
                <w:bCs w:val="false"/>
              </w:rPr>
              <w:t xml:space="preserve">1.98</w:t>
            </w:r>
          </w:p>
        </w:tc>
        <w:tc>
          <w:tcPr>
            <w:tcW w:type="dxa" w:w="3680"/>
            <w:tcMar>
              <w:top w:type="dxa" w:w="80"/>
              <w:left w:type="dxa" w:w="100"/>
              <w:bottom w:type="dxa" w:w="80"/>
              <w:right w:type="dxa" w:w="100"/>
            </w:tcMar>
          </w:tcPr>
          <w:p>
            <w:pPr>
              <w:jc w:val="left"/>
            </w:pPr>
            <w:r>
              <w:rPr>
                <w:b w:val="false"/>
                <w:bCs w:val="false"/>
              </w:rPr>
              <w:t xml:space="preserve">~1 : 1</w:t>
            </w:r>
          </w:p>
        </w:tc>
      </w:tr>
    </w:tbl>
    <w:p>
      <w:pPr>
        <w:spacing w:after="160"/>
      </w:pPr>
      <w:r>
        <w:rPr>
          <w:b/>
          <w:bCs/>
        </w:rPr>
        <w:t xml:space="preserve">Revised mechanism: </w:t>
      </w:r>
      <w:r>
        <w:t xml:space="preserve">at epoch 1, the reward term outweighs even the theoretical maximum entropy bonus by ~500x — this is what drives the fast initial sharpening visible in Section 5.3 (entropy 1.66 → 0.62 → 0.12 within the first 500 epochs), and no value of β within a reasonable range can compete at this stage. By the time |rl_loss| has itself shrunk to a comparable scale (epoch ~500+), the entropy bonus should in principle matter more in relative terms — but by then the per-step distribution has already saturated (Section 8.4), so ∂H/∂z has shrunk in lockstep and cannot exploit the more favorable ratio. The two mechanisms compound: magnitude mismatch causes the initial collapse (epoch 0–500), and gradient saturation (Section 8.4) then locks it in, closing the window before the entropy term's relative weight could ever help.</w:t>
      </w:r>
    </w:p>
    <w:p>
      <w:pPr>
        <w:spacing w:after="160"/>
      </w:pPr>
      <w:r>
        <w:rPr>
          <w:b/>
          <w:bCs/>
        </w:rPr>
        <w:t xml:space="preserve">Implication: </w:t>
      </w:r>
      <w:r>
        <w:t xml:space="preserve">this strengthens the case for Section 8.6's repetition penalty over a larger entropy_coef. Unlike β·H, R^div's penalty term (λ_div · count_i) is not bounded by ln|V| — count_i can scale into the dozens for a badly-collapsed batch, giving it a chance to actually compete with the reward term's magnitude at exactly the point (early training, or whenever collapse starts recurring) where it is needed.</w:t>
      </w:r>
    </w:p>
    <w:p>
      <w:pPr>
        <w:pStyle w:val="Heading1"/>
        <w:spacing w:after="160" w:before="320"/>
      </w:pPr>
      <w:r>
        <w:t xml:space="preserve">9. Baseline (Pre-RL) Diversity Check — DONE</w:t>
      </w:r>
    </w:p>
    <w:p>
      <w:pPr>
        <w:spacing w:after="160"/>
      </w:pPr>
      <w:r>
        <w:t xml:space="preserve">Evaluates the warm-start VAE checkpoint (before any RL fine-tuning) with the same script/metrics used for v1/v2/v3, to establish whether the collapse seen in Section 5.2/5.3 originated in RL training or was already present in the underlying VAE. 500 samples/cell line, 3 cell lines, both sampling modes.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193"/>
        <w:gridCol w:w="2193"/>
        <w:gridCol w:w="2193"/>
      </w:tblGrid>
      <w:tr>
        <w:trPr>
          <w:tblHeader/>
        </w:trPr>
        <w:tc>
          <w:tcPr>
            <w:tcW w:type="dxa" w:w="1500"/>
            <w:shd w:fill="D9E2F3" w:val="clear"/>
            <w:tcMar>
              <w:top w:type="dxa" w:w="80"/>
              <w:left w:type="dxa" w:w="100"/>
              <w:bottom w:type="dxa" w:w="80"/>
              <w:right w:type="dxa" w:w="100"/>
            </w:tcMar>
          </w:tcPr>
          <w:p>
            <w:pPr>
              <w:jc w:val="left"/>
            </w:pPr>
            <w:r>
              <w:rPr>
                <w:b/>
                <w:bCs/>
              </w:rPr>
              <w:t xml:space="preserve">Mode</w:t>
            </w:r>
          </w:p>
        </w:tc>
        <w:tc>
          <w:tcPr>
            <w:tcW w:type="dxa" w:w="2000"/>
            <w:shd w:fill="D9E2F3" w:val="clear"/>
            <w:tcMar>
              <w:top w:type="dxa" w:w="80"/>
              <w:left w:type="dxa" w:w="100"/>
              <w:bottom w:type="dxa" w:w="80"/>
              <w:right w:type="dxa" w:w="100"/>
            </w:tcMar>
          </w:tcPr>
          <w:p>
            <w:pPr>
              <w:jc w:val="left"/>
            </w:pPr>
            <w:r>
              <w:rPr>
                <w:b/>
                <w:bCs/>
              </w:rPr>
              <w:t xml:space="preserve">Metric</w:t>
            </w:r>
          </w:p>
        </w:tc>
        <w:tc>
          <w:tcPr>
            <w:tcW w:type="dxa" w:w="2193"/>
            <w:shd w:fill="D9E2F3" w:val="clear"/>
            <w:tcMar>
              <w:top w:type="dxa" w:w="80"/>
              <w:left w:type="dxa" w:w="100"/>
              <w:bottom w:type="dxa" w:w="80"/>
              <w:right w:type="dxa" w:w="100"/>
            </w:tcMar>
          </w:tcPr>
          <w:p>
            <w:pPr>
              <w:jc w:val="left"/>
            </w:pPr>
            <w:r>
              <w:rPr>
                <w:b/>
                <w:bCs/>
              </w:rPr>
              <w:t xml:space="preserve">Pre-RL baseline</w:t>
            </w:r>
          </w:p>
        </w:tc>
        <w:tc>
          <w:tcPr>
            <w:tcW w:type="dxa" w:w="2193"/>
            <w:shd w:fill="D9E2F3" w:val="clear"/>
            <w:tcMar>
              <w:top w:type="dxa" w:w="80"/>
              <w:left w:type="dxa" w:w="100"/>
              <w:bottom w:type="dxa" w:w="80"/>
              <w:right w:type="dxa" w:w="100"/>
            </w:tcMar>
          </w:tcPr>
          <w:p>
            <w:pPr>
              <w:jc w:val="left"/>
            </w:pPr>
            <w:r>
              <w:rPr>
                <w:b/>
                <w:bCs/>
              </w:rPr>
              <w:t xml:space="preserve">v1 (post-RL)</w:t>
            </w:r>
          </w:p>
        </w:tc>
        <w:tc>
          <w:tcPr>
            <w:tcW w:type="dxa" w:w="2193"/>
            <w:shd w:fill="D9E2F3" w:val="clear"/>
            <w:tcMar>
              <w:top w:type="dxa" w:w="80"/>
              <w:left w:type="dxa" w:w="100"/>
              <w:bottom w:type="dxa" w:w="80"/>
              <w:right w:type="dxa" w:w="100"/>
            </w:tcMar>
          </w:tcPr>
          <w:p>
            <w:pPr>
              <w:jc w:val="left"/>
            </w:pPr>
            <w:r>
              <w:rPr>
                <w:b/>
                <w:bCs/>
              </w:rPr>
              <w:t xml:space="preserve">v2 (post-RL)</w:t>
            </w:r>
          </w:p>
        </w:tc>
      </w:tr>
      <w:tr>
        <w:tc>
          <w:tcPr>
            <w:tcW w:type="dxa" w:w="1500"/>
            <w:tcMar>
              <w:top w:type="dxa" w:w="80"/>
              <w:left w:type="dxa" w:w="100"/>
              <w:bottom w:type="dxa" w:w="80"/>
              <w:right w:type="dxa" w:w="100"/>
            </w:tcMar>
          </w:tcPr>
          <w:p>
            <w:pPr>
              <w:jc w:val="left"/>
            </w:pPr>
            <w:r>
              <w:rPr>
                <w:b w:val="false"/>
                <w:bCs w:val="false"/>
              </w:rPr>
              <w:t xml:space="preserve">prior</w:t>
            </w:r>
          </w:p>
        </w:tc>
        <w:tc>
          <w:tcPr>
            <w:tcW w:type="dxa" w:w="2000"/>
            <w:tcMar>
              <w:top w:type="dxa" w:w="80"/>
              <w:left w:type="dxa" w:w="100"/>
              <w:bottom w:type="dxa" w:w="80"/>
              <w:right w:type="dxa" w:w="100"/>
            </w:tcMar>
          </w:tcPr>
          <w:p>
            <w:pPr>
              <w:jc w:val="left"/>
            </w:pPr>
            <w:r>
              <w:rPr>
                <w:b w:val="false"/>
                <w:bCs w:val="false"/>
              </w:rPr>
              <w:t xml:space="preserve">Reward-model score</w:t>
            </w:r>
          </w:p>
        </w:tc>
        <w:tc>
          <w:tcPr>
            <w:tcW w:type="dxa" w:w="2193"/>
            <w:tcMar>
              <w:top w:type="dxa" w:w="80"/>
              <w:left w:type="dxa" w:w="100"/>
              <w:bottom w:type="dxa" w:w="80"/>
              <w:right w:type="dxa" w:w="100"/>
            </w:tcMar>
          </w:tcPr>
          <w:p>
            <w:pPr>
              <w:jc w:val="left"/>
            </w:pPr>
            <w:r>
              <w:rPr>
                <w:b w:val="false"/>
                <w:bCs w:val="false"/>
              </w:rPr>
              <w:t xml:space="preserve">-3.30 ~ -4.68</w:t>
            </w:r>
          </w:p>
        </w:tc>
        <w:tc>
          <w:tcPr>
            <w:tcW w:type="dxa" w:w="2193"/>
            <w:tcMar>
              <w:top w:type="dxa" w:w="80"/>
              <w:left w:type="dxa" w:w="100"/>
              <w:bottom w:type="dxa" w:w="80"/>
              <w:right w:type="dxa" w:w="100"/>
            </w:tcMar>
          </w:tcPr>
          <w:p>
            <w:pPr>
              <w:jc w:val="left"/>
            </w:pPr>
            <w:r>
              <w:rPr>
                <w:b w:val="false"/>
                <w:bCs w:val="false"/>
              </w:rPr>
              <w:t xml:space="preserve">-3.71 ~ -4.31</w:t>
            </w:r>
          </w:p>
        </w:tc>
        <w:tc>
          <w:tcPr>
            <w:tcW w:type="dxa" w:w="2193"/>
            <w:tcMar>
              <w:top w:type="dxa" w:w="80"/>
              <w:left w:type="dxa" w:w="100"/>
              <w:bottom w:type="dxa" w:w="80"/>
              <w:right w:type="dxa" w:w="100"/>
            </w:tcMar>
          </w:tcPr>
          <w:p>
            <w:pPr>
              <w:jc w:val="left"/>
            </w:pPr>
            <w:r>
              <w:rPr>
                <w:b w:val="false"/>
                <w:bCs w:val="false"/>
              </w:rPr>
              <w:t xml:space="preserve">-3.47 ~ -3.55</w:t>
            </w:r>
          </w:p>
        </w:tc>
      </w:tr>
      <w:tr>
        <w:tc>
          <w:tcPr>
            <w:tcW w:type="dxa" w:w="1500"/>
            <w:tcMar>
              <w:top w:type="dxa" w:w="80"/>
              <w:left w:type="dxa" w:w="100"/>
              <w:bottom w:type="dxa" w:w="80"/>
              <w:right w:type="dxa" w:w="100"/>
            </w:tcMar>
          </w:tcPr>
          <w:p>
            <w:pPr>
              <w:jc w:val="left"/>
            </w:pPr>
            <w:r>
              <w:rPr>
                <w:b w:val="false"/>
                <w:bCs w:val="false"/>
              </w:rPr>
              <w:t xml:space="preserve"/>
            </w:r>
          </w:p>
        </w:tc>
        <w:tc>
          <w:tcPr>
            <w:tcW w:type="dxa" w:w="2000"/>
            <w:tcMar>
              <w:top w:type="dxa" w:w="80"/>
              <w:left w:type="dxa" w:w="100"/>
              <w:bottom w:type="dxa" w:w="80"/>
              <w:right w:type="dxa" w:w="100"/>
            </w:tcMar>
          </w:tcPr>
          <w:p>
            <w:pPr>
              <w:jc w:val="left"/>
            </w:pPr>
            <w:r>
              <w:rPr>
                <w:b w:val="false"/>
                <w:bCs w:val="false"/>
              </w:rPr>
              <w:t xml:space="preserve">Validity</w:t>
            </w:r>
          </w:p>
        </w:tc>
        <w:tc>
          <w:tcPr>
            <w:tcW w:type="dxa" w:w="2193"/>
            <w:tcMar>
              <w:top w:type="dxa" w:w="80"/>
              <w:left w:type="dxa" w:w="100"/>
              <w:bottom w:type="dxa" w:w="80"/>
              <w:right w:type="dxa" w:w="100"/>
            </w:tcMar>
          </w:tcPr>
          <w:p>
            <w:pPr>
              <w:jc w:val="left"/>
            </w:pPr>
            <w:r>
              <w:rPr>
                <w:b w:val="false"/>
                <w:bCs w:val="false"/>
              </w:rPr>
              <w:t xml:space="preserve">12.8 – 13.8%</w:t>
            </w:r>
          </w:p>
        </w:tc>
        <w:tc>
          <w:tcPr>
            <w:tcW w:type="dxa" w:w="2193"/>
            <w:tcMar>
              <w:top w:type="dxa" w:w="80"/>
              <w:left w:type="dxa" w:w="100"/>
              <w:bottom w:type="dxa" w:w="80"/>
              <w:right w:type="dxa" w:w="100"/>
            </w:tcMar>
          </w:tcPr>
          <w:p>
            <w:pPr>
              <w:jc w:val="left"/>
            </w:pPr>
            <w:r>
              <w:rPr>
                <w:b w:val="false"/>
                <w:bCs w:val="false"/>
              </w:rPr>
              <w:t xml:space="preserve">48.8 – 57.2%</w:t>
            </w:r>
          </w:p>
        </w:tc>
        <w:tc>
          <w:tcPr>
            <w:tcW w:type="dxa" w:w="2193"/>
            <w:tcMar>
              <w:top w:type="dxa" w:w="80"/>
              <w:left w:type="dxa" w:w="100"/>
              <w:bottom w:type="dxa" w:w="80"/>
              <w:right w:type="dxa" w:w="100"/>
            </w:tcMar>
          </w:tcPr>
          <w:p>
            <w:pPr>
              <w:jc w:val="left"/>
            </w:pPr>
            <w:r>
              <w:rPr>
                <w:b w:val="false"/>
                <w:bCs w:val="false"/>
              </w:rPr>
              <w:t xml:space="preserve">58.8 – 65.4%</w:t>
            </w:r>
          </w:p>
        </w:tc>
      </w:tr>
      <w:tr>
        <w:tc>
          <w:tcPr>
            <w:tcW w:type="dxa" w:w="1500"/>
            <w:tcMar>
              <w:top w:type="dxa" w:w="80"/>
              <w:left w:type="dxa" w:w="100"/>
              <w:bottom w:type="dxa" w:w="80"/>
              <w:right w:type="dxa" w:w="100"/>
            </w:tcMar>
          </w:tcPr>
          <w:p>
            <w:pPr>
              <w:jc w:val="left"/>
            </w:pPr>
            <w:r>
              <w:rPr>
                <w:b w:val="false"/>
                <w:bCs w:val="false"/>
              </w:rPr>
              <w:t xml:space="preserve"/>
            </w:r>
          </w:p>
        </w:tc>
        <w:tc>
          <w:tcPr>
            <w:tcW w:type="dxa" w:w="2000"/>
            <w:tcMar>
              <w:top w:type="dxa" w:w="80"/>
              <w:left w:type="dxa" w:w="100"/>
              <w:bottom w:type="dxa" w:w="80"/>
              <w:right w:type="dxa" w:w="100"/>
            </w:tcMar>
          </w:tcPr>
          <w:p>
            <w:pPr>
              <w:jc w:val="left"/>
            </w:pPr>
            <w:r>
              <w:rPr>
                <w:b w:val="false"/>
                <w:bCs w:val="false"/>
              </w:rPr>
              <w:t xml:space="preserve">Uniqueness</w:t>
            </w:r>
          </w:p>
        </w:tc>
        <w:tc>
          <w:tcPr>
            <w:tcW w:type="dxa" w:w="2193"/>
            <w:tcMar>
              <w:top w:type="dxa" w:w="80"/>
              <w:left w:type="dxa" w:w="100"/>
              <w:bottom w:type="dxa" w:w="80"/>
              <w:right w:type="dxa" w:w="100"/>
            </w:tcMar>
          </w:tcPr>
          <w:p>
            <w:pPr>
              <w:jc w:val="left"/>
            </w:pPr>
            <w:r>
              <w:rPr>
                <w:b w:val="false"/>
                <w:bCs w:val="false"/>
              </w:rPr>
              <w:t xml:space="preserve">27.7 – 34.8%</w:t>
            </w:r>
          </w:p>
        </w:tc>
        <w:tc>
          <w:tcPr>
            <w:tcW w:type="dxa" w:w="2193"/>
            <w:tcMar>
              <w:top w:type="dxa" w:w="80"/>
              <w:left w:type="dxa" w:w="100"/>
              <w:bottom w:type="dxa" w:w="80"/>
              <w:right w:type="dxa" w:w="100"/>
            </w:tcMar>
          </w:tcPr>
          <w:p>
            <w:pPr>
              <w:jc w:val="left"/>
            </w:pPr>
            <w:r>
              <w:rPr>
                <w:b w:val="false"/>
                <w:bCs w:val="false"/>
              </w:rPr>
              <w:t xml:space="preserve">37.8 – 38.9%</w:t>
            </w:r>
          </w:p>
        </w:tc>
        <w:tc>
          <w:tcPr>
            <w:tcW w:type="dxa" w:w="2193"/>
            <w:tcMar>
              <w:top w:type="dxa" w:w="80"/>
              <w:left w:type="dxa" w:w="100"/>
              <w:bottom w:type="dxa" w:w="80"/>
              <w:right w:type="dxa" w:w="100"/>
            </w:tcMar>
          </w:tcPr>
          <w:p>
            <w:pPr>
              <w:jc w:val="left"/>
            </w:pPr>
            <w:r>
              <w:rPr>
                <w:b w:val="false"/>
                <w:bCs w:val="false"/>
              </w:rPr>
              <w:t xml:space="preserve">24.2 – 27.2%</w:t>
            </w:r>
          </w:p>
        </w:tc>
      </w:tr>
      <w:tr>
        <w:tc>
          <w:tcPr>
            <w:tcW w:type="dxa" w:w="1500"/>
            <w:tcMar>
              <w:top w:type="dxa" w:w="80"/>
              <w:left w:type="dxa" w:w="100"/>
              <w:bottom w:type="dxa" w:w="80"/>
              <w:right w:type="dxa" w:w="100"/>
            </w:tcMar>
          </w:tcPr>
          <w:p>
            <w:pPr>
              <w:jc w:val="left"/>
            </w:pPr>
            <w:r>
              <w:rPr>
                <w:b w:val="false"/>
                <w:bCs w:val="false"/>
              </w:rPr>
              <w:t xml:space="preserve">posterior</w:t>
            </w:r>
          </w:p>
        </w:tc>
        <w:tc>
          <w:tcPr>
            <w:tcW w:type="dxa" w:w="2000"/>
            <w:tcMar>
              <w:top w:type="dxa" w:w="80"/>
              <w:left w:type="dxa" w:w="100"/>
              <w:bottom w:type="dxa" w:w="80"/>
              <w:right w:type="dxa" w:w="100"/>
            </w:tcMar>
          </w:tcPr>
          <w:p>
            <w:pPr>
              <w:jc w:val="left"/>
            </w:pPr>
            <w:r>
              <w:rPr>
                <w:b w:val="false"/>
                <w:bCs w:val="false"/>
              </w:rPr>
              <w:t xml:space="preserve">Reward-model score</w:t>
            </w:r>
          </w:p>
        </w:tc>
        <w:tc>
          <w:tcPr>
            <w:tcW w:type="dxa" w:w="2193"/>
            <w:tcMar>
              <w:top w:type="dxa" w:w="80"/>
              <w:left w:type="dxa" w:w="100"/>
              <w:bottom w:type="dxa" w:w="80"/>
              <w:right w:type="dxa" w:w="100"/>
            </w:tcMar>
          </w:tcPr>
          <w:p>
            <w:pPr>
              <w:jc w:val="left"/>
            </w:pPr>
            <w:r>
              <w:rPr>
                <w:b w:val="false"/>
                <w:bCs w:val="false"/>
              </w:rPr>
              <w:t xml:space="preserve">-3.54 ~ -4.51</w:t>
            </w:r>
          </w:p>
        </w:tc>
        <w:tc>
          <w:tcPr>
            <w:tcW w:type="dxa" w:w="2193"/>
            <w:tcMar>
              <w:top w:type="dxa" w:w="80"/>
              <w:left w:type="dxa" w:w="100"/>
              <w:bottom w:type="dxa" w:w="80"/>
              <w:right w:type="dxa" w:w="100"/>
            </w:tcMar>
          </w:tcPr>
          <w:p>
            <w:pPr>
              <w:jc w:val="left"/>
            </w:pPr>
            <w:r>
              <w:rPr>
                <w:b w:val="false"/>
                <w:bCs w:val="false"/>
              </w:rPr>
              <w:t xml:space="preserve">-3.70 ~ -3.90</w:t>
            </w:r>
          </w:p>
        </w:tc>
        <w:tc>
          <w:tcPr>
            <w:tcW w:type="dxa" w:w="2193"/>
            <w:tcMar>
              <w:top w:type="dxa" w:w="80"/>
              <w:left w:type="dxa" w:w="100"/>
              <w:bottom w:type="dxa" w:w="80"/>
              <w:right w:type="dxa" w:w="100"/>
            </w:tcMar>
          </w:tcPr>
          <w:p>
            <w:pPr>
              <w:jc w:val="left"/>
            </w:pPr>
            <w:r>
              <w:rPr>
                <w:b w:val="false"/>
                <w:bCs w:val="false"/>
              </w:rPr>
              <w:t xml:space="preserve">-3.14 ~ -3.24</w:t>
            </w:r>
          </w:p>
        </w:tc>
      </w:tr>
      <w:tr>
        <w:tc>
          <w:tcPr>
            <w:tcW w:type="dxa" w:w="1500"/>
            <w:tcMar>
              <w:top w:type="dxa" w:w="80"/>
              <w:left w:type="dxa" w:w="100"/>
              <w:bottom w:type="dxa" w:w="80"/>
              <w:right w:type="dxa" w:w="100"/>
            </w:tcMar>
          </w:tcPr>
          <w:p>
            <w:pPr>
              <w:jc w:val="left"/>
            </w:pPr>
            <w:r>
              <w:rPr>
                <w:b w:val="false"/>
                <w:bCs w:val="false"/>
              </w:rPr>
              <w:t xml:space="preserve"/>
            </w:r>
          </w:p>
        </w:tc>
        <w:tc>
          <w:tcPr>
            <w:tcW w:type="dxa" w:w="2000"/>
            <w:tcMar>
              <w:top w:type="dxa" w:w="80"/>
              <w:left w:type="dxa" w:w="100"/>
              <w:bottom w:type="dxa" w:w="80"/>
              <w:right w:type="dxa" w:w="100"/>
            </w:tcMar>
          </w:tcPr>
          <w:p>
            <w:pPr>
              <w:jc w:val="left"/>
            </w:pPr>
            <w:r>
              <w:rPr>
                <w:b w:val="false"/>
                <w:bCs w:val="false"/>
              </w:rPr>
              <w:t xml:space="preserve">Validity</w:t>
            </w:r>
          </w:p>
        </w:tc>
        <w:tc>
          <w:tcPr>
            <w:tcW w:type="dxa" w:w="2193"/>
            <w:tcMar>
              <w:top w:type="dxa" w:w="80"/>
              <w:left w:type="dxa" w:w="100"/>
              <w:bottom w:type="dxa" w:w="80"/>
              <w:right w:type="dxa" w:w="100"/>
            </w:tcMar>
          </w:tcPr>
          <w:p>
            <w:pPr>
              <w:jc w:val="left"/>
            </w:pPr>
            <w:r>
              <w:rPr>
                <w:b w:val="false"/>
                <w:bCs w:val="false"/>
              </w:rPr>
              <w:t xml:space="preserve">7.2 – 10.4%</w:t>
            </w:r>
          </w:p>
        </w:tc>
        <w:tc>
          <w:tcPr>
            <w:tcW w:type="dxa" w:w="2193"/>
            <w:tcMar>
              <w:top w:type="dxa" w:w="80"/>
              <w:left w:type="dxa" w:w="100"/>
              <w:bottom w:type="dxa" w:w="80"/>
              <w:right w:type="dxa" w:w="100"/>
            </w:tcMar>
          </w:tcPr>
          <w:p>
            <w:pPr>
              <w:jc w:val="left"/>
            </w:pPr>
            <w:r>
              <w:rPr>
                <w:b w:val="false"/>
                <w:bCs w:val="false"/>
              </w:rPr>
              <w:t xml:space="preserve">97.8 – 100%</w:t>
            </w:r>
          </w:p>
        </w:tc>
        <w:tc>
          <w:tcPr>
            <w:tcW w:type="dxa" w:w="2193"/>
            <w:tcMar>
              <w:top w:type="dxa" w:w="80"/>
              <w:left w:type="dxa" w:w="100"/>
              <w:bottom w:type="dxa" w:w="80"/>
              <w:right w:type="dxa" w:w="100"/>
            </w:tcMar>
          </w:tcPr>
          <w:p>
            <w:pPr>
              <w:jc w:val="left"/>
            </w:pPr>
            <w:r>
              <w:rPr>
                <w:b w:val="false"/>
                <w:bCs w:val="false"/>
              </w:rPr>
              <w:t xml:space="preserve">97.0 – 98.4%</w:t>
            </w:r>
          </w:p>
        </w:tc>
      </w:tr>
      <w:tr>
        <w:tc>
          <w:tcPr>
            <w:tcW w:type="dxa" w:w="1500"/>
            <w:tcMar>
              <w:top w:type="dxa" w:w="80"/>
              <w:left w:type="dxa" w:w="100"/>
              <w:bottom w:type="dxa" w:w="80"/>
              <w:right w:type="dxa" w:w="100"/>
            </w:tcMar>
          </w:tcPr>
          <w:p>
            <w:pPr>
              <w:jc w:val="left"/>
            </w:pPr>
            <w:r>
              <w:rPr>
                <w:b w:val="false"/>
                <w:bCs w:val="false"/>
              </w:rPr>
              <w:t xml:space="preserve"/>
            </w:r>
          </w:p>
        </w:tc>
        <w:tc>
          <w:tcPr>
            <w:tcW w:type="dxa" w:w="2000"/>
            <w:tcMar>
              <w:top w:type="dxa" w:w="80"/>
              <w:left w:type="dxa" w:w="100"/>
              <w:bottom w:type="dxa" w:w="80"/>
              <w:right w:type="dxa" w:w="100"/>
            </w:tcMar>
          </w:tcPr>
          <w:p>
            <w:pPr>
              <w:jc w:val="left"/>
            </w:pPr>
            <w:r>
              <w:rPr>
                <w:b w:val="false"/>
                <w:bCs w:val="false"/>
              </w:rPr>
              <w:t xml:space="preserve">Uniqueness</w:t>
            </w:r>
          </w:p>
        </w:tc>
        <w:tc>
          <w:tcPr>
            <w:tcW w:type="dxa" w:w="2193"/>
            <w:tcMar>
              <w:top w:type="dxa" w:w="80"/>
              <w:left w:type="dxa" w:w="100"/>
              <w:bottom w:type="dxa" w:w="80"/>
              <w:right w:type="dxa" w:w="100"/>
            </w:tcMar>
          </w:tcPr>
          <w:p>
            <w:pPr>
              <w:jc w:val="left"/>
            </w:pPr>
            <w:r>
              <w:rPr>
                <w:b w:val="false"/>
                <w:bCs w:val="false"/>
              </w:rPr>
              <w:t xml:space="preserve">45.8 – 53.9%</w:t>
            </w:r>
          </w:p>
        </w:tc>
        <w:tc>
          <w:tcPr>
            <w:tcW w:type="dxa" w:w="2193"/>
            <w:tcMar>
              <w:top w:type="dxa" w:w="80"/>
              <w:left w:type="dxa" w:w="100"/>
              <w:bottom w:type="dxa" w:w="80"/>
              <w:right w:type="dxa" w:w="100"/>
            </w:tcMar>
          </w:tcPr>
          <w:p>
            <w:pPr>
              <w:jc w:val="left"/>
            </w:pPr>
            <w:r>
              <w:rPr>
                <w:b w:val="false"/>
                <w:bCs w:val="false"/>
              </w:rPr>
              <w:t xml:space="preserve">6.3 – 7.8%</w:t>
            </w:r>
          </w:p>
        </w:tc>
        <w:tc>
          <w:tcPr>
            <w:tcW w:type="dxa" w:w="2193"/>
            <w:tcMar>
              <w:top w:type="dxa" w:w="80"/>
              <w:left w:type="dxa" w:w="100"/>
              <w:bottom w:type="dxa" w:w="80"/>
              <w:right w:type="dxa" w:w="100"/>
            </w:tcMar>
          </w:tcPr>
          <w:p>
            <w:pPr>
              <w:jc w:val="left"/>
            </w:pPr>
            <w:r>
              <w:rPr>
                <w:b w:val="false"/>
                <w:bCs w:val="false"/>
              </w:rPr>
              <w:t xml:space="preserve">5.1 – 7.0%</w:t>
            </w:r>
          </w:p>
        </w:tc>
      </w:tr>
    </w:tbl>
    <w:p>
      <w:pPr>
        <w:spacing w:after="160"/>
      </w:pPr>
      <w:r>
        <w:rPr>
          <w:b/>
          <w:bCs/>
        </w:rPr>
        <w:t xml:space="preserve">Confirms the causal direction directly: </w:t>
      </w:r>
      <w:r>
        <w:t xml:space="preserve">the collapse is caused by RL fine-tuning, not inherent to the VAE. Before any RL, posterior-mode uniqueness is 45.8–53.9% — the encoder was already producing meaningfully diverse output per distinct seed molecule. After RL (v1/v2), it drops to 6.3–7.8%, a roughly 7–8x collapse. The trade for this collapse is validity: pre-RL posterior validity is only 7.2–10.4%, vs. 97–100% post-RL — RL clearly did teach the policy to reliably avoid invalid_penalty, just overwhelmingly at the expense of the diversity that was already there.</w:t>
      </w:r>
    </w:p>
    <w:p>
      <w:pPr>
        <w:spacing w:after="160"/>
      </w:pPr>
      <w:r>
        <w:t xml:space="preserve">Prior-mode uniqueness moved much less (27.7–34.8% pre-RL vs. 37.8–38.9% for v1 / 24.2–27.2% for v2) — consistent with Section 6's finding that the collapse is concentrated in the encoder-seeded (posterior) path specifically, where RL has the most leverage to make the decoder ignore the conditioning signal.</w:t>
      </w:r>
    </w:p>
    <w:p>
      <w:pPr>
        <w:spacing w:after="160"/>
      </w:pPr>
      <w:r>
        <w:rPr>
          <w:b/>
          <w:bCs/>
        </w:rPr>
        <w:t xml:space="preserve">Still pending: </w:t>
      </w:r>
      <w:r>
        <w:t xml:space="preserve">the top-repeated-molecule diagnostic added to new_rl_eval_independent.py has still not appeared in any eval output (v1 and v2 were both re-run and reproduced identical numbers to before, with no diagnostic section) — the updated script has not yet been synced to Vista. This needs to happen before Section 10's re-eval step will show anything new.</w:t>
      </w:r>
    </w:p>
    <w:p>
      <w:pPr>
        <w:pStyle w:val="Heading1"/>
        <w:spacing w:after="160" w:before="320"/>
      </w:pPr>
      <w:r>
        <w:t xml:space="preserve">10. Recommended Next Steps — status and handoff to report_V2.docx</w:t>
      </w:r>
    </w:p>
    <w:p>
      <w:pPr>
        <w:pStyle w:val="ListParagraph"/>
        <w:numPr>
          <w:ilvl w:val="0"/>
          <w:numId w:val="2"/>
        </w:numPr>
        <w:spacing w:after="80"/>
      </w:pPr>
      <w:r>
        <w:t xml:space="preserve">DONE — Implement the Section 8.6 batch-level repetition penalty and run v4 with it. Result: 4-5x uniqueness gain over v1/v2/v3 at v2-level reward/validity (Section 5.2/5.4/5.5).</w:t>
      </w:r>
    </w:p>
    <w:p>
      <w:pPr>
        <w:pStyle w:val="ListParagraph"/>
        <w:numPr>
          <w:ilvl w:val="0"/>
          <w:numId w:val="2"/>
        </w:numPr>
        <w:spacing w:after="80"/>
      </w:pPr>
      <w:r>
        <w:t xml:space="preserve">DONE — Sync the updated new_rl_eval_independent.py (top-repeated-molecule diagnostic) to Vista and re-run eval. Result: revealed the scaffold-level repetition pattern in Section 5.6.</w:t>
      </w:r>
    </w:p>
    <w:p>
      <w:pPr>
        <w:pStyle w:val="ListParagraph"/>
        <w:numPr>
          <w:ilvl w:val="0"/>
          <w:numId w:val="2"/>
        </w:numPr>
        <w:spacing w:after="80"/>
      </w:pPr>
      <w:r>
        <w:t xml:space="preserve">DONE — Broader coverage check (15 of 51 cell lines, up from 3). Result: Section 5.5 confirms the 3-cell-line numbers were representative, not a fluke.</w:t>
      </w:r>
    </w:p>
    <w:p>
      <w:pPr>
        <w:pStyle w:val="ListParagraph"/>
        <w:numPr>
          <w:ilvl w:val="0"/>
          <w:numId w:val="2"/>
        </w:numPr>
        <w:spacing w:after="80"/>
      </w:pPr>
      <w:r>
        <w:t xml:space="preserve">NOT DONE — per-epoch uniqueness logging existed for v4 (batch_uniqueness column) but was not used to pinpoint exactly when in training the scaffold family first dominates; would help distinguish "always was like this" from "emerged partway through."</w:t>
      </w:r>
    </w:p>
    <w:p>
      <w:pPr>
        <w:spacing w:after="160"/>
      </w:pPr>
      <w:r>
        <w:rPr>
          <w:b/>
          <w:bCs/>
        </w:rPr>
        <w:t xml:space="preserve">This report (V1) is now closed out at the v4 checkpoint. </w:t>
      </w:r>
      <w:r>
        <w:t xml:space="preserve">Planned next experiment (v5) — a Tanimoto-similarity-threshold repetition penalty (replacing the exact-string-match version) to close the Section 5.6 scaffold loophole, plus "cold" (least-recently-drawn) compound sampling to improve coverage of the very large per-cell-line pools (up to 43,061 compounds for one cell line — see report_V2.docx for the corrected data-scale analysis), and a much longer training run (8,000–12,000 epochs, up from 2,000) — is documented and tracked in report_V2.docx going forward.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2026-07-31T01:21:18.208Z</dcterms:created>
  <dcterms:modified xsi:type="dcterms:W3CDTF">2026-07-31T01:21:18.208Z</dcterms:modified>
</cp:coreProperties>
</file>

<file path=docProps/custom.xml><?xml version="1.0" encoding="utf-8"?>
<Properties xmlns="http://schemas.openxmlformats.org/officeDocument/2006/custom-properties" xmlns:vt="http://schemas.openxmlformats.org/officeDocument/2006/docPropsVTypes"/>
</file>