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DL4DR Compound Generator — RL Fine-Tuning</w:t>
      </w:r>
    </w:p>
    <w:p>
      <w:pPr>
        <w:spacing w:after="60"/>
      </w:pPr>
      <w:r>
        <w:rPr>
          <w:b/>
          <w:bCs/>
          <w:sz w:val="28"/>
          <w:szCs w:val="28"/>
        </w:rPr>
        <w:t xml:space="preserve">Part 2: v5 — Fixing the v4 Scaffold-Repetition Loophole</w:t>
      </w:r>
    </w:p>
    <w:p>
      <w:pPr>
        <w:spacing w:after="320"/>
      </w:pPr>
      <w:r>
        <w:rPr>
          <w:i/>
          <w:iCs/>
          <w:color w:val="666666"/>
        </w:rPr>
        <w:t xml:space="preserve">Draft v0 — 2026-07-30</w:t>
      </w:r>
    </w:p>
    <w:p>
      <w:pPr>
        <w:pStyle w:val="Heading1"/>
        <w:spacing w:after="160" w:before="320"/>
      </w:pPr>
      <w:r>
        <w:t xml:space="preserve">1. Continuity from report_V1.docx</w:t>
      </w:r>
    </w:p>
    <w:p>
      <w:pPr>
        <w:spacing w:after="160"/>
      </w:pPr>
      <w:r>
        <w:t xml:space="preserve">report_V1.docx covers v1-v4 of this investigation: REINFORCE fine-tuning of a SMILES VAE compound generator against the frozen DL4DR predictor, hunting for reward hacking. Summary of where it left off: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v1-v3: tuning entropy_coef/invalid_penalty alone never fixed a severe mode collapse (posterior-mode uniqueness stuck at 5-8%), and raising entropy_coef 50x made no difference — traced to a magnitude mismatch (entropy bonus capped at entropy_coef·ln|vocab| ≈ 2, vs. an RL loss term in the hundreds).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v4 added a batch-level repetition penalty (reward -= lambda_div · (count-1) for exact canonical-SMILES duplicates within a batch). Result: posterior uniqueness rose 4-5x (to ~29%) at v2-level reward/validity — real progress, confirmed across 15 cell lines.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BUT: v4's Collapse-check diagnostic found the fix has a loophole. Because the penalty only matches exact strings, the policy learned to enumerate chain-length/branching variants of one simple scaffold (CCCOC(O)OC, CCCCOC(O)OC, COC(O)OCCO, ...) — each a technically distinct string, so none penalized relative to the others, despite being chemically near-identical. Present in the top-2 repeats of ALL 15 cell lines tested.</w:t>
      </w:r>
    </w:p>
    <w:p>
      <w:pPr>
        <w:spacing w:after="160"/>
      </w:pPr>
      <w:r>
        <w:t xml:space="preserve">This report covers v5, which targets that loophole directly, plus a data-coverage improvement the user raised (Section 2).</w:t>
      </w:r>
    </w:p>
    <w:p>
      <w:pPr>
        <w:pStyle w:val="Heading1"/>
        <w:spacing w:after="160" w:before="320"/>
      </w:pPr>
      <w:r>
        <w:t xml:space="preserve">2. Corrected Data-Scale Analysis</w:t>
      </w:r>
    </w:p>
    <w:p>
      <w:pPr>
        <w:spacing w:after="160"/>
      </w:pPr>
      <w:r>
        <w:t xml:space="preserve">An earlier back-of-envelope estimate (51 cell lines × ~50 compounds ≈ 2,550 total (cell line, compound) pairs) was checked against the actual training data and found significantly off: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40"/>
        <w:gridCol w:w="3740"/>
      </w:tblGrid>
      <w:tr>
        <w:trPr>
          <w:tblHeader/>
        </w:trPr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type="dxa" w:w="37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Earlier estimate</w:t>
            </w:r>
          </w:p>
        </w:tc>
        <w:tc>
          <w:tcPr>
            <w:tcW w:type="dxa" w:w="37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Actual (BREAST-136344-56786-51.txt)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Total records</w:t>
            </w:r>
          </w:p>
        </w:tc>
        <w:tc>
          <w:tcPr>
            <w:tcW w:type="dxa" w:w="37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≈2,550</w:t>
            </w:r>
          </w:p>
        </w:tc>
        <w:tc>
          <w:tcPr>
            <w:tcW w:type="dxa" w:w="37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136,344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Compounds / cell line</w:t>
            </w:r>
          </w:p>
        </w:tc>
        <w:tc>
          <w:tcPr>
            <w:tcW w:type="dxa" w:w="37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≈50 (assumed uniform)</w:t>
            </w:r>
          </w:p>
        </w:tc>
        <w:tc>
          <w:tcPr>
            <w:tcW w:type="dxa" w:w="37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min 21, max 43,061, mean ≈2,673 (highly skewed)</w:t>
            </w:r>
          </w:p>
        </w:tc>
      </w:tr>
    </w:tbl>
    <w:p>
      <w:pPr>
        <w:spacing w:after="160"/>
      </w:pPr>
      <w:r>
        <w:rPr>
          <w:b/>
          <w:bCs/>
        </w:rPr>
        <w:t xml:space="preserve">Implication: </w:t>
      </w:r>
      <w:r>
        <w:t xml:space="preserve">"full coverage" of every (cell line, compound) pair is not achievable at any practical epoch count — even 12,000 epochs (≈235 visits/cell line × 64 draws/visit ≈ 15,040 max distinct draws) would only reach ~35% of the largest single pool (ACH-000019, 43,061 compounds), assuming zero redundant draws. The realistic goal for v5 is meaningfully better coverage, not complete coverage — addressed by raising epochs (2,000 → 10,000) and cold sampling (Section 4), not by either change alone.</w:t>
      </w:r>
    </w:p>
    <w:p>
      <w:pPr>
        <w:spacing w:after="160"/>
      </w:pPr>
      <w:r>
        <w:rPr>
          <w:i/>
          <w:iCs/>
          <w:color w:val="666666"/>
        </w:rPr>
        <w:t xml:space="preserve">Cell-line-level rotation (epoch % 51) already visits every cell line equally regardless of its pool size, in v1-v4 as well as v5 — the imbalance problem is specifically about which compounds get sampled WITHIN a cell line's pool, not which cell lines get trained on.</w:t>
      </w:r>
    </w:p>
    <w:p>
      <w:pPr>
        <w:pStyle w:val="Heading1"/>
        <w:spacing w:after="160" w:before="320"/>
      </w:pPr>
      <w:r>
        <w:t xml:space="preserve">3. v5 Change 1: Tanimoto-Threshold Repetition Penalty</w:t>
      </w:r>
    </w:p>
    <w:p>
      <w:pPr>
        <w:spacing w:after="160"/>
      </w:pPr>
      <w:r>
        <w:t xml:space="preserve">Replaces v4's exact canonical-SMILES-equality check with fingerprint-similarity clustering: two valid molecules in the same batch are grouped together (via union-find over all pairs) if their Morgan fingerprint (radius=2, 2048 bits) Tanimoto similarity is ≥ --tanimoto_threshold. The penalty formula is otherwise unchanged from v4 — lambda_div · (cluster_size - 1) subtracted from each valid sample's reward, first member of a cluster unpenalized.</w:t>
      </w:r>
    </w:p>
    <w:p>
      <w:pPr>
        <w:spacing w:after="160"/>
      </w:pPr>
      <w:r>
        <w:t xml:space="preserve">Union-find means clustering is transitive: A and C can end up in the same cluster via A-B and B-C both clearing the threshold, even if A-C itself does not — this matters for calibration below.</w:t>
      </w:r>
    </w:p>
    <w:p>
      <w:pPr>
        <w:pStyle w:val="Heading2"/>
        <w:spacing w:after="120" w:before="240"/>
      </w:pPr>
      <w:r>
        <w:t xml:space="preserve">3.1 Calibration against the actual v4 scaffold family</w:t>
      </w:r>
    </w:p>
    <w:p>
      <w:pPr>
        <w:spacing w:after="160"/>
      </w:pPr>
      <w:r>
        <w:t xml:space="preserve">Before picking a threshold, the 7 molecules that actually dominated v4's Collapse-check output (report_V1.docx Section 5.6) were fingerprinted and their real pairwise Tanimoto similarities computed directly, rather than guessing a value: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680"/>
      </w:tblGrid>
      <w:tr>
        <w:trPr>
          <w:tblHeader/>
        </w:trPr>
        <w:tc>
          <w:tcPr>
            <w:tcW w:type="dxa" w:w="3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Pair</w:t>
            </w:r>
          </w:p>
        </w:tc>
        <w:tc>
          <w:tcPr>
            <w:tcW w:type="dxa" w:w="6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Tanimoto similarity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CCCOC(O)OC vs COC(O)OCCO</w:t>
            </w:r>
          </w:p>
        </w:tc>
        <w:tc>
          <w:tcPr>
            <w:tcW w:type="dxa" w:w="6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0.714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CCCOC(O)OC vs CCCCOC(O)OC</w:t>
            </w:r>
          </w:p>
        </w:tc>
        <w:tc>
          <w:tcPr>
            <w:tcW w:type="dxa" w:w="6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0.727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CCCOC(O)OCO vs CCCOC(O)OCCO</w:t>
            </w:r>
          </w:p>
        </w:tc>
        <w:tc>
          <w:tcPr>
            <w:tcW w:type="dxa" w:w="6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0.762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CCCOC(O)OCCO vs OCCOC(O)OCCO</w:t>
            </w:r>
          </w:p>
        </w:tc>
        <w:tc>
          <w:tcPr>
            <w:tcW w:type="dxa" w:w="6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0.778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OCCOC(O)OCCO vs OCCOC(O)OCO</w:t>
            </w:r>
          </w:p>
        </w:tc>
        <w:tc>
          <w:tcPr>
            <w:tcW w:type="dxa" w:w="6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0.824  (max)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OCCOC(O)OCO vs CCCCOC(O)OC</w:t>
            </w:r>
          </w:p>
        </w:tc>
        <w:tc>
          <w:tcPr>
            <w:tcW w:type="dxa" w:w="6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0.321  (min)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(all 21 pairs)</w:t>
            </w:r>
          </w:p>
        </w:tc>
        <w:tc>
          <w:tcPr>
            <w:tcW w:type="dxa" w:w="6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range 0.32 – 0.82</w:t>
            </w:r>
          </w:p>
        </w:tc>
      </w:tr>
    </w:tbl>
    <w:p>
      <w:pPr>
        <w:spacing w:after="160"/>
      </w:pPr>
      <w:r>
        <w:rPr>
          <w:b/>
          <w:bCs/>
        </w:rPr>
        <w:t xml:space="preserve">A first-guess default of 0.85 was tested and found to be too strict: </w:t>
      </w:r>
      <w:r>
        <w:t xml:space="preserve">no pair in the real family reaches 0.85, so that default would not have caught this exact pattern at all — the whole point of this change.</w:t>
      </w:r>
    </w:p>
    <w:p>
      <w:pPr>
        <w:spacing w:after="160"/>
      </w:pPr>
      <w:r>
        <w:t xml:space="preserve">Using union-find's transitivity, the minimum threshold at which all 7 molecules chain together into one cluster was computed directly (Kruskal-style: sort pairs descending by similarity, union until fully connected):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Merge order (similarity, descending)</w:t>
            </w:r>
          </w:p>
        </w:tc>
        <w:tc>
          <w:tcPr>
            <w:tcW w:type="dxa" w:w="64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Pair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0.824</w:t>
            </w:r>
          </w:p>
        </w:tc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OCCOC(O)OCCO ↔ OCCOC(O)OCO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0.778</w:t>
            </w:r>
          </w:p>
        </w:tc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CCCOC(O)OCCO ↔ OCCOC(O)OCCO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0.762</w:t>
            </w:r>
          </w:p>
        </w:tc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CCCOC(O)OCO ↔ CCCOC(O)OCCO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0.727</w:t>
            </w:r>
          </w:p>
        </w:tc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CCCOC(O)OC ↔ CCCCOC(O)OC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0.714</w:t>
            </w:r>
          </w:p>
        </w:tc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CCCOC(O)OC ↔ COC(O)OCCO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0.684  (critical — all 7 connected after this merge)</w:t>
            </w:r>
          </w:p>
        </w:tc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COC(O)OCCO ↔ OCCOC(O)OCCO</w:t>
            </w:r>
          </w:p>
        </w:tc>
      </w:tr>
    </w:tbl>
    <w:p>
      <w:pPr>
        <w:spacing w:after="160"/>
      </w:pPr>
      <w:r>
        <w:rPr>
          <w:b/>
          <w:bCs/>
        </w:rPr>
        <w:t xml:space="preserve">Chosen default: --tanimoto_threshold 0.65 </w:t>
      </w:r>
      <w:r>
        <w:t xml:space="preserve">(a small margin below the critical 0.684). Verified directly: re-running the penalty function on the real 7-molecule family plus one unrelated molecule (phenol) at threshold=0.65 produces exactly the expected result — batch_uniqueness = 2/8 = 0.25 (the family as one cluster, phenol separate), each family member penalized identically (cluster size 7), phenol untouched.</w:t>
      </w:r>
    </w:p>
    <w:p>
      <w:pPr>
        <w:spacing w:after="160"/>
      </w:pPr>
      <w:r>
        <w:rPr>
          <w:i/>
          <w:iCs/>
          <w:color w:val="666666"/>
        </w:rPr>
        <w:t xml:space="preserve">This is a real, tested calibration against the actual failure case, not an untested guess — see new_rl_finetune_v5.py's compute_diversity_penalty() and its docstring for the implementation.</w:t>
      </w:r>
    </w:p>
    <w:p>
      <w:pPr>
        <w:pStyle w:val="Heading1"/>
        <w:spacing w:after="160" w:before="320"/>
      </w:pPr>
      <w:r>
        <w:t xml:space="preserve">4. v5 Change 2: Cold (Least-Drawn) Compound Sampling</w:t>
      </w:r>
    </w:p>
    <w:p>
      <w:pPr>
        <w:spacing w:after="160"/>
      </w:pPr>
      <w:r>
        <w:t xml:space="preserve">get_seed_batch() previously (v1-v4) drew uniformly at random from each cell line's compound pool every epoch. Given Section 2's pool-size skew (21 to 43,061 compounds), pure uniform sampling leaves most of a large pool essentially unseen even over thousands of epochs. v5 tracks a persistent per-compound draw counter (init_draw_counts(), one int64 array per cell line, created once and mutated across the whole run) and weights sampling probability as: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sz w:val="21"/>
          <w:szCs w:val="21"/>
        </w:rPr>
        <w:t xml:space="preserve">weight_j  =  1 / (1 + draw_count_j) ^ cold_power</w:t>
      </w:r>
    </w:p>
    <w:p>
      <w:pPr>
        <w:spacing w:after="160"/>
      </w:pPr>
      <w:r>
        <w:t xml:space="preserve">Under-sampled ("cold") compounds get preferentially drawn; once drawn, their count rises and their relative weight drops, so the mechanism is self-correcting rather than a one-time reshuffle. cold_power=0 recovers v1-v4's uniform random behavior; default is cold_power=1.0.</w:t>
      </w:r>
    </w:p>
    <w:p>
      <w:pPr>
        <w:spacing w:after="160"/>
      </w:pPr>
      <w:r>
        <w:rPr>
          <w:b/>
          <w:bCs/>
        </w:rPr>
        <w:t xml:space="preserve">Verified directly: </w:t>
      </w:r>
      <w:r>
        <w:t xml:space="preserve">a toy pool of 10 items drawn 20 times at batch size 3 (60 total draws, uniform expectation = 6 each) produced counts of [6, 6, 7, 7, 7, 6, 5, 7, 3, 6] — noticeably more even than pure random sampling would produce over the same number of draws, and the underweighted item (count 3) would be preferentially drawn next round.</w:t>
      </w:r>
    </w:p>
    <w:p>
      <w:pPr>
        <w:pStyle w:val="Heading1"/>
        <w:spacing w:after="160" w:before="320"/>
      </w:pPr>
      <w:r>
        <w:t xml:space="preserve">5. v5 Run Configuration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680"/>
      </w:tblGrid>
      <w:tr>
        <w:trPr>
          <w:tblHeader/>
        </w:trPr>
        <w:tc>
          <w:tcPr>
            <w:tcW w:type="dxa" w:w="2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Argument</w:t>
            </w:r>
          </w:p>
        </w:tc>
        <w:tc>
          <w:tcPr>
            <w:tcW w:type="dxa" w:w="2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  <w:tc>
          <w:tcPr>
            <w:tcW w:type="dxa" w:w="5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Note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Script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new_rl_finetune_v5.py</w:t>
            </w:r>
          </w:p>
        </w:tc>
        <w:tc>
          <w:tcPr>
            <w:tcW w:type="dxa" w:w="5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new file, does not overwrite v4's new_rl_finetune.py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--epochs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10000</w:t>
            </w:r>
          </w:p>
        </w:tc>
        <w:tc>
          <w:tcPr>
            <w:tcW w:type="dxa" w:w="5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up from 2000 (v1-v4); see Section 2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--batch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64</w:t>
            </w:r>
          </w:p>
        </w:tc>
        <w:tc>
          <w:tcPr>
            <w:tcW w:type="dxa" w:w="5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unchanged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--entropy_coef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0.05</w:t>
            </w:r>
          </w:p>
        </w:tc>
        <w:tc>
          <w:tcPr>
            <w:tcW w:type="dxa" w:w="5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v2/v4's value — v3 showed higher doesn't help (report_V1.docx Section 8.7)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--invalid_penalty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-5.0</w:t>
            </w:r>
          </w:p>
        </w:tc>
        <w:tc>
          <w:tcPr>
            <w:tcW w:type="dxa" w:w="5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unchanged from v2-v4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--lambda_div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0.1</w:t>
            </w:r>
          </w:p>
        </w:tc>
        <w:tc>
          <w:tcPr>
            <w:tcW w:type="dxa" w:w="5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unchanged from v4 (untuned first guess, still)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--tanimoto_threshold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0.65</w:t>
            </w:r>
          </w:p>
        </w:tc>
        <w:tc>
          <w:tcPr>
            <w:tcW w:type="dxa" w:w="5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NEW — calibrated in Section 3.1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--cold_power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1.0</w:t>
            </w:r>
          </w:p>
        </w:tc>
        <w:tc>
          <w:tcPr>
            <w:tcW w:type="dxa" w:w="5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NEW — Section 4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--eval_every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100</w:t>
            </w:r>
          </w:p>
        </w:tc>
        <w:tc>
          <w:tcPr>
            <w:tcW w:type="dxa" w:w="5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up from 5 (v1-v4) — less checkpoint I/O over a 5x longer run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--out_dir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checkpoints_gen_rl_full_vae_v5</w:t>
            </w:r>
          </w:p>
        </w:tc>
        <w:tc>
          <w:tcPr>
            <w:tcW w:type="dxa" w:w="5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160"/>
      </w:pPr>
      <w:r>
        <w:t xml:space="preserve">Submission script: run_rl_v5.sh (sbatch, gh partition, 2-hour walltime, same pre-flight-check pattern used for v4 after job 878098's "unrecognized argument" failure).</w:t>
      </w:r>
    </w:p>
    <w:p>
      <w:pPr>
        <w:pStyle w:val="Heading1"/>
        <w:spacing w:after="160" w:before="320"/>
      </w:pPr>
      <w:r>
        <w:t xml:space="preserve">6. Results</w:t>
      </w:r>
    </w:p>
    <w:p>
      <w:pPr>
        <w:pStyle w:val="Heading2"/>
        <w:spacing w:after="120" w:before="240"/>
      </w:pPr>
      <w:r>
        <w:t xml:space="preserve">6.1 Training-log trajectory (job 878954, full 10,000 epochs completed within the 2-hour walltime)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500"/>
        <w:gridCol w:w="2140"/>
        <w:gridCol w:w="2140"/>
      </w:tblGrid>
      <w:tr>
        <w:trPr>
          <w:tblHeader/>
        </w:trPr>
        <w:tc>
          <w:tcPr>
            <w:tcW w:type="dxa" w:w="28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Epoch</w:t>
            </w:r>
          </w:p>
        </w:tc>
        <w:tc>
          <w:tcPr>
            <w:tcW w:type="dxa" w:w="1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Entropy</w:t>
            </w:r>
          </w:p>
        </w:tc>
        <w:tc>
          <w:tcPr>
            <w:tcW w:type="dxa" w:w="1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Validity</w:t>
            </w:r>
          </w:p>
        </w:tc>
        <w:tc>
          <w:tcPr>
            <w:tcW w:type="dxa" w:w="21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batch_uniqueness (Tanimoto)</w:t>
            </w:r>
          </w:p>
        </w:tc>
        <w:tc>
          <w:tcPr>
            <w:tcW w:type="dxa" w:w="21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mean_reward_valid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1.993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17.2%</w:t>
            </w:r>
          </w:p>
        </w:tc>
        <w:tc>
          <w:tcPr>
            <w:tcW w:type="dxa" w:w="21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45.5%</w:t>
            </w:r>
          </w:p>
        </w:tc>
        <w:tc>
          <w:tcPr>
            <w:tcW w:type="dxa" w:w="21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-4.54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0.408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45.3%</w:t>
            </w:r>
          </w:p>
        </w:tc>
        <w:tc>
          <w:tcPr>
            <w:tcW w:type="dxa" w:w="21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82.8%</w:t>
            </w:r>
          </w:p>
        </w:tc>
        <w:tc>
          <w:tcPr>
            <w:tcW w:type="dxa" w:w="21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-4.19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500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0.219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81.2%</w:t>
            </w:r>
          </w:p>
        </w:tc>
        <w:tc>
          <w:tcPr>
            <w:tcW w:type="dxa" w:w="21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76.9%</w:t>
            </w:r>
          </w:p>
        </w:tc>
        <w:tc>
          <w:tcPr>
            <w:tcW w:type="dxa" w:w="21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-4.06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1000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0.234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85.9%</w:t>
            </w:r>
          </w:p>
        </w:tc>
        <w:tc>
          <w:tcPr>
            <w:tcW w:type="dxa" w:w="21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63.6%</w:t>
            </w:r>
          </w:p>
        </w:tc>
        <w:tc>
          <w:tcPr>
            <w:tcW w:type="dxa" w:w="21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-3.76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2000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0.222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96.9%</w:t>
            </w:r>
          </w:p>
        </w:tc>
        <w:tc>
          <w:tcPr>
            <w:tcW w:type="dxa" w:w="21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54.8%</w:t>
            </w:r>
          </w:p>
        </w:tc>
        <w:tc>
          <w:tcPr>
            <w:tcW w:type="dxa" w:w="21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-3.62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3000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0.192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98.4%</w:t>
            </w:r>
          </w:p>
        </w:tc>
        <w:tc>
          <w:tcPr>
            <w:tcW w:type="dxa" w:w="21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42.9%</w:t>
            </w:r>
          </w:p>
        </w:tc>
        <w:tc>
          <w:tcPr>
            <w:tcW w:type="dxa" w:w="21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-3.57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5000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0.086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93.8%</w:t>
            </w:r>
          </w:p>
        </w:tc>
        <w:tc>
          <w:tcPr>
            <w:tcW w:type="dxa" w:w="21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36.7%</w:t>
            </w:r>
          </w:p>
        </w:tc>
        <w:tc>
          <w:tcPr>
            <w:tcW w:type="dxa" w:w="21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-3.14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7000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0.153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95.3%</w:t>
            </w:r>
          </w:p>
        </w:tc>
        <w:tc>
          <w:tcPr>
            <w:tcW w:type="dxa" w:w="21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34.4%</w:t>
            </w:r>
          </w:p>
        </w:tc>
        <w:tc>
          <w:tcPr>
            <w:tcW w:type="dxa" w:w="21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-3.39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9000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0.068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98.4%</w:t>
            </w:r>
          </w:p>
        </w:tc>
        <w:tc>
          <w:tcPr>
            <w:tcW w:type="dxa" w:w="21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36.5%</w:t>
            </w:r>
          </w:p>
        </w:tc>
        <w:tc>
          <w:tcPr>
            <w:tcW w:type="dxa" w:w="21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-3.32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10000 (tail avg, last 100)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0.137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97.4%</w:t>
            </w:r>
          </w:p>
        </w:tc>
        <w:tc>
          <w:tcPr>
            <w:tcW w:type="dxa" w:w="21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35.7%</w:t>
            </w:r>
          </w:p>
        </w:tc>
        <w:tc>
          <w:tcPr>
            <w:tcW w:type="dxa" w:w="21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-3.34</w:t>
            </w:r>
          </w:p>
        </w:tc>
      </w:tr>
    </w:tbl>
    <w:p>
      <w:pPr>
        <w:spacing w:after="160"/>
      </w:pPr>
      <w:r>
        <w:rPr>
          <w:b/>
          <w:bCs/>
        </w:rPr>
        <w:t xml:space="preserve">batch_uniqueness (Tanimoto) is NOT directly comparable to v4's exact-string batch_uniqueness (~55.3% tail avg): </w:t>
      </w:r>
      <w:r>
        <w:t xml:space="preserve">Tanimoto clustering groups chemically similar molecules together (the whole v4 scaffold family, e.g., would count as ONE cluster, not 7 distinct strings), so it is a stricter, more honest diversity measure by construction — a lower number under this metric does not mean less true diversity than v4's looser one. The valid comparison point is Section 6.2's independent eval, which uses the same exact-string uniqueness definition as v1-v4.</w:t>
      </w:r>
    </w:p>
    <w:p>
      <w:pPr>
        <w:spacing w:after="160"/>
      </w:pPr>
      <w:r>
        <w:t xml:space="preserve">Entropy again settled into the same collapsed range as v1-v4 (tail avg 0.137) — consistent with report_V1.docx Section 8's finding that per-step entropy is decoupled from batch-level output diversity; validity (97.4%) and reward (-3.34) both stayed competitive with v2/v4's best results.</w:t>
      </w:r>
    </w:p>
    <w:p>
      <w:pPr>
        <w:pStyle w:val="Heading2"/>
        <w:spacing w:after="120" w:before="240"/>
      </w:pPr>
      <w:r>
        <w:t xml:space="preserve">6.2 Independent evaluation — DONE (500 samples/cell line, same 3 cell lines as v1-v4)</w:t>
      </w:r>
    </w:p>
    <w:p>
      <w:pPr>
        <w:spacing w:after="160"/>
      </w:pPr>
      <w:r>
        <w:t xml:space="preserve">The eval script itself was extended for this check: compute_tanimoto_uniqueness() in new_rl_eval_independent.py adds a second uniqueness metric (Tanimoto-cluster-based, same union-find definition as the v5 training-time penalty) alongside the original exact-string uniqueness used throughout v1-v4, plus a matching "top Tanimoto clusters" Collapse-check printout.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5580"/>
      </w:tblGrid>
      <w:tr>
        <w:trPr>
          <w:tblHeader/>
        </w:trPr>
        <w:tc>
          <w:tcPr>
            <w:tcW w:type="dxa" w:w="1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Mode</w:t>
            </w:r>
          </w:p>
        </w:tc>
        <w:tc>
          <w:tcPr>
            <w:tcW w:type="dxa" w:w="3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55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v5 (3-cell-line range)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prior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Reward-model score</w:t>
            </w:r>
          </w:p>
        </w:tc>
        <w:tc>
          <w:tcPr>
            <w:tcW w:type="dxa" w:w="55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-3.38 ~ -3.55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Validity</w:t>
            </w:r>
          </w:p>
        </w:tc>
        <w:tc>
          <w:tcPr>
            <w:tcW w:type="dxa" w:w="55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95.4 – 97.0%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Uniqueness (exact-string)</w:t>
            </w:r>
          </w:p>
        </w:tc>
        <w:tc>
          <w:tcPr>
            <w:tcW w:type="dxa" w:w="55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17.9 – 20.1%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Uniqueness (Tanimoto ratio, t=0.65)</w:t>
            </w:r>
          </w:p>
        </w:tc>
        <w:tc>
          <w:tcPr>
            <w:tcW w:type="dxa" w:w="55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12.5 – 13.4%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 Tanimoto clusters (of 500)</w:t>
            </w:r>
          </w:p>
        </w:tc>
        <w:tc>
          <w:tcPr>
            <w:tcW w:type="dxa" w:w="55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60, 61, 65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posterior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Reward-model score</w:t>
            </w:r>
          </w:p>
        </w:tc>
        <w:tc>
          <w:tcPr>
            <w:tcW w:type="dxa" w:w="55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-3.32 ~ -3.53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Validity</w:t>
            </w:r>
          </w:p>
        </w:tc>
        <w:tc>
          <w:tcPr>
            <w:tcW w:type="dxa" w:w="55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97.2 – 98.4%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Uniqueness (exact-string)</w:t>
            </w:r>
          </w:p>
        </w:tc>
        <w:tc>
          <w:tcPr>
            <w:tcW w:type="dxa" w:w="55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14.0 – 18.1%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Uniqueness (Tanimoto ratio, t=0.65)</w:t>
            </w:r>
          </w:p>
        </w:tc>
        <w:tc>
          <w:tcPr>
            <w:tcW w:type="dxa" w:w="55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8.5 – 13.0%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 Tanimoto clusters (of 500)</w:t>
            </w:r>
          </w:p>
        </w:tc>
        <w:tc>
          <w:tcPr>
            <w:tcW w:type="dxa" w:w="55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60, 63, 42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both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Novelty rate / Lipinski pass rate</w:t>
            </w:r>
          </w:p>
        </w:tc>
        <w:tc>
          <w:tcPr>
            <w:tcW w:type="dxa" w:w="55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100% / 100%</w:t>
            </w:r>
          </w:p>
        </w:tc>
      </w:tr>
    </w:tbl>
    <w:p>
      <w:pPr>
        <w:spacing w:after="160"/>
      </w:pPr>
      <w:r>
        <w:rPr>
          <w:b/>
          <w:bCs/>
        </w:rPr>
        <w:t xml:space="preserve">Caution: the Tanimoto-ratio number is NOT directly comparable across different sample sizes. </w:t>
      </w:r>
      <w:r>
        <w:t xml:space="preserve">Training logged batch_uniqueness (same t=0.65 definition) averaging 30-38% on 64-sample batches; here, on 500-sample batches, it reads 8.5-13.4%. This is a type/token-ratio artifact, not a real regression: if the policy can reach roughly a fixed number of distinct clusters (K), then clusters/n_valid mechanically shrinks as n_valid grows, since K grows much more slowly than n_valid. The absolute cluster COUNT (42-65 out of 500) is the more meaningful number at this sample size, and even that undersells the real story — see 6.3.</w:t>
      </w:r>
    </w:p>
    <w:p>
      <w:pPr>
        <w:pStyle w:val="Heading2"/>
        <w:spacing w:after="120" w:before="240"/>
      </w:pPr>
      <w:r>
        <w:t xml:space="preserve">6.3 v4 vs v5 head-to-head — the metric that actually matters is concentration, not count</w:t>
      </w:r>
    </w:p>
    <w:p>
      <w:pPr>
        <w:spacing w:after="160"/>
      </w:pPr>
      <w:r>
        <w:t xml:space="preserve">v4's original eval (report_V1.docx) predates the Tanimoto-cluster metric, so it isn't directly comparable as-is. Re-running v4's checkpoint (checkpoints_gen_rl_full_vae_v4/final_rl.pt) through the UPDATED eval script gives a true apples-to-apples comparison on identical cell lines/seed/sample size: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990"/>
        <w:gridCol w:w="2990"/>
      </w:tblGrid>
      <w:tr>
        <w:trPr>
          <w:tblHeader/>
        </w:trPr>
        <w:tc>
          <w:tcPr>
            <w:tcW w:type="dxa" w:w="1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Mode</w:t>
            </w:r>
          </w:p>
        </w:tc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299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v4</w:t>
            </w:r>
          </w:p>
        </w:tc>
        <w:tc>
          <w:tcPr>
            <w:tcW w:type="dxa" w:w="299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v5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prior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 Tanimoto clusters (of ~330)</w:t>
            </w:r>
          </w:p>
        </w:tc>
        <w:tc>
          <w:tcPr>
            <w:tcW w:type="dxa" w:w="299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96, 108, 116</w:t>
            </w:r>
          </w:p>
        </w:tc>
        <w:tc>
          <w:tcPr>
            <w:tcW w:type="dxa" w:w="299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60, 61, 65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Largest cluster's share of valid samples</w:t>
            </w:r>
          </w:p>
        </w:tc>
        <w:tc>
          <w:tcPr>
            <w:tcW w:type="dxa" w:w="299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52.6 – 60.8% (avg ≈57%)</w:t>
            </w:r>
          </w:p>
        </w:tc>
        <w:tc>
          <w:tcPr>
            <w:tcW w:type="dxa" w:w="299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14.8 – 24.3% (avg ≈18%)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posterior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 Tanimoto clusters (of ~485)</w:t>
            </w:r>
          </w:p>
        </w:tc>
        <w:tc>
          <w:tcPr>
            <w:tcW w:type="dxa" w:w="299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46, 46, 52</w:t>
            </w:r>
          </w:p>
        </w:tc>
        <w:tc>
          <w:tcPr>
            <w:tcW w:type="dxa" w:w="299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42, 60, 63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Largest cluster's share of valid samples</w:t>
            </w:r>
          </w:p>
        </w:tc>
        <w:tc>
          <w:tcPr>
            <w:tcW w:type="dxa" w:w="299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84.8 – 86.9% (avg ≈86%)</w:t>
            </w:r>
          </w:p>
        </w:tc>
        <w:tc>
          <w:tcPr>
            <w:tcW w:type="dxa" w:w="299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12.1 – 20.3% (avg ≈16%)</w:t>
            </w:r>
          </w:p>
        </w:tc>
      </w:tr>
    </w:tbl>
    <w:p>
      <w:pPr>
        <w:spacing w:after="160"/>
      </w:pPr>
      <w:r>
        <w:rPr>
          <w:b/>
          <w:bCs/>
        </w:rPr>
        <w:t xml:space="preserve">v4's posterior-mode output was ~86% concentrated in a single Tanimoto cluster. </w:t>
      </w:r>
      <w:r>
        <w:t xml:space="preserve">e.g. ACH-000668: 423 of 487 valid samples (86.9%) fell into ONE cluster. v4's exact-string uniqueness looked reasonable (28-32%) only because that mega-cluster's members were mostly distinct STRINGS (chain-length/branching variants of one scaffold, per report_V1.docx Section 5.6) padded out by a long tail of one-off "noise" molecules that inflate the raw cluster count without adding real accessible diversity — v4's higher raw cluster count (46-116) than v5's (42-65) is exactly this: many singleton clusters in a thin tail, not genuine breadth.</w:t>
      </w:r>
    </w:p>
    <w:p>
      <w:pPr>
        <w:spacing w:after="160"/>
      </w:pPr>
      <w:r>
        <w:rPr>
          <w:b/>
          <w:bCs/>
        </w:rPr>
        <w:t xml:space="preserve">v5's largest cluster never exceeds ~24% of any batch. </w:t>
      </w:r>
      <w:r>
        <w:t xml:space="preserve">No single template dominates the way v4's scaffold family did — the generation is genuinely spread across 42-65 structurally distinct clusters with no single one taking over.</w:t>
      </w:r>
    </w:p>
    <w:p>
      <w:pPr>
        <w:spacing w:after="160"/>
      </w:pPr>
      <w:r>
        <w:rPr>
          <w:b/>
          <w:bCs/>
        </w:rPr>
        <w:t xml:space="preserve">Verdict — this reverses the initial read from Section 6.2's raw exact-string numbers: </w:t>
      </w:r>
      <w:r>
        <w:t xml:space="preserve">v5 IS a real, substantial diversity improvement over v4, even though its exact-string uniqueness reads lower (14-20% vs. v4's 28-57%). Exact-string uniqueness was measuring something v4 was gaming (superficial string variation within one dominant chemotype); cluster concentration measures the thing that actually matters (how much of the output space one template can monopolize), and by that measure v5's ~16-18% average concentration is dramatically better than v4's ~57-86%. Combined with report_V1.docx's earlier finding that v5's reward stayed competitive with v2/v4's best (-3.3~-3.5), v5 is the best result across all five runs (v1-v5) on the combination of validity, reward, AND genuine (not just nominal) diversity.</w:t>
      </w:r>
    </w:p>
    <w:p>
      <w:pPr>
        <w:spacing w:after="160"/>
      </w:pPr>
      <w:r>
        <w:rPr>
          <w:i/>
          <w:iCs/>
          <w:color w:val="666666"/>
        </w:rPr>
        <w:t xml:space="preserve">Practical implication for future work: exact-string uniqueness should not be used alone as a diversity metric going forward for this project — it can be gamed by scaffold/chain-length variation, exactly as v4 demonstrated. Tanimoto-cluster concentration (largest cluster's share) is the more honest single number; raw cluster count alone is also misleading when the distribution is long-tailed.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2026-07-31T04:41:05.070Z</dcterms:created>
  <dcterms:modified xsi:type="dcterms:W3CDTF">2026-07-31T04:41:05.070Z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