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DL4DR Conditional VAE — Test Results (best_vae.pt vs final_vae.pt)</w:t>
      </w:r>
    </w:p>
    <w:p>
      <w:pPr>
        <w:spacing w:after="280"/>
      </w:pPr>
      <w:r>
        <w:rPr>
          <w:i/>
          <w:iCs/>
          <w:color w:val="555555"/>
          <w:sz w:val="20"/>
          <w:szCs w:val="20"/>
        </w:rPr>
        <w:t xml:space="preserve">Ran eval_novelty_and_conditioning.py locally (CPU, n_samples=200 per cell line, seed=0, 3 cell lines: ACH-000668, ACH-000258, ACH-000876)</w:t>
      </w:r>
    </w:p>
    <w:p>
      <w:pPr>
        <w:pStyle w:val="Heading2"/>
        <w:spacing w:after="120" w:before="260"/>
      </w:pPr>
      <w:r>
        <w:t xml:space="preserve">Results — best_vae.pt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1550"/>
        <w:gridCol w:w="1550"/>
        <w:gridCol w:w="1550"/>
        <w:gridCol w:w="1900"/>
      </w:tblGrid>
      <w:tr>
        <w:tc>
          <w:tcPr>
            <w:tcW w:type="dxa" w:w="2000"/>
            <w:shd w:fill="2F5496" w:val="clear"/>
            <w:tcMar>
              <w:top w:type="dxa" w:w="80"/>
              <w:left w:type="dxa" w:w="100"/>
              <w:bottom w:type="dxa" w:w="80"/>
              <w:right w:type="dxa" w:w="100"/>
            </w:tcMar>
            <w:vAlign w:val="center"/>
          </w:tcPr>
          <w:p>
            <w:r>
              <w:rPr>
                <w:b/>
                <w:bCs/>
                <w:color w:val="FFFFFF"/>
                <w:sz w:val="20"/>
                <w:szCs w:val="20"/>
              </w:rPr>
              <w:t xml:space="preserve">Cell line</w:t>
            </w:r>
          </w:p>
        </w:tc>
        <w:tc>
          <w:tcPr>
            <w:tcW w:type="dxa" w:w="1550"/>
            <w:shd w:fill="2F5496" w:val="clear"/>
            <w:tcMar>
              <w:top w:type="dxa" w:w="80"/>
              <w:left w:type="dxa" w:w="100"/>
              <w:bottom w:type="dxa" w:w="80"/>
              <w:right w:type="dxa" w:w="100"/>
            </w:tcMar>
            <w:vAlign w:val="center"/>
          </w:tcPr>
          <w:p>
            <w:r>
              <w:rPr>
                <w:b/>
                <w:bCs/>
                <w:color w:val="FFFFFF"/>
                <w:sz w:val="20"/>
                <w:szCs w:val="20"/>
              </w:rPr>
              <w:t xml:space="preserve">Validity</w:t>
            </w:r>
          </w:p>
        </w:tc>
        <w:tc>
          <w:tcPr>
            <w:tcW w:type="dxa" w:w="1550"/>
            <w:shd w:fill="2F5496" w:val="clear"/>
            <w:tcMar>
              <w:top w:type="dxa" w:w="80"/>
              <w:left w:type="dxa" w:w="100"/>
              <w:bottom w:type="dxa" w:w="80"/>
              <w:right w:type="dxa" w:w="100"/>
            </w:tcMar>
            <w:vAlign w:val="center"/>
          </w:tcPr>
          <w:p>
            <w:r>
              <w:rPr>
                <w:b/>
                <w:bCs/>
                <w:color w:val="FFFFFF"/>
                <w:sz w:val="20"/>
                <w:szCs w:val="20"/>
              </w:rPr>
              <w:t xml:space="preserve">Uniqueness</w:t>
            </w:r>
          </w:p>
        </w:tc>
        <w:tc>
          <w:tcPr>
            <w:tcW w:type="dxa" w:w="1550"/>
            <w:shd w:fill="2F5496" w:val="clear"/>
            <w:tcMar>
              <w:top w:type="dxa" w:w="80"/>
              <w:left w:type="dxa" w:w="100"/>
              <w:bottom w:type="dxa" w:w="80"/>
              <w:right w:type="dxa" w:w="100"/>
            </w:tcMar>
            <w:vAlign w:val="center"/>
          </w:tcPr>
          <w:p>
            <w:r>
              <w:rPr>
                <w:b/>
                <w:bCs/>
                <w:color w:val="FFFFFF"/>
                <w:sz w:val="20"/>
                <w:szCs w:val="20"/>
              </w:rPr>
              <w:t xml:space="preserve">Exact train dupes</w:t>
            </w:r>
          </w:p>
        </w:tc>
        <w:tc>
          <w:tcPr>
            <w:tcW w:type="dxa" w:w="1550"/>
            <w:shd w:fill="2F5496" w:val="clear"/>
            <w:tcMar>
              <w:top w:type="dxa" w:w="80"/>
              <w:left w:type="dxa" w:w="100"/>
              <w:bottom w:type="dxa" w:w="80"/>
              <w:right w:type="dxa" w:w="100"/>
            </w:tcMar>
            <w:vAlign w:val="center"/>
          </w:tcPr>
          <w:p>
            <w:r>
              <w:rPr>
                <w:b/>
                <w:bCs/>
                <w:color w:val="FFFFFF"/>
                <w:sz w:val="20"/>
                <w:szCs w:val="20"/>
              </w:rPr>
              <w:t xml:space="preserve">Novelty rate</w:t>
            </w:r>
          </w:p>
        </w:tc>
        <w:tc>
          <w:tcPr>
            <w:tcW w:type="dxa" w:w="1900"/>
            <w:shd w:fill="2F5496" w:val="clear"/>
            <w:tcMar>
              <w:top w:type="dxa" w:w="80"/>
              <w:left w:type="dxa" w:w="100"/>
              <w:bottom w:type="dxa" w:w="80"/>
              <w:right w:type="dxa" w:w="100"/>
            </w:tcMar>
            <w:vAlign w:val="center"/>
          </w:tcPr>
          <w:p>
            <w:r>
              <w:rPr>
                <w:b/>
                <w:bCs/>
                <w:color w:val="FFFFFF"/>
                <w:sz w:val="20"/>
                <w:szCs w:val="20"/>
              </w:rPr>
              <w:t xml:space="preserve">Mean NN-Tanimoto</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ACH-000668</w:t>
            </w:r>
          </w:p>
        </w:tc>
        <w:tc>
          <w:tcPr>
            <w:tcW w:type="dxa" w:w="1550"/>
            <w:tcMar>
              <w:top w:type="dxa" w:w="80"/>
              <w:left w:type="dxa" w:w="100"/>
              <w:bottom w:type="dxa" w:w="80"/>
              <w:right w:type="dxa" w:w="100"/>
            </w:tcMar>
            <w:vAlign w:val="center"/>
          </w:tcPr>
          <w:p>
            <w:r>
              <w:rPr>
                <w:b w:val="false"/>
                <w:bCs w:val="false"/>
                <w:color w:val="000000"/>
                <w:sz w:val="20"/>
                <w:szCs w:val="20"/>
              </w:rPr>
              <w:t xml:space="preserve">38.5%</w:t>
            </w:r>
          </w:p>
        </w:tc>
        <w:tc>
          <w:tcPr>
            <w:tcW w:type="dxa" w:w="1550"/>
            <w:tcMar>
              <w:top w:type="dxa" w:w="80"/>
              <w:left w:type="dxa" w:w="100"/>
              <w:bottom w:type="dxa" w:w="80"/>
              <w:right w:type="dxa" w:w="100"/>
            </w:tcMar>
            <w:vAlign w:val="center"/>
          </w:tcPr>
          <w:p>
            <w:r>
              <w:rPr>
                <w:b w:val="false"/>
                <w:bCs w:val="false"/>
                <w:color w:val="000000"/>
                <w:sz w:val="20"/>
                <w:szCs w:val="20"/>
              </w:rPr>
              <w:t xml:space="preserve">24.7%</w:t>
            </w:r>
          </w:p>
        </w:tc>
        <w:tc>
          <w:tcPr>
            <w:tcW w:type="dxa" w:w="1550"/>
            <w:tcMar>
              <w:top w:type="dxa" w:w="80"/>
              <w:left w:type="dxa" w:w="100"/>
              <w:bottom w:type="dxa" w:w="80"/>
              <w:right w:type="dxa" w:w="100"/>
            </w:tcMar>
            <w:vAlign w:val="center"/>
          </w:tcPr>
          <w:p>
            <w:r>
              <w:rPr>
                <w:b w:val="false"/>
                <w:bCs w:val="false"/>
                <w:color w:val="000000"/>
                <w:sz w:val="20"/>
                <w:szCs w:val="20"/>
              </w:rPr>
              <w:t xml:space="preserve">0</w:t>
            </w:r>
          </w:p>
        </w:tc>
        <w:tc>
          <w:tcPr>
            <w:tcW w:type="dxa" w:w="1550"/>
            <w:tcMar>
              <w:top w:type="dxa" w:w="80"/>
              <w:left w:type="dxa" w:w="100"/>
              <w:bottom w:type="dxa" w:w="80"/>
              <w:right w:type="dxa" w:w="100"/>
            </w:tcMar>
            <w:vAlign w:val="center"/>
          </w:tcPr>
          <w:p>
            <w:r>
              <w:rPr>
                <w:b w:val="false"/>
                <w:bCs w:val="false"/>
                <w:color w:val="000000"/>
                <w:sz w:val="20"/>
                <w:szCs w:val="20"/>
              </w:rPr>
              <w:t xml:space="preserve">100%</w:t>
            </w:r>
          </w:p>
        </w:tc>
        <w:tc>
          <w:tcPr>
            <w:tcW w:type="dxa" w:w="1900"/>
            <w:tcMar>
              <w:top w:type="dxa" w:w="80"/>
              <w:left w:type="dxa" w:w="100"/>
              <w:bottom w:type="dxa" w:w="80"/>
              <w:right w:type="dxa" w:w="100"/>
            </w:tcMar>
            <w:vAlign w:val="center"/>
          </w:tcPr>
          <w:p>
            <w:r>
              <w:rPr>
                <w:b w:val="false"/>
                <w:bCs w:val="false"/>
                <w:color w:val="000000"/>
                <w:sz w:val="20"/>
                <w:szCs w:val="20"/>
              </w:rPr>
              <w:t xml:space="preserve">0.189</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ACH-000258</w:t>
            </w:r>
          </w:p>
        </w:tc>
        <w:tc>
          <w:tcPr>
            <w:tcW w:type="dxa" w:w="1550"/>
            <w:tcMar>
              <w:top w:type="dxa" w:w="80"/>
              <w:left w:type="dxa" w:w="100"/>
              <w:bottom w:type="dxa" w:w="80"/>
              <w:right w:type="dxa" w:w="100"/>
            </w:tcMar>
            <w:vAlign w:val="center"/>
          </w:tcPr>
          <w:p>
            <w:r>
              <w:rPr>
                <w:b w:val="false"/>
                <w:bCs w:val="false"/>
                <w:color w:val="000000"/>
                <w:sz w:val="20"/>
                <w:szCs w:val="20"/>
              </w:rPr>
              <w:t xml:space="preserve">45.0%</w:t>
            </w:r>
          </w:p>
        </w:tc>
        <w:tc>
          <w:tcPr>
            <w:tcW w:type="dxa" w:w="1550"/>
            <w:tcMar>
              <w:top w:type="dxa" w:w="80"/>
              <w:left w:type="dxa" w:w="100"/>
              <w:bottom w:type="dxa" w:w="80"/>
              <w:right w:type="dxa" w:w="100"/>
            </w:tcMar>
            <w:vAlign w:val="center"/>
          </w:tcPr>
          <w:p>
            <w:r>
              <w:rPr>
                <w:b w:val="false"/>
                <w:bCs w:val="false"/>
                <w:color w:val="000000"/>
                <w:sz w:val="20"/>
                <w:szCs w:val="20"/>
              </w:rPr>
              <w:t xml:space="preserve">25.6%</w:t>
            </w:r>
          </w:p>
        </w:tc>
        <w:tc>
          <w:tcPr>
            <w:tcW w:type="dxa" w:w="1550"/>
            <w:tcMar>
              <w:top w:type="dxa" w:w="80"/>
              <w:left w:type="dxa" w:w="100"/>
              <w:bottom w:type="dxa" w:w="80"/>
              <w:right w:type="dxa" w:w="100"/>
            </w:tcMar>
            <w:vAlign w:val="center"/>
          </w:tcPr>
          <w:p>
            <w:r>
              <w:rPr>
                <w:b w:val="false"/>
                <w:bCs w:val="false"/>
                <w:color w:val="000000"/>
                <w:sz w:val="20"/>
                <w:szCs w:val="20"/>
              </w:rPr>
              <w:t xml:space="preserve">1</w:t>
            </w:r>
          </w:p>
        </w:tc>
        <w:tc>
          <w:tcPr>
            <w:tcW w:type="dxa" w:w="1550"/>
            <w:tcMar>
              <w:top w:type="dxa" w:w="80"/>
              <w:left w:type="dxa" w:w="100"/>
              <w:bottom w:type="dxa" w:w="80"/>
              <w:right w:type="dxa" w:w="100"/>
            </w:tcMar>
            <w:vAlign w:val="center"/>
          </w:tcPr>
          <w:p>
            <w:r>
              <w:rPr>
                <w:b w:val="false"/>
                <w:bCs w:val="false"/>
                <w:color w:val="000000"/>
                <w:sz w:val="20"/>
                <w:szCs w:val="20"/>
              </w:rPr>
              <w:t xml:space="preserve">95.7%</w:t>
            </w:r>
          </w:p>
        </w:tc>
        <w:tc>
          <w:tcPr>
            <w:tcW w:type="dxa" w:w="1900"/>
            <w:tcMar>
              <w:top w:type="dxa" w:w="80"/>
              <w:left w:type="dxa" w:w="100"/>
              <w:bottom w:type="dxa" w:w="80"/>
              <w:right w:type="dxa" w:w="100"/>
            </w:tcMar>
            <w:vAlign w:val="center"/>
          </w:tcPr>
          <w:p>
            <w:r>
              <w:rPr>
                <w:b w:val="false"/>
                <w:bCs w:val="false"/>
                <w:color w:val="000000"/>
                <w:sz w:val="20"/>
                <w:szCs w:val="20"/>
              </w:rPr>
              <w:t xml:space="preserve">0.228</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ACH-000876</w:t>
            </w:r>
          </w:p>
        </w:tc>
        <w:tc>
          <w:tcPr>
            <w:tcW w:type="dxa" w:w="1550"/>
            <w:tcMar>
              <w:top w:type="dxa" w:w="80"/>
              <w:left w:type="dxa" w:w="100"/>
              <w:bottom w:type="dxa" w:w="80"/>
              <w:right w:type="dxa" w:w="100"/>
            </w:tcMar>
            <w:vAlign w:val="center"/>
          </w:tcPr>
          <w:p>
            <w:r>
              <w:rPr>
                <w:b w:val="false"/>
                <w:bCs w:val="false"/>
                <w:color w:val="000000"/>
                <w:sz w:val="20"/>
                <w:szCs w:val="20"/>
              </w:rPr>
              <w:t xml:space="preserve">36.5%</w:t>
            </w:r>
          </w:p>
        </w:tc>
        <w:tc>
          <w:tcPr>
            <w:tcW w:type="dxa" w:w="1550"/>
            <w:tcMar>
              <w:top w:type="dxa" w:w="80"/>
              <w:left w:type="dxa" w:w="100"/>
              <w:bottom w:type="dxa" w:w="80"/>
              <w:right w:type="dxa" w:w="100"/>
            </w:tcMar>
            <w:vAlign w:val="center"/>
          </w:tcPr>
          <w:p>
            <w:r>
              <w:rPr>
                <w:b w:val="false"/>
                <w:bCs w:val="false"/>
                <w:color w:val="000000"/>
                <w:sz w:val="20"/>
                <w:szCs w:val="20"/>
              </w:rPr>
              <w:t xml:space="preserve">28.8%</w:t>
            </w:r>
          </w:p>
        </w:tc>
        <w:tc>
          <w:tcPr>
            <w:tcW w:type="dxa" w:w="1550"/>
            <w:tcMar>
              <w:top w:type="dxa" w:w="80"/>
              <w:left w:type="dxa" w:w="100"/>
              <w:bottom w:type="dxa" w:w="80"/>
              <w:right w:type="dxa" w:w="100"/>
            </w:tcMar>
            <w:vAlign w:val="center"/>
          </w:tcPr>
          <w:p>
            <w:r>
              <w:rPr>
                <w:b w:val="false"/>
                <w:bCs w:val="false"/>
                <w:color w:val="000000"/>
                <w:sz w:val="20"/>
                <w:szCs w:val="20"/>
              </w:rPr>
              <w:t xml:space="preserve">0</w:t>
            </w:r>
          </w:p>
        </w:tc>
        <w:tc>
          <w:tcPr>
            <w:tcW w:type="dxa" w:w="1550"/>
            <w:tcMar>
              <w:top w:type="dxa" w:w="80"/>
              <w:left w:type="dxa" w:w="100"/>
              <w:bottom w:type="dxa" w:w="80"/>
              <w:right w:type="dxa" w:w="100"/>
            </w:tcMar>
            <w:vAlign w:val="center"/>
          </w:tcPr>
          <w:p>
            <w:r>
              <w:rPr>
                <w:b w:val="false"/>
                <w:bCs w:val="false"/>
                <w:color w:val="000000"/>
                <w:sz w:val="20"/>
                <w:szCs w:val="20"/>
              </w:rPr>
              <w:t xml:space="preserve">100%</w:t>
            </w:r>
          </w:p>
        </w:tc>
        <w:tc>
          <w:tcPr>
            <w:tcW w:type="dxa" w:w="1900"/>
            <w:tcMar>
              <w:top w:type="dxa" w:w="80"/>
              <w:left w:type="dxa" w:w="100"/>
              <w:bottom w:type="dxa" w:w="80"/>
              <w:right w:type="dxa" w:w="100"/>
            </w:tcMar>
            <w:vAlign w:val="center"/>
          </w:tcPr>
          <w:p>
            <w:r>
              <w:rPr>
                <w:b w:val="false"/>
                <w:bCs w:val="false"/>
                <w:color w:val="000000"/>
                <w:sz w:val="20"/>
                <w:szCs w:val="20"/>
              </w:rPr>
              <w:t xml:space="preserve">0.265</w:t>
            </w:r>
          </w:p>
        </w:tc>
      </w:tr>
    </w:tbl>
    <w:p>
      <w:pPr>
        <w:spacing w:after="120"/>
      </w:pPr>
      <w:r>
        <w:t xml:space="preserve"/>
      </w:r>
    </w:p>
    <w:p>
      <w:pPr>
        <w:spacing w:after="120"/>
      </w:pPr>
      <w:r>
        <w:t xml:space="preserve">Pairwise overlap of novel valid sets: 668 vs 258 = 46.4%, 668 vs 876 = 42.9%, 258 vs 876 = 48.3%.</w:t>
      </w:r>
    </w:p>
    <w:p>
      <w:pPr>
        <w:pStyle w:val="Heading2"/>
        <w:spacing w:after="120" w:before="260"/>
      </w:pPr>
      <w:r>
        <w:t xml:space="preserve">Results — final_vae.pt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1550"/>
        <w:gridCol w:w="1550"/>
        <w:gridCol w:w="1550"/>
        <w:gridCol w:w="1900"/>
      </w:tblGrid>
      <w:tr>
        <w:tc>
          <w:tcPr>
            <w:tcW w:type="dxa" w:w="2000"/>
            <w:shd w:fill="2F5496" w:val="clear"/>
            <w:tcMar>
              <w:top w:type="dxa" w:w="80"/>
              <w:left w:type="dxa" w:w="100"/>
              <w:bottom w:type="dxa" w:w="80"/>
              <w:right w:type="dxa" w:w="100"/>
            </w:tcMar>
            <w:vAlign w:val="center"/>
          </w:tcPr>
          <w:p>
            <w:r>
              <w:rPr>
                <w:b/>
                <w:bCs/>
                <w:color w:val="FFFFFF"/>
                <w:sz w:val="20"/>
                <w:szCs w:val="20"/>
              </w:rPr>
              <w:t xml:space="preserve">Cell line</w:t>
            </w:r>
          </w:p>
        </w:tc>
        <w:tc>
          <w:tcPr>
            <w:tcW w:type="dxa" w:w="1550"/>
            <w:shd w:fill="2F5496" w:val="clear"/>
            <w:tcMar>
              <w:top w:type="dxa" w:w="80"/>
              <w:left w:type="dxa" w:w="100"/>
              <w:bottom w:type="dxa" w:w="80"/>
              <w:right w:type="dxa" w:w="100"/>
            </w:tcMar>
            <w:vAlign w:val="center"/>
          </w:tcPr>
          <w:p>
            <w:r>
              <w:rPr>
                <w:b/>
                <w:bCs/>
                <w:color w:val="FFFFFF"/>
                <w:sz w:val="20"/>
                <w:szCs w:val="20"/>
              </w:rPr>
              <w:t xml:space="preserve">Validity</w:t>
            </w:r>
          </w:p>
        </w:tc>
        <w:tc>
          <w:tcPr>
            <w:tcW w:type="dxa" w:w="1550"/>
            <w:shd w:fill="2F5496" w:val="clear"/>
            <w:tcMar>
              <w:top w:type="dxa" w:w="80"/>
              <w:left w:type="dxa" w:w="100"/>
              <w:bottom w:type="dxa" w:w="80"/>
              <w:right w:type="dxa" w:w="100"/>
            </w:tcMar>
            <w:vAlign w:val="center"/>
          </w:tcPr>
          <w:p>
            <w:r>
              <w:rPr>
                <w:b/>
                <w:bCs/>
                <w:color w:val="FFFFFF"/>
                <w:sz w:val="20"/>
                <w:szCs w:val="20"/>
              </w:rPr>
              <w:t xml:space="preserve">Uniqueness</w:t>
            </w:r>
          </w:p>
        </w:tc>
        <w:tc>
          <w:tcPr>
            <w:tcW w:type="dxa" w:w="1550"/>
            <w:shd w:fill="2F5496" w:val="clear"/>
            <w:tcMar>
              <w:top w:type="dxa" w:w="80"/>
              <w:left w:type="dxa" w:w="100"/>
              <w:bottom w:type="dxa" w:w="80"/>
              <w:right w:type="dxa" w:w="100"/>
            </w:tcMar>
            <w:vAlign w:val="center"/>
          </w:tcPr>
          <w:p>
            <w:r>
              <w:rPr>
                <w:b/>
                <w:bCs/>
                <w:color w:val="FFFFFF"/>
                <w:sz w:val="20"/>
                <w:szCs w:val="20"/>
              </w:rPr>
              <w:t xml:space="preserve">Exact train dupes</w:t>
            </w:r>
          </w:p>
        </w:tc>
        <w:tc>
          <w:tcPr>
            <w:tcW w:type="dxa" w:w="1550"/>
            <w:shd w:fill="2F5496" w:val="clear"/>
            <w:tcMar>
              <w:top w:type="dxa" w:w="80"/>
              <w:left w:type="dxa" w:w="100"/>
              <w:bottom w:type="dxa" w:w="80"/>
              <w:right w:type="dxa" w:w="100"/>
            </w:tcMar>
            <w:vAlign w:val="center"/>
          </w:tcPr>
          <w:p>
            <w:r>
              <w:rPr>
                <w:b/>
                <w:bCs/>
                <w:color w:val="FFFFFF"/>
                <w:sz w:val="20"/>
                <w:szCs w:val="20"/>
              </w:rPr>
              <w:t xml:space="preserve">Novelty rate</w:t>
            </w:r>
          </w:p>
        </w:tc>
        <w:tc>
          <w:tcPr>
            <w:tcW w:type="dxa" w:w="1900"/>
            <w:shd w:fill="2F5496" w:val="clear"/>
            <w:tcMar>
              <w:top w:type="dxa" w:w="80"/>
              <w:left w:type="dxa" w:w="100"/>
              <w:bottom w:type="dxa" w:w="80"/>
              <w:right w:type="dxa" w:w="100"/>
            </w:tcMar>
            <w:vAlign w:val="center"/>
          </w:tcPr>
          <w:p>
            <w:r>
              <w:rPr>
                <w:b/>
                <w:bCs/>
                <w:color w:val="FFFFFF"/>
                <w:sz w:val="20"/>
                <w:szCs w:val="20"/>
              </w:rPr>
              <w:t xml:space="preserve">Mean NN-Tanimoto</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ACH-000668</w:t>
            </w:r>
          </w:p>
        </w:tc>
        <w:tc>
          <w:tcPr>
            <w:tcW w:type="dxa" w:w="1550"/>
            <w:tcMar>
              <w:top w:type="dxa" w:w="80"/>
              <w:left w:type="dxa" w:w="100"/>
              <w:bottom w:type="dxa" w:w="80"/>
              <w:right w:type="dxa" w:w="100"/>
            </w:tcMar>
            <w:vAlign w:val="center"/>
          </w:tcPr>
          <w:p>
            <w:r>
              <w:rPr>
                <w:b w:val="false"/>
                <w:bCs w:val="false"/>
                <w:color w:val="000000"/>
                <w:sz w:val="20"/>
                <w:szCs w:val="20"/>
              </w:rPr>
              <w:t xml:space="preserve">26.5%</w:t>
            </w:r>
          </w:p>
        </w:tc>
        <w:tc>
          <w:tcPr>
            <w:tcW w:type="dxa" w:w="1550"/>
            <w:tcMar>
              <w:top w:type="dxa" w:w="80"/>
              <w:left w:type="dxa" w:w="100"/>
              <w:bottom w:type="dxa" w:w="80"/>
              <w:right w:type="dxa" w:w="100"/>
            </w:tcMar>
            <w:vAlign w:val="center"/>
          </w:tcPr>
          <w:p>
            <w:r>
              <w:rPr>
                <w:b w:val="false"/>
                <w:bCs w:val="false"/>
                <w:color w:val="000000"/>
                <w:sz w:val="20"/>
                <w:szCs w:val="20"/>
              </w:rPr>
              <w:t xml:space="preserve">34.0%</w:t>
            </w:r>
          </w:p>
        </w:tc>
        <w:tc>
          <w:tcPr>
            <w:tcW w:type="dxa" w:w="1550"/>
            <w:tcMar>
              <w:top w:type="dxa" w:w="80"/>
              <w:left w:type="dxa" w:w="100"/>
              <w:bottom w:type="dxa" w:w="80"/>
              <w:right w:type="dxa" w:w="100"/>
            </w:tcMar>
            <w:vAlign w:val="center"/>
          </w:tcPr>
          <w:p>
            <w:r>
              <w:rPr>
                <w:b w:val="false"/>
                <w:bCs w:val="false"/>
                <w:color w:val="000000"/>
                <w:sz w:val="20"/>
                <w:szCs w:val="20"/>
              </w:rPr>
              <w:t xml:space="preserve">0</w:t>
            </w:r>
          </w:p>
        </w:tc>
        <w:tc>
          <w:tcPr>
            <w:tcW w:type="dxa" w:w="1550"/>
            <w:tcMar>
              <w:top w:type="dxa" w:w="80"/>
              <w:left w:type="dxa" w:w="100"/>
              <w:bottom w:type="dxa" w:w="80"/>
              <w:right w:type="dxa" w:w="100"/>
            </w:tcMar>
            <w:vAlign w:val="center"/>
          </w:tcPr>
          <w:p>
            <w:r>
              <w:rPr>
                <w:b w:val="false"/>
                <w:bCs w:val="false"/>
                <w:color w:val="000000"/>
                <w:sz w:val="20"/>
                <w:szCs w:val="20"/>
              </w:rPr>
              <w:t xml:space="preserve">100%</w:t>
            </w:r>
          </w:p>
        </w:tc>
        <w:tc>
          <w:tcPr>
            <w:tcW w:type="dxa" w:w="1900"/>
            <w:tcMar>
              <w:top w:type="dxa" w:w="80"/>
              <w:left w:type="dxa" w:w="100"/>
              <w:bottom w:type="dxa" w:w="80"/>
              <w:right w:type="dxa" w:w="100"/>
            </w:tcMar>
            <w:vAlign w:val="center"/>
          </w:tcPr>
          <w:p>
            <w:r>
              <w:rPr>
                <w:b w:val="false"/>
                <w:bCs w:val="false"/>
                <w:color w:val="000000"/>
                <w:sz w:val="20"/>
                <w:szCs w:val="20"/>
              </w:rPr>
              <w:t xml:space="preserve">0.241</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ACH-000258</w:t>
            </w:r>
          </w:p>
        </w:tc>
        <w:tc>
          <w:tcPr>
            <w:tcW w:type="dxa" w:w="1550"/>
            <w:tcMar>
              <w:top w:type="dxa" w:w="80"/>
              <w:left w:type="dxa" w:w="100"/>
              <w:bottom w:type="dxa" w:w="80"/>
              <w:right w:type="dxa" w:w="100"/>
            </w:tcMar>
            <w:vAlign w:val="center"/>
          </w:tcPr>
          <w:p>
            <w:r>
              <w:rPr>
                <w:b w:val="false"/>
                <w:bCs w:val="false"/>
                <w:color w:val="000000"/>
                <w:sz w:val="20"/>
                <w:szCs w:val="20"/>
              </w:rPr>
              <w:t xml:space="preserve">34.5%</w:t>
            </w:r>
          </w:p>
        </w:tc>
        <w:tc>
          <w:tcPr>
            <w:tcW w:type="dxa" w:w="1550"/>
            <w:tcMar>
              <w:top w:type="dxa" w:w="80"/>
              <w:left w:type="dxa" w:w="100"/>
              <w:bottom w:type="dxa" w:w="80"/>
              <w:right w:type="dxa" w:w="100"/>
            </w:tcMar>
            <w:vAlign w:val="center"/>
          </w:tcPr>
          <w:p>
            <w:r>
              <w:rPr>
                <w:b w:val="false"/>
                <w:bCs w:val="false"/>
                <w:color w:val="000000"/>
                <w:sz w:val="20"/>
                <w:szCs w:val="20"/>
              </w:rPr>
              <w:t xml:space="preserve">33.3%</w:t>
            </w:r>
          </w:p>
        </w:tc>
        <w:tc>
          <w:tcPr>
            <w:tcW w:type="dxa" w:w="1550"/>
            <w:tcMar>
              <w:top w:type="dxa" w:w="80"/>
              <w:left w:type="dxa" w:w="100"/>
              <w:bottom w:type="dxa" w:w="80"/>
              <w:right w:type="dxa" w:w="100"/>
            </w:tcMar>
            <w:vAlign w:val="center"/>
          </w:tcPr>
          <w:p>
            <w:r>
              <w:rPr>
                <w:b w:val="false"/>
                <w:bCs w:val="false"/>
                <w:color w:val="000000"/>
                <w:sz w:val="20"/>
                <w:szCs w:val="20"/>
              </w:rPr>
              <w:t xml:space="preserve">0</w:t>
            </w:r>
          </w:p>
        </w:tc>
        <w:tc>
          <w:tcPr>
            <w:tcW w:type="dxa" w:w="1550"/>
            <w:tcMar>
              <w:top w:type="dxa" w:w="80"/>
              <w:left w:type="dxa" w:w="100"/>
              <w:bottom w:type="dxa" w:w="80"/>
              <w:right w:type="dxa" w:w="100"/>
            </w:tcMar>
            <w:vAlign w:val="center"/>
          </w:tcPr>
          <w:p>
            <w:r>
              <w:rPr>
                <w:b w:val="false"/>
                <w:bCs w:val="false"/>
                <w:color w:val="000000"/>
                <w:sz w:val="20"/>
                <w:szCs w:val="20"/>
              </w:rPr>
              <w:t xml:space="preserve">100%</w:t>
            </w:r>
          </w:p>
        </w:tc>
        <w:tc>
          <w:tcPr>
            <w:tcW w:type="dxa" w:w="1900"/>
            <w:tcMar>
              <w:top w:type="dxa" w:w="80"/>
              <w:left w:type="dxa" w:w="100"/>
              <w:bottom w:type="dxa" w:w="80"/>
              <w:right w:type="dxa" w:w="100"/>
            </w:tcMar>
            <w:vAlign w:val="center"/>
          </w:tcPr>
          <w:p>
            <w:r>
              <w:rPr>
                <w:b w:val="false"/>
                <w:bCs w:val="false"/>
                <w:color w:val="000000"/>
                <w:sz w:val="20"/>
                <w:szCs w:val="20"/>
              </w:rPr>
              <w:t xml:space="preserve">0.230</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ACH-000876</w:t>
            </w:r>
          </w:p>
        </w:tc>
        <w:tc>
          <w:tcPr>
            <w:tcW w:type="dxa" w:w="1550"/>
            <w:tcMar>
              <w:top w:type="dxa" w:w="80"/>
              <w:left w:type="dxa" w:w="100"/>
              <w:bottom w:type="dxa" w:w="80"/>
              <w:right w:type="dxa" w:w="100"/>
            </w:tcMar>
            <w:vAlign w:val="center"/>
          </w:tcPr>
          <w:p>
            <w:r>
              <w:rPr>
                <w:b w:val="false"/>
                <w:bCs w:val="false"/>
                <w:color w:val="000000"/>
                <w:sz w:val="20"/>
                <w:szCs w:val="20"/>
              </w:rPr>
              <w:t xml:space="preserve">28.0%</w:t>
            </w:r>
          </w:p>
        </w:tc>
        <w:tc>
          <w:tcPr>
            <w:tcW w:type="dxa" w:w="1550"/>
            <w:tcMar>
              <w:top w:type="dxa" w:w="80"/>
              <w:left w:type="dxa" w:w="100"/>
              <w:bottom w:type="dxa" w:w="80"/>
              <w:right w:type="dxa" w:w="100"/>
            </w:tcMar>
            <w:vAlign w:val="center"/>
          </w:tcPr>
          <w:p>
            <w:r>
              <w:rPr>
                <w:b w:val="false"/>
                <w:bCs w:val="false"/>
                <w:color w:val="000000"/>
                <w:sz w:val="20"/>
                <w:szCs w:val="20"/>
              </w:rPr>
              <w:t xml:space="preserve">44.6%</w:t>
            </w:r>
          </w:p>
        </w:tc>
        <w:tc>
          <w:tcPr>
            <w:tcW w:type="dxa" w:w="1550"/>
            <w:tcMar>
              <w:top w:type="dxa" w:w="80"/>
              <w:left w:type="dxa" w:w="100"/>
              <w:bottom w:type="dxa" w:w="80"/>
              <w:right w:type="dxa" w:w="100"/>
            </w:tcMar>
            <w:vAlign w:val="center"/>
          </w:tcPr>
          <w:p>
            <w:r>
              <w:rPr>
                <w:b w:val="false"/>
                <w:bCs w:val="false"/>
                <w:color w:val="000000"/>
                <w:sz w:val="20"/>
                <w:szCs w:val="20"/>
              </w:rPr>
              <w:t xml:space="preserve">0</w:t>
            </w:r>
          </w:p>
        </w:tc>
        <w:tc>
          <w:tcPr>
            <w:tcW w:type="dxa" w:w="1550"/>
            <w:tcMar>
              <w:top w:type="dxa" w:w="80"/>
              <w:left w:type="dxa" w:w="100"/>
              <w:bottom w:type="dxa" w:w="80"/>
              <w:right w:type="dxa" w:w="100"/>
            </w:tcMar>
            <w:vAlign w:val="center"/>
          </w:tcPr>
          <w:p>
            <w:r>
              <w:rPr>
                <w:b w:val="false"/>
                <w:bCs w:val="false"/>
                <w:color w:val="000000"/>
                <w:sz w:val="20"/>
                <w:szCs w:val="20"/>
              </w:rPr>
              <w:t xml:space="preserve">100%</w:t>
            </w:r>
          </w:p>
        </w:tc>
        <w:tc>
          <w:tcPr>
            <w:tcW w:type="dxa" w:w="1900"/>
            <w:tcMar>
              <w:top w:type="dxa" w:w="80"/>
              <w:left w:type="dxa" w:w="100"/>
              <w:bottom w:type="dxa" w:w="80"/>
              <w:right w:type="dxa" w:w="100"/>
            </w:tcMar>
            <w:vAlign w:val="center"/>
          </w:tcPr>
          <w:p>
            <w:r>
              <w:rPr>
                <w:b w:val="false"/>
                <w:bCs w:val="false"/>
                <w:color w:val="000000"/>
                <w:sz w:val="20"/>
                <w:szCs w:val="20"/>
              </w:rPr>
              <w:t xml:space="preserve">0.246</w:t>
            </w:r>
          </w:p>
        </w:tc>
      </w:tr>
    </w:tbl>
    <w:p>
      <w:pPr>
        <w:spacing w:after="120"/>
      </w:pPr>
      <w:r>
        <w:t xml:space="preserve"/>
      </w:r>
    </w:p>
    <w:p>
      <w:pPr>
        <w:spacing w:after="120"/>
      </w:pPr>
      <w:r>
        <w:t xml:space="preserve">Pairwise overlap: 668 vs 258 = 36.7%, 668 vs 876 = 30.3%, 258 vs 876 = 29.7%.</w:t>
      </w:r>
    </w:p>
    <w:p>
      <w:pPr>
        <w:pStyle w:val="Heading2"/>
        <w:spacing w:after="120" w:before="260"/>
      </w:pPr>
      <w:r>
        <w:t xml:space="preserve">Key findings</w:t>
      </w:r>
    </w:p>
    <w:p>
      <w:pPr>
        <w:pStyle w:val="ListParagraph"/>
        <w:numPr>
          <w:ilvl w:val="0"/>
          <w:numId w:val="1"/>
        </w:numPr>
        <w:spacing w:after="80"/>
      </w:pPr>
      <w:r>
        <w:t xml:space="preserve">Validity doesn't match the 81.25% you reported. Same checkpoint (best_vae.pt), same greedy decoding as train.py's eval loop, but I'm getting 36.5-45%. Need to reconcile — see ask #1 below.</w:t>
      </w:r>
    </w:p>
    <w:p>
      <w:pPr>
        <w:pStyle w:val="ListParagraph"/>
        <w:numPr>
          <w:ilvl w:val="0"/>
          <w:numId w:val="1"/>
        </w:numPr>
        <w:spacing w:after="80"/>
      </w:pPr>
      <w:r>
        <w:t xml:space="preserve">Uniqueness is low (~25-29% for best_vae.pt, ~34-45% for final_vae.pt) — out of 200 samples, only ~50-90 distinct valid molecules. This looks like mode collapse: the model is repeatedly generating a small set of "safe" structures rather than exploring broadly.</w:t>
      </w:r>
    </w:p>
    <w:p>
      <w:pPr>
        <w:pStyle w:val="ListParagraph"/>
        <w:numPr>
          <w:ilvl w:val="0"/>
          <w:numId w:val="1"/>
        </w:numPr>
        <w:spacing w:after="80"/>
      </w:pPr>
      <w:r>
        <w:t xml:space="preserve">Novelty rate is ~96-100% (almost nothing is an exact training-set copy) — good on the surface, but mean nearest-neighbor Tanimoto similarity to the training set is only 0.19-0.27, which is quite low. This could mean genuinely novel chemical space, OR it could mean the "novel" molecules are chemically unrelated to anything known to be effective — i.e. validity without relevance. We have no signal yet on whether these novel molecules would actually be predicted effective for the cell line.</w:t>
      </w:r>
    </w:p>
    <w:p>
      <w:pPr>
        <w:pStyle w:val="ListParagraph"/>
        <w:numPr>
          <w:ilvl w:val="0"/>
          <w:numId w:val="1"/>
        </w:numPr>
        <w:spacing w:after="80"/>
      </w:pPr>
      <w:r>
        <w:t xml:space="preserve">Cross-cell-line overlap is 30-48% — moderate. Not full collapse into one generic set, but not strongly cell-line-specific either.</w:t>
      </w:r>
    </w:p>
    <w:p>
      <w:pPr>
        <w:pStyle w:val="ListParagraph"/>
        <w:numPr>
          <w:ilvl w:val="0"/>
          <w:numId w:val="1"/>
        </w:numPr>
        <w:spacing w:after="80"/>
      </w:pPr>
      <w:r>
        <w:t xml:space="preserve">final_vae.pt has lower validity but higher uniqueness than best_vae.pt, and lower cross-cell-line overlap. Neither checkpoint is strictly better across all metrics.</w:t>
      </w:r>
    </w:p>
    <w:p>
      <w:pPr>
        <w:pStyle w:val="Heading2"/>
        <w:spacing w:after="120" w:before="260"/>
      </w:pPr>
      <w:r>
        <w:t xml:space="preserve">What I need from you — yes, continue training, but targeted changes (not just "more epochs")</w:t>
      </w:r>
    </w:p>
    <w:p>
      <w:pPr>
        <w:pStyle w:val="ListParagraph"/>
        <w:numPr>
          <w:ilvl w:val="0"/>
          <w:numId w:val="2"/>
        </w:numPr>
        <w:spacing w:after="100"/>
      </w:pPr>
      <w:r>
        <w:t xml:space="preserve">Reconcile the validity number. Tell me exactly how the 81.25% was computed (which checkpoint, how many samples, which cell line/z_C, greedy vs. temperature sampling) so we can explain the gap before trusting either number.</w:t>
      </w:r>
    </w:p>
    <w:p>
      <w:pPr>
        <w:pStyle w:val="ListParagraph"/>
        <w:numPr>
          <w:ilvl w:val="0"/>
          <w:numId w:val="2"/>
        </w:numPr>
        <w:spacing w:after="100"/>
      </w:pPr>
      <w:r>
        <w:t xml:space="preserve">Address mode collapse (low uniqueness). Try a KL annealing / warm-up schedule (start kl_weight much lower, e.g. 0.01, and ramp up over the first ~20 epochs) instead of a fixed kl_weight=0.1 from step 1 — this is the standard fix for posterior collapse in RNN-VAEs. Also re-evaluate validity/uniqueness at a couple of sampling temperatures (e.g. 0.8 and 1.2), not just 1.0.</w:t>
      </w:r>
    </w:p>
    <w:p>
      <w:pPr>
        <w:pStyle w:val="ListParagraph"/>
        <w:numPr>
          <w:ilvl w:val="0"/>
          <w:numId w:val="2"/>
        </w:numPr>
        <w:spacing w:after="100"/>
      </w:pPr>
      <w:r>
        <w:t xml:space="preserve">Strengthen the conditioning signal (moderate cross-cell-line overlap). Right now z_C only enters the decoder once, at the initial hidden state (h0) — over a 120-token max sequence, that signal likely fades as the GRU decodes. Try injecting z_c at every decoder timestep (concatenate z_c to the token embedding at each step, or FiLM-style modulation) instead of only at h0, and re-run the Q3 overlap test to see if it drops.</w:t>
      </w:r>
    </w:p>
    <w:p>
      <w:pPr>
        <w:pStyle w:val="ListParagraph"/>
        <w:numPr>
          <w:ilvl w:val="0"/>
          <w:numId w:val="2"/>
        </w:numPr>
        <w:spacing w:after="100"/>
      </w:pPr>
      <w:r>
        <w:t xml:space="preserve">Data augmentation. We're training on a small set (top 20% lowest-IC50 compounds per cell line). Try SMILES enumeration — generate multiple non-canonical SMILES strings per molecule as additional training examples — to reduce overfitting/mode collapse without needing new experimental data.</w:t>
      </w:r>
    </w:p>
    <w:p>
      <w:pPr>
        <w:pStyle w:val="ListParagraph"/>
        <w:numPr>
          <w:ilvl w:val="0"/>
          <w:numId w:val="2"/>
        </w:numPr>
        <w:spacing w:after="100"/>
      </w:pPr>
      <w:r>
        <w:t xml:space="preserve">(Stretch, discuss before starting) Close the loop with the actual DL4DR predictor. Right now the VAE's only signal for "good molecule" is reconstruction of already-effective training compounds — there's no explicit check that a newly generated molecule would actually be predicted effective for that cell line. Once we're happier with validity/uniqueness, we should run generated novel molecules back through the frozen DL4DR predictor and report predicted IC50, so we know if "novel" also means "plausibly effective", not just "chemically valid and different from training".</w:t>
      </w:r>
    </w:p>
    <w:p>
      <w:pPr>
        <w:spacing w:after="120"/>
      </w:pPr>
      <w:r>
        <w:t xml:space="preserve"/>
      </w:r>
    </w:p>
    <w:p>
      <w:pPr>
        <w:spacing w:after="120"/>
      </w:pPr>
      <w:r>
        <w:t xml:space="preserve">Let's sync after you've had a chance to try #1-#2 — those are the fastest to test and will tell us whether we're chasing a training instability issue or a fundamental data-size issue before we invest in the architecture change (#3) or the closed-loop eval (#5).</w:t>
      </w:r>
    </w:p>
    <w:p>
      <w:pPr>
        <w:spacing w:after="120"/>
      </w:pPr>
      <w:r>
        <w:t xml:space="preserve">Thanks!</w:t>
      </w:r>
    </w:p>
    <w:p>
      <w:pPr>
        <w:spacing w:after="120"/>
      </w:pPr>
      <w:r>
        <w:t xml:space="preserve">Bay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2026-07-16T12:59:38.797Z</dcterms:created>
  <dcterms:modified xsi:type="dcterms:W3CDTF">2026-07-16T12:59:38.821Z</dcterms:modified>
</cp:coreProperties>
</file>

<file path=docProps/custom.xml><?xml version="1.0" encoding="utf-8"?>
<Properties xmlns="http://schemas.openxmlformats.org/officeDocument/2006/custom-properties" xmlns:vt="http://schemas.openxmlformats.org/officeDocument/2006/docPropsVTypes"/>
</file>