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pPr>
      <w:r>
        <w:rPr>
          <w:rFonts w:ascii="Inter Display" w:hAnsi="Inter Display"/>
          <w:b/>
          <w:i w:val="0"/>
          <w:color w:val="265F78"/>
          <w:sz w:val="22"/>
        </w:rPr>
        <w:t>VUORO</w:t>
      </w:r>
    </w:p>
    <w:p>
      <w:pPr>
        <w:pStyle w:val="Title"/>
        <w:spacing w:after="100"/>
      </w:pPr>
      <w:r>
        <w:rPr>
          <w:rFonts w:ascii="Inter Display" w:hAnsi="Inter Display"/>
          <w:b/>
          <w:i w:val="0"/>
          <w:color w:val="19232D"/>
          <w:sz w:val="56"/>
        </w:rPr>
        <w:t>Multi-Host Control Plane</w:t>
      </w:r>
    </w:p>
    <w:p>
      <w:pPr>
        <w:pStyle w:val="Title"/>
        <w:spacing w:after="280"/>
      </w:pPr>
      <w:r>
        <w:rPr>
          <w:rFonts w:ascii="Inter Display" w:hAnsi="Inter Display"/>
          <w:b/>
          <w:i w:val="0"/>
          <w:color w:val="265F78"/>
          <w:sz w:val="56"/>
        </w:rPr>
        <w:t>Implementation Planner</w:t>
      </w:r>
    </w:p>
    <w:p>
      <w:pPr>
        <w:pStyle w:val="Subtitle"/>
      </w:pPr>
      <w:r>
        <w:rPr>
          <w:rFonts w:ascii="Inter" w:hAnsi="Inter"/>
          <w:b w:val="0"/>
          <w:i w:val="0"/>
          <w:color w:val="5B6874"/>
          <w:sz w:val="24"/>
        </w:rPr>
        <w:t>Kubernetes authority plane, host-local ACP runners, Outctl evidence, OpenBao plus existing cred-broker, OPA policy, and bounded cross-host work paths</w:t>
      </w:r>
    </w:p>
    <w:tbl>
      <w:tblPr>
        <w:tblW w:type="auto" w:w="0"/>
        <w:jc w:val="left"/>
        <w:tblLayout w:type="fixed"/>
        <w:tblLook w:firstColumn="1" w:firstRow="1" w:lastColumn="0" w:lastRow="0" w:noHBand="0" w:noVBand="1" w:val="04A0"/>
      </w:tblPr>
      <w:tblGrid>
        <w:gridCol w:w="4933"/>
        <w:gridCol w:w="4933"/>
      </w:tblGrid>
      <w:tr>
        <w:trPr>
          <w:cantSplit/>
        </w:trPr>
        <w:tc>
          <w:tcPr>
            <w:tcW w:type="dxa" w:w="2381"/>
            <w:shd w:fill="265F78"/>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7"/>
              </w:rPr>
              <w:t>Plan ID</w:t>
            </w:r>
          </w:p>
        </w:tc>
        <w:tc>
          <w:tcPr>
            <w:tcW w:type="dxa" w:w="7370"/>
            <w:shd w:fill="F7F9FA"/>
            <w:tcBorders>
              <w:top w:val="single" w:sz="4" w:color="CDD6DC"/>
              <w:left w:val="single" w:sz="4" w:color="CDD6DC"/>
              <w:bottom w:val="single" w:sz="4" w:color="CDD6DC"/>
              <w:right w:val="single" w:sz="4" w:color="CDD6DC"/>
            </w:tcBorders>
          </w:tcPr>
          <w:p>
            <w:pPr>
              <w:spacing w:after="0"/>
            </w:pPr>
            <w:r>
              <w:rPr>
                <w:rFonts w:ascii="Inter" w:hAnsi="Inter"/>
                <w:b w:val="0"/>
                <w:i w:val="0"/>
                <w:color w:val="19232D"/>
                <w:sz w:val="17"/>
              </w:rPr>
              <w:t>VUORO-CP-2026-01</w:t>
            </w:r>
          </w:p>
        </w:tc>
      </w:tr>
      <w:tr>
        <w:trPr>
          <w:cantSplit/>
        </w:trPr>
        <w:tc>
          <w:tcPr>
            <w:tcW w:type="dxa" w:w="2381"/>
            <w:shd w:fill="EDF2F5"/>
            <w:tcBorders>
              <w:top w:val="single" w:sz="4" w:color="CDD6DC"/>
              <w:left w:val="single" w:sz="4" w:color="CDD6DC"/>
              <w:bottom w:val="single" w:sz="4" w:color="CDD6DC"/>
              <w:right w:val="single" w:sz="4" w:color="CDD6DC"/>
            </w:tcBorders>
          </w:tcPr>
          <w:p>
            <w:pPr>
              <w:spacing w:after="0"/>
            </w:pPr>
            <w:r>
              <w:rPr>
                <w:rFonts w:ascii="Inter" w:hAnsi="Inter"/>
                <w:b/>
                <w:i w:val="0"/>
                <w:color w:val="265F78"/>
                <w:sz w:val="17"/>
              </w:rPr>
              <w:t>Baseline</w:t>
            </w:r>
          </w:p>
        </w:tc>
        <w:tc>
          <w:tcPr>
            <w:tcW w:type="dxa" w:w="7370"/>
            <w:shd w:fill="F7F9FA"/>
            <w:tcBorders>
              <w:top w:val="single" w:sz="4" w:color="CDD6DC"/>
              <w:left w:val="single" w:sz="4" w:color="CDD6DC"/>
              <w:bottom w:val="single" w:sz="4" w:color="CDD6DC"/>
              <w:right w:val="single" w:sz="4" w:color="CDD6DC"/>
            </w:tcBorders>
          </w:tcPr>
          <w:p>
            <w:pPr>
              <w:spacing w:after="0"/>
            </w:pPr>
            <w:r>
              <w:rPr>
                <w:rFonts w:ascii="Inter" w:hAnsi="Inter"/>
                <w:b w:val="0"/>
                <w:i w:val="0"/>
                <w:color w:val="19232D"/>
                <w:sz w:val="17"/>
              </w:rPr>
              <w:t>15 August 2026</w:t>
            </w:r>
          </w:p>
        </w:tc>
      </w:tr>
      <w:tr>
        <w:trPr>
          <w:cantSplit/>
        </w:trPr>
        <w:tc>
          <w:tcPr>
            <w:tcW w:type="dxa" w:w="2381"/>
            <w:shd w:fill="EDF2F5"/>
            <w:tcBorders>
              <w:top w:val="single" w:sz="4" w:color="CDD6DC"/>
              <w:left w:val="single" w:sz="4" w:color="CDD6DC"/>
              <w:bottom w:val="single" w:sz="4" w:color="CDD6DC"/>
              <w:right w:val="single" w:sz="4" w:color="CDD6DC"/>
            </w:tcBorders>
          </w:tcPr>
          <w:p>
            <w:pPr>
              <w:spacing w:after="0"/>
            </w:pPr>
            <w:r>
              <w:rPr>
                <w:rFonts w:ascii="Inter" w:hAnsi="Inter"/>
                <w:b/>
                <w:i w:val="0"/>
                <w:color w:val="265F78"/>
                <w:sz w:val="17"/>
              </w:rPr>
              <w:t>Status</w:t>
            </w:r>
          </w:p>
        </w:tc>
        <w:tc>
          <w:tcPr>
            <w:tcW w:type="dxa" w:w="7370"/>
            <w:shd w:fill="F7F9FA"/>
            <w:tcBorders>
              <w:top w:val="single" w:sz="4" w:color="CDD6DC"/>
              <w:left w:val="single" w:sz="4" w:color="CDD6DC"/>
              <w:bottom w:val="single" w:sz="4" w:color="CDD6DC"/>
              <w:right w:val="single" w:sz="4" w:color="CDD6DC"/>
            </w:tcBorders>
          </w:tcPr>
          <w:p>
            <w:pPr>
              <w:spacing w:after="0"/>
            </w:pPr>
            <w:r>
              <w:rPr>
                <w:rFonts w:ascii="Inter" w:hAnsi="Inter"/>
                <w:b w:val="0"/>
                <w:i w:val="0"/>
                <w:color w:val="19232D"/>
                <w:sz w:val="17"/>
              </w:rPr>
              <w:t>Ready for backlog decomposition</w:t>
            </w:r>
          </w:p>
        </w:tc>
      </w:tr>
      <w:tr>
        <w:trPr>
          <w:cantSplit/>
        </w:trPr>
        <w:tc>
          <w:tcPr>
            <w:tcW w:type="dxa" w:w="2381"/>
            <w:shd w:fill="EDF2F5"/>
            <w:tcBorders>
              <w:top w:val="single" w:sz="4" w:color="CDD6DC"/>
              <w:left w:val="single" w:sz="4" w:color="CDD6DC"/>
              <w:bottom w:val="single" w:sz="4" w:color="CDD6DC"/>
              <w:right w:val="single" w:sz="4" w:color="CDD6DC"/>
            </w:tcBorders>
          </w:tcPr>
          <w:p>
            <w:pPr>
              <w:spacing w:after="0"/>
            </w:pPr>
            <w:r>
              <w:rPr>
                <w:rFonts w:ascii="Inter" w:hAnsi="Inter"/>
                <w:b/>
                <w:i w:val="0"/>
                <w:color w:val="265F78"/>
                <w:sz w:val="17"/>
              </w:rPr>
              <w:t>Reuse assumption</w:t>
            </w:r>
          </w:p>
        </w:tc>
        <w:tc>
          <w:tcPr>
            <w:tcW w:type="dxa" w:w="7370"/>
            <w:shd w:fill="F7F9FA"/>
            <w:tcBorders>
              <w:top w:val="single" w:sz="4" w:color="CDD6DC"/>
              <w:left w:val="single" w:sz="4" w:color="CDD6DC"/>
              <w:bottom w:val="single" w:sz="4" w:color="CDD6DC"/>
              <w:right w:val="single" w:sz="4" w:color="CDD6DC"/>
            </w:tcBorders>
          </w:tcPr>
          <w:p>
            <w:pPr>
              <w:spacing w:after="0"/>
            </w:pPr>
            <w:r>
              <w:rPr>
                <w:rFonts w:ascii="Inter" w:hAnsi="Inter"/>
                <w:b w:val="0"/>
                <w:i w:val="0"/>
                <w:color w:val="19232D"/>
                <w:sz w:val="17"/>
              </w:rPr>
              <w:t>Existing cred-broker is retained and commissioned as part of OpenBao rollout</w:t>
            </w:r>
          </w:p>
        </w:tc>
      </w:tr>
      <w:tr>
        <w:trPr>
          <w:cantSplit/>
        </w:trPr>
        <w:tc>
          <w:tcPr>
            <w:tcW w:type="dxa" w:w="2381"/>
            <w:shd w:fill="EDF2F5"/>
            <w:tcBorders>
              <w:top w:val="single" w:sz="4" w:color="CDD6DC"/>
              <w:left w:val="single" w:sz="4" w:color="CDD6DC"/>
              <w:bottom w:val="single" w:sz="4" w:color="CDD6DC"/>
              <w:right w:val="single" w:sz="4" w:color="CDD6DC"/>
            </w:tcBorders>
          </w:tcPr>
          <w:p>
            <w:pPr>
              <w:spacing w:after="0"/>
            </w:pPr>
            <w:r>
              <w:rPr>
                <w:rFonts w:ascii="Inter" w:hAnsi="Inter"/>
                <w:b/>
                <w:i w:val="0"/>
                <w:color w:val="265F78"/>
                <w:sz w:val="17"/>
              </w:rPr>
              <w:t>Primary outcome</w:t>
            </w:r>
          </w:p>
        </w:tc>
        <w:tc>
          <w:tcPr>
            <w:tcW w:type="dxa" w:w="7370"/>
            <w:shd w:fill="F7F9FA"/>
            <w:tcBorders>
              <w:top w:val="single" w:sz="4" w:color="CDD6DC"/>
              <w:left w:val="single" w:sz="4" w:color="CDD6DC"/>
              <w:bottom w:val="single" w:sz="4" w:color="CDD6DC"/>
              <w:right w:val="single" w:sz="4" w:color="CDD6DC"/>
            </w:tcBorders>
          </w:tcPr>
          <w:p>
            <w:pPr>
              <w:spacing w:after="0"/>
            </w:pPr>
            <w:r>
              <w:rPr>
                <w:rFonts w:ascii="Inter" w:hAnsi="Inter"/>
                <w:b w:val="0"/>
                <w:i w:val="0"/>
                <w:color w:val="19232D"/>
                <w:sz w:val="17"/>
              </w:rPr>
              <w:t>A clean namespaced bundle referenced by two or more execution hosts</w:t>
            </w:r>
          </w:p>
        </w:tc>
      </w:tr>
    </w:tbl>
    <w:p>
      <w:pPr>
        <w:spacing w:before="480"/>
      </w:pPr>
      <w:r>
        <w:rPr>
          <w:rFonts w:ascii="Inter" w:hAnsi="Inter"/>
          <w:b/>
          <w:i w:val="0"/>
          <w:color w:val="265F78"/>
          <w:sz w:val="20"/>
        </w:rPr>
        <w:t>Implementation principle</w:t>
      </w:r>
    </w:p>
    <w:p>
      <w:r>
        <w:rPr>
          <w:rFonts w:ascii="Inter" w:hAnsi="Inter"/>
          <w:b/>
          <w:i w:val="0"/>
          <w:color w:val="19232D"/>
          <w:sz w:val="26"/>
        </w:rPr>
        <w:t>Centralize only what requires agreement. Reuse what already exists. Keep execution where the repositories, tools, credentials, and interactive sessions live.</w:t>
      </w:r>
    </w:p>
    <w:p>
      <w:r>
        <w:br w:type="page"/>
      </w:r>
    </w:p>
    <w:p>
      <w:pPr>
        <w:pStyle w:val="Heading1"/>
      </w:pPr>
      <w:r>
        <w:t>Contents</w:t>
      </w:r>
    </w:p>
    <w:p>
      <w:pPr>
        <w:pStyle w:val="ListBullet"/>
      </w:pPr>
      <w:r>
        <w:rPr>
          <w:rFonts w:ascii="Inter" w:hAnsi="Inter"/>
          <w:b w:val="0"/>
          <w:i w:val="0"/>
          <w:color w:val="19232D"/>
          <w:sz w:val="19"/>
        </w:rPr>
        <w:t>1. Executive direction and scope</w:t>
      </w:r>
    </w:p>
    <w:p>
      <w:pPr>
        <w:pStyle w:val="ListBullet"/>
      </w:pPr>
      <w:r>
        <w:rPr>
          <w:rFonts w:ascii="Inter" w:hAnsi="Inter"/>
          <w:b w:val="0"/>
          <w:i w:val="0"/>
          <w:color w:val="19232D"/>
          <w:sz w:val="19"/>
        </w:rPr>
        <w:t>2. Target architecture and ownership</w:t>
      </w:r>
    </w:p>
    <w:p>
      <w:pPr>
        <w:pStyle w:val="ListBullet"/>
      </w:pPr>
      <w:r>
        <w:rPr>
          <w:rFonts w:ascii="Inter" w:hAnsi="Inter"/>
          <w:b w:val="0"/>
          <w:i w:val="0"/>
          <w:color w:val="19232D"/>
          <w:sz w:val="19"/>
        </w:rPr>
        <w:t>3. Core contracts</w:t>
      </w:r>
    </w:p>
    <w:p>
      <w:pPr>
        <w:pStyle w:val="ListBullet"/>
      </w:pPr>
      <w:r>
        <w:rPr>
          <w:rFonts w:ascii="Inter" w:hAnsi="Inter"/>
          <w:b w:val="0"/>
          <w:i w:val="0"/>
          <w:color w:val="19232D"/>
          <w:sz w:val="19"/>
        </w:rPr>
        <w:t>4. OpenBao and cred-broker rollout</w:t>
      </w:r>
    </w:p>
    <w:p>
      <w:pPr>
        <w:pStyle w:val="ListBullet"/>
      </w:pPr>
      <w:r>
        <w:rPr>
          <w:rFonts w:ascii="Inter" w:hAnsi="Inter"/>
          <w:b w:val="0"/>
          <w:i w:val="0"/>
          <w:color w:val="19232D"/>
          <w:sz w:val="19"/>
        </w:rPr>
        <w:t>5. Milestones and critical path</w:t>
      </w:r>
    </w:p>
    <w:p>
      <w:pPr>
        <w:pStyle w:val="ListBullet"/>
      </w:pPr>
      <w:r>
        <w:rPr>
          <w:rFonts w:ascii="Inter" w:hAnsi="Inter"/>
          <w:b w:val="0"/>
          <w:i w:val="0"/>
          <w:color w:val="19232D"/>
          <w:sz w:val="19"/>
        </w:rPr>
        <w:t>6. Workstream execution cards</w:t>
      </w:r>
    </w:p>
    <w:p>
      <w:pPr>
        <w:pStyle w:val="ListBullet"/>
      </w:pPr>
      <w:r>
        <w:rPr>
          <w:rFonts w:ascii="Inter" w:hAnsi="Inter"/>
          <w:b w:val="0"/>
          <w:i w:val="0"/>
          <w:color w:val="19232D"/>
          <w:sz w:val="19"/>
        </w:rPr>
        <w:t>7. Validation, rollout, and rollback</w:t>
      </w:r>
    </w:p>
    <w:p>
      <w:pPr>
        <w:pStyle w:val="ListBullet"/>
      </w:pPr>
      <w:r>
        <w:rPr>
          <w:rFonts w:ascii="Inter" w:hAnsi="Inter"/>
          <w:b w:val="0"/>
          <w:i w:val="0"/>
          <w:color w:val="19232D"/>
          <w:sz w:val="19"/>
        </w:rPr>
        <w:t>8. Risk and dependency exits</w:t>
      </w:r>
    </w:p>
    <w:p>
      <w:pPr>
        <w:pStyle w:val="ListBullet"/>
      </w:pPr>
      <w:r>
        <w:rPr>
          <w:rFonts w:ascii="Inter" w:hAnsi="Inter"/>
          <w:b w:val="0"/>
          <w:i w:val="0"/>
          <w:color w:val="19232D"/>
          <w:sz w:val="19"/>
        </w:rPr>
        <w:t>Appendix A. Detailed backlog</w:t>
      </w:r>
    </w:p>
    <w:p>
      <w:pPr>
        <w:pStyle w:val="ListBullet"/>
      </w:pPr>
      <w:r>
        <w:rPr>
          <w:rFonts w:ascii="Inter" w:hAnsi="Inter"/>
          <w:b w:val="0"/>
          <w:i w:val="0"/>
          <w:color w:val="19232D"/>
          <w:sz w:val="19"/>
        </w:rPr>
        <w:t>Appendix B. Contract sketches</w:t>
      </w:r>
    </w:p>
    <w:p>
      <w:pPr>
        <w:pStyle w:val="ListBullet"/>
      </w:pPr>
      <w:r>
        <w:rPr>
          <w:rFonts w:ascii="Inter" w:hAnsi="Inter"/>
          <w:b w:val="0"/>
          <w:i w:val="0"/>
          <w:color w:val="19232D"/>
          <w:sz w:val="19"/>
        </w:rPr>
        <w:t>Appendix C. Failure-injection matrix</w:t>
      </w:r>
    </w:p>
    <w:tbl>
      <w:tblPr>
        <w:tblW w:type="auto" w:w="0"/>
        <w:jc w:val="center"/>
        <w:tblLook w:firstColumn="1" w:firstRow="1" w:lastColumn="0" w:lastRow="0" w:noHBand="0" w:noVBand="1" w:val="04A0"/>
      </w:tblPr>
      <w:tblGrid>
        <w:gridCol w:w="9866"/>
      </w:tblGrid>
      <w:tr>
        <w:trPr>
          <w:cantSplit/>
        </w:trPr>
        <w:tc>
          <w:tcPr>
            <w:tcW w:type="dxa" w:w="9866"/>
            <w:shd w:fill="EDF2F5"/>
            <w:tcBorders>
              <w:top w:val="single" w:sz="10" w:color="265F78"/>
              <w:left w:val="single" w:sz="10" w:color="265F78"/>
              <w:bottom w:val="single" w:sz="10" w:color="265F78"/>
              <w:right w:val="single" w:sz="10" w:color="265F78"/>
            </w:tcBorders>
          </w:tcPr>
          <w:p>
            <w:pPr>
              <w:spacing w:after="40"/>
            </w:pPr>
            <w:r>
              <w:rPr>
                <w:rFonts w:ascii="Inter" w:hAnsi="Inter"/>
                <w:b/>
                <w:i w:val="0"/>
                <w:color w:val="265F78"/>
                <w:sz w:val="20"/>
              </w:rPr>
              <w:t>How to use this planner</w:t>
            </w:r>
          </w:p>
          <w:p>
            <w:pPr>
              <w:spacing w:after="0"/>
            </w:pPr>
            <w:r>
              <w:rPr>
                <w:rFonts w:ascii="Inter" w:hAnsi="Inter"/>
                <w:b w:val="0"/>
                <w:i w:val="0"/>
                <w:color w:val="19232D"/>
                <w:sz w:val="18"/>
              </w:rPr>
              <w:t>Treat milestone gates as release conditions, not calendar promises. Land the structured YAML items into Sprintctl after repository discovery. Do not adopt an optional dependency without its named gate and exit note.</w:t>
            </w:r>
          </w:p>
        </w:tc>
      </w:tr>
    </w:tbl>
    <w:p>
      <w:pPr>
        <w:spacing w:after="0"/>
      </w:pPr>
    </w:p>
    <w:p>
      <w:pPr>
        <w:pStyle w:val="Heading1"/>
      </w:pPr>
      <w:r>
        <w:t>1. Executive direction and scope</w:t>
      </w:r>
    </w:p>
    <w:p>
      <w:pPr>
        <w:spacing w:after="100"/>
      </w:pPr>
      <w:r>
        <w:rPr>
          <w:rFonts w:ascii="Inter" w:hAnsi="Inter"/>
          <w:b w:val="0"/>
          <w:i w:val="0"/>
          <w:color w:val="19232D"/>
          <w:sz w:val="19"/>
        </w:rPr>
        <w:t>Build `vuoro-control` as a namespaced Helm/Flux release and `vuoro-runnerd` as a host-local service. Reuse the existing cred-broker as a separately versioned component inside the namespace or through an existing endpoint. Kubernetes owns shared identity, authority, recovery, policy, grant and credential metadata, and evidence indexes. Hosts own live harnesses, worktrees, local command execution, credential injection, and interactive attachment.</w:t>
      </w:r>
    </w:p>
    <w:p>
      <w:pPr>
        <w:pStyle w:val="Heading2"/>
      </w:pPr>
      <w:r>
        <w:t>1.1 Definition of done</w:t>
      </w:r>
    </w:p>
    <w:p>
      <w:pPr>
        <w:pStyle w:val="ListBullet"/>
      </w:pPr>
      <w:r>
        <w:rPr>
          <w:rFonts w:ascii="Inter" w:hAnsi="Inter"/>
          <w:b w:val="0"/>
          <w:i w:val="0"/>
          <w:color w:val="19232D"/>
          <w:sz w:val="19"/>
        </w:rPr>
        <w:t>Two or more hosts run independent and coordinated sessions through one canonical control plane.</w:t>
      </w:r>
    </w:p>
    <w:p>
      <w:pPr>
        <w:pStyle w:val="ListBullet"/>
      </w:pPr>
      <w:r>
        <w:rPr>
          <w:rFonts w:ascii="Inter" w:hAnsi="Inter"/>
          <w:b w:val="0"/>
          <w:i w:val="0"/>
          <w:color w:val="19232D"/>
          <w:sz w:val="19"/>
        </w:rPr>
        <w:t>ACP abstracts local harness control and every update is durably spooled before acknowledgement.</w:t>
      </w:r>
    </w:p>
    <w:p>
      <w:pPr>
        <w:pStyle w:val="ListBullet"/>
      </w:pPr>
      <w:r>
        <w:rPr>
          <w:rFonts w:ascii="Inter" w:hAnsi="Inter"/>
          <w:b w:val="0"/>
          <w:i w:val="0"/>
          <w:color w:val="19232D"/>
          <w:sz w:val="19"/>
        </w:rPr>
        <w:t>OpenBao plus the existing cred-broker provide stable logical credentials to agents and other actors.</w:t>
      </w:r>
    </w:p>
    <w:p>
      <w:pPr>
        <w:pStyle w:val="ListBullet"/>
      </w:pPr>
      <w:r>
        <w:rPr>
          <w:rFonts w:ascii="Inter" w:hAnsi="Inter"/>
          <w:b w:val="0"/>
          <w:i w:val="0"/>
          <w:color w:val="19232D"/>
          <w:sz w:val="19"/>
        </w:rPr>
        <w:t>Vuoro owns actor/work/session binding, credential tickets, grants, effect descriptors, policy linkage, and evidence correlation.</w:t>
      </w:r>
    </w:p>
    <w:p>
      <w:pPr>
        <w:pStyle w:val="ListBullet"/>
      </w:pPr>
      <w:r>
        <w:rPr>
          <w:rFonts w:ascii="Inter" w:hAnsi="Inter"/>
          <w:b w:val="0"/>
          <w:i w:val="0"/>
          <w:color w:val="19232D"/>
          <w:sz w:val="19"/>
        </w:rPr>
        <w:t>OPA evaluates a Vuoro-owned schema and begins in observation mode.</w:t>
      </w:r>
    </w:p>
    <w:p>
      <w:pPr>
        <w:pStyle w:val="ListBullet"/>
      </w:pPr>
      <w:r>
        <w:rPr>
          <w:rFonts w:ascii="Inter" w:hAnsi="Inter"/>
          <w:b w:val="0"/>
          <w:i w:val="0"/>
          <w:color w:val="19232D"/>
          <w:sz w:val="19"/>
        </w:rPr>
        <w:t>Bounded work paths support semi-independent execution without peer consensus or transparent live migration.</w:t>
      </w:r>
    </w:p>
    <w:p>
      <w:pPr>
        <w:pStyle w:val="Heading2"/>
      </w:pPr>
      <w:r>
        <w:t>1.2 Locked decisions</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7"/>
              </w:rPr>
              <w:t>Decision</w:t>
            </w:r>
          </w:p>
        </w:tc>
        <w:tc>
          <w:tcPr>
            <w:tcW w:type="dxa" w:w="7370"/>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7"/>
              </w:rPr>
              <w:t>Consequence</w:t>
            </w:r>
          </w:p>
        </w:tc>
      </w:tr>
      <w:tr>
        <w:trPr>
          <w:cantSplit/>
        </w:trPr>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Hybrid boundary</w:t>
            </w:r>
          </w:p>
        </w:tc>
        <w:tc>
          <w:tcPr>
            <w:tcW w:type="dxa" w:w="737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Kubernetes coordinates; hosts execute.</w:t>
            </w:r>
          </w:p>
        </w:tc>
      </w:tr>
      <w:tr>
        <w:trPr>
          <w:cantSplit/>
        </w:trPr>
        <w:tc>
          <w:tcPr>
            <w:tcW w:type="dxa" w:w="238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7"/>
              </w:rPr>
              <w:t>ACP</w:t>
            </w:r>
          </w:p>
        </w:tc>
        <w:tc>
          <w:tcPr>
            <w:tcW w:type="dxa" w:w="737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7"/>
              </w:rPr>
              <w:t>Local stdio boundary, not the cross-host protocol.</w:t>
            </w:r>
          </w:p>
        </w:tc>
      </w:tr>
      <w:tr>
        <w:trPr>
          <w:cantSplit/>
        </w:trPr>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ActionQ</w:t>
            </w:r>
          </w:p>
        </w:tc>
        <w:tc>
          <w:tcPr>
            <w:tcW w:type="dxa" w:w="737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Durable run domain remains native.</w:t>
            </w:r>
          </w:p>
        </w:tc>
      </w:tr>
      <w:tr>
        <w:trPr>
          <w:cantSplit/>
        </w:trPr>
        <w:tc>
          <w:tcPr>
            <w:tcW w:type="dxa" w:w="238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7"/>
              </w:rPr>
              <w:t>Sprintctl</w:t>
            </w:r>
          </w:p>
        </w:tc>
        <w:tc>
          <w:tcPr>
            <w:tcW w:type="dxa" w:w="737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7"/>
              </w:rPr>
              <w:t>Work authority remains native; no transparent task sync.</w:t>
            </w:r>
          </w:p>
        </w:tc>
      </w:tr>
      <w:tr>
        <w:trPr>
          <w:cantSplit/>
        </w:trPr>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Outctl</w:t>
            </w:r>
          </w:p>
        </w:tc>
        <w:tc>
          <w:tcPr>
            <w:tcW w:type="dxa" w:w="737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Evidence first, then redaction and projection.</w:t>
            </w:r>
          </w:p>
        </w:tc>
      </w:tr>
      <w:tr>
        <w:trPr>
          <w:cantSplit/>
        </w:trPr>
        <w:tc>
          <w:tcPr>
            <w:tcW w:type="dxa" w:w="238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7"/>
              </w:rPr>
              <w:t>OpenBao</w:t>
            </w:r>
          </w:p>
        </w:tc>
        <w:tc>
          <w:tcPr>
            <w:tcW w:type="dxa" w:w="737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7"/>
              </w:rPr>
              <w:t>Stable provider for secret and lease lifecycle.</w:t>
            </w:r>
          </w:p>
        </w:tc>
      </w:tr>
      <w:tr>
        <w:trPr>
          <w:cantSplit/>
        </w:trPr>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cred-broker</w:t>
            </w:r>
          </w:p>
        </w:tc>
        <w:tc>
          <w:tcPr>
            <w:tcW w:type="dxa" w:w="737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Existing first-party delivery service is reused; no second broker in vuoro-control.</w:t>
            </w:r>
          </w:p>
        </w:tc>
      </w:tr>
      <w:tr>
        <w:trPr>
          <w:cantSplit/>
        </w:trPr>
        <w:tc>
          <w:tcPr>
            <w:tcW w:type="dxa" w:w="238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7"/>
              </w:rPr>
              <w:t>OPA</w:t>
            </w:r>
          </w:p>
        </w:tc>
        <w:tc>
          <w:tcPr>
            <w:tcW w:type="dxa" w:w="737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7"/>
              </w:rPr>
              <w:t>Adopted, direct Rego, observe before enforce.</w:t>
            </w:r>
          </w:p>
        </w:tc>
      </w:tr>
      <w:tr>
        <w:trPr>
          <w:cantSplit/>
        </w:trPr>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Optional tools</w:t>
            </w:r>
          </w:p>
        </w:tc>
        <w:tc>
          <w:tcPr>
            <w:tcW w:type="dxa" w:w="737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RTK measured; ToolHive, DBOS, Beads gated individually.</w:t>
            </w:r>
          </w:p>
        </w:tc>
      </w:tr>
    </w:tbl>
    <w:p>
      <w:pPr>
        <w:spacing w:after="0"/>
      </w:pPr>
    </w:p>
    <w:p>
      <w:pPr>
        <w:pStyle w:val="Heading2"/>
      </w:pPr>
      <w:r>
        <w:t>1.3 Non-goals</w:t>
      </w:r>
    </w:p>
    <w:p>
      <w:pPr>
        <w:pStyle w:val="ListBullet"/>
      </w:pPr>
      <w:r>
        <w:rPr>
          <w:rFonts w:ascii="Inter" w:hAnsi="Inter"/>
          <w:b w:val="0"/>
          <w:i w:val="0"/>
          <w:color w:val="19232D"/>
          <w:sz w:val="19"/>
        </w:rPr>
        <w:t>Full swarm semantics, agent consensus, or peer gossip.</w:t>
      </w:r>
    </w:p>
    <w:p>
      <w:pPr>
        <w:pStyle w:val="ListBullet"/>
      </w:pPr>
      <w:r>
        <w:rPr>
          <w:rFonts w:ascii="Inter" w:hAnsi="Inter"/>
          <w:b w:val="0"/>
          <w:i w:val="0"/>
          <w:color w:val="19232D"/>
          <w:sz w:val="19"/>
        </w:rPr>
        <w:t>Transparent migration of opaque provider conversations between hosts.</w:t>
      </w:r>
    </w:p>
    <w:p>
      <w:pPr>
        <w:pStyle w:val="ListBullet"/>
      </w:pPr>
      <w:r>
        <w:rPr>
          <w:rFonts w:ascii="Inter" w:hAnsi="Inter"/>
          <w:b w:val="0"/>
          <w:i w:val="0"/>
          <w:color w:val="19232D"/>
          <w:sz w:val="19"/>
        </w:rPr>
        <w:t>A browser terminal relay or Kubernetes-hosted shared tmux in the first release.</w:t>
      </w:r>
    </w:p>
    <w:p>
      <w:pPr>
        <w:pStyle w:val="ListBullet"/>
      </w:pPr>
      <w:r>
        <w:rPr>
          <w:rFonts w:ascii="Inter" w:hAnsi="Inter"/>
          <w:b w:val="0"/>
          <w:i w:val="0"/>
          <w:color w:val="19232D"/>
          <w:sz w:val="19"/>
        </w:rPr>
        <w:t>Direct host access to PostgreSQL, internal controller credentials, or OpenBao.</w:t>
      </w:r>
    </w:p>
    <w:p>
      <w:pPr>
        <w:pStyle w:val="ListBullet"/>
      </w:pPr>
      <w:r>
        <w:rPr>
          <w:rFonts w:ascii="Inter" w:hAnsi="Inter"/>
          <w:b w:val="0"/>
          <w:i w:val="0"/>
          <w:color w:val="19232D"/>
          <w:sz w:val="19"/>
        </w:rPr>
        <w:t>A second credential broker or a policy engine embedded in cred-broker.</w:t>
      </w:r>
    </w:p>
    <w:p>
      <w:pPr>
        <w:pStyle w:val="ListBullet"/>
      </w:pPr>
      <w:r>
        <w:rPr>
          <w:rFonts w:ascii="Inter" w:hAnsi="Inter"/>
          <w:b w:val="0"/>
          <w:i w:val="0"/>
          <w:color w:val="19232D"/>
          <w:sz w:val="19"/>
        </w:rPr>
        <w:t>Permanent PTY fallback or permanent dual schedulers.</w:t>
      </w:r>
    </w:p>
    <w:p>
      <w:pPr>
        <w:pStyle w:val="Heading1"/>
      </w:pPr>
      <w:r>
        <w:t>2. Target architecture and ownership</w:t>
      </w:r>
    </w:p>
    <w:tbl>
      <w:tblPr>
        <w:tblW w:type="auto" w:w="0"/>
        <w:jc w:val="center"/>
        <w:tblLook w:firstColumn="1" w:firstRow="1" w:lastColumn="0" w:lastRow="0" w:noHBand="0" w:noVBand="1" w:val="04A0"/>
      </w:tblPr>
      <w:tblGrid>
        <w:gridCol w:w="9866"/>
      </w:tblGrid>
      <w:tr>
        <w:trPr>
          <w:cantSplit/>
        </w:trPr>
        <w:tc>
          <w:tcPr>
            <w:tcW w:type="dxa" w:w="9866"/>
            <w:shd w:fill="F1F4F6"/>
            <w:tcBorders>
              <w:top w:val="single" w:sz="4" w:color="CDD6DC"/>
              <w:left w:val="single" w:sz="4" w:color="CDD6DC"/>
              <w:bottom w:val="single" w:sz="4" w:color="CDD6DC"/>
              <w:right w:val="single" w:sz="4" w:color="CDD6DC"/>
            </w:tcBorders>
          </w:tcPr>
          <w:p>
            <w:pPr>
              <w:spacing w:after="0"/>
            </w:pPr>
            <w:r>
              <w:rPr>
                <w:rFonts w:ascii="DejaVu Sans Mono" w:hAnsi="DejaVu Sans Mono"/>
                <w:b w:val="0"/>
                <w:i w:val="0"/>
                <w:color w:val="19232D"/>
                <w:sz w:val="16"/>
              </w:rPr>
              <w:t xml:space="preserve">                         Kubernetes: vuoro-system</w:t>
            </w:r>
            <w:r>
              <w:br/>
            </w:r>
            <w:r>
              <w:rPr>
                <w:rFonts w:ascii="DejaVu Sans Mono" w:hAnsi="DejaVu Sans Mono"/>
                <w:b w:val="0"/>
                <w:i w:val="0"/>
                <w:color w:val="19232D"/>
                <w:sz w:val="16"/>
              </w:rPr>
              <w:t xml:space="preserve">                +---------------------------------------+</w:t>
            </w:r>
            <w:r>
              <w:br/>
            </w:r>
            <w:r>
              <w:rPr>
                <w:rFonts w:ascii="DejaVu Sans Mono" w:hAnsi="DejaVu Sans Mono"/>
                <w:b w:val="0"/>
                <w:i w:val="0"/>
                <w:color w:val="19232D"/>
                <w:sz w:val="16"/>
              </w:rPr>
              <w:t xml:space="preserve">                | vuoro-control                         |</w:t>
            </w:r>
            <w:r>
              <w:br/>
            </w:r>
            <w:r>
              <w:rPr>
                <w:rFonts w:ascii="DejaVu Sans Mono" w:hAnsi="DejaVu Sans Mono"/>
                <w:b w:val="0"/>
                <w:i w:val="0"/>
                <w:color w:val="19232D"/>
                <w:sz w:val="16"/>
              </w:rPr>
              <w:t xml:space="preserve">                | ActionQ API/reconciler                |</w:t>
            </w:r>
            <w:r>
              <w:br/>
            </w:r>
            <w:r>
              <w:rPr>
                <w:rFonts w:ascii="DejaVu Sans Mono" w:hAnsi="DejaVu Sans Mono"/>
                <w:b w:val="0"/>
                <w:i w:val="0"/>
                <w:color w:val="19232D"/>
                <w:sz w:val="16"/>
              </w:rPr>
              <w:t xml:space="preserve">                | Sprintctl served authority            |</w:t>
            </w:r>
            <w:r>
              <w:br/>
            </w:r>
            <w:r>
              <w:rPr>
                <w:rFonts w:ascii="DejaVu Sans Mono" w:hAnsi="DejaVu Sans Mono"/>
                <w:b w:val="0"/>
                <w:i w:val="0"/>
                <w:color w:val="19232D"/>
                <w:sz w:val="16"/>
              </w:rPr>
              <w:t xml:space="preserve">                | event/evidence ingest                 |</w:t>
            </w:r>
            <w:r>
              <w:br/>
            </w:r>
            <w:r>
              <w:rPr>
                <w:rFonts w:ascii="DejaVu Sans Mono" w:hAnsi="DejaVu Sans Mono"/>
                <w:b w:val="0"/>
                <w:i w:val="0"/>
                <w:color w:val="19232D"/>
                <w:sz w:val="16"/>
              </w:rPr>
              <w:t xml:space="preserve">                | grant ledger + policy adapter         |</w:t>
            </w:r>
            <w:r>
              <w:br/>
            </w:r>
            <w:r>
              <w:rPr>
                <w:rFonts w:ascii="DejaVu Sans Mono" w:hAnsi="DejaVu Sans Mono"/>
                <w:b w:val="0"/>
                <w:i w:val="0"/>
                <w:color w:val="19232D"/>
                <w:sz w:val="16"/>
              </w:rPr>
              <w:t xml:space="preserve">                | OPA                                   |</w:t>
            </w:r>
            <w:r>
              <w:br/>
            </w:r>
            <w:r>
              <w:rPr>
                <w:rFonts w:ascii="DejaVu Sans Mono" w:hAnsi="DejaVu Sans Mono"/>
                <w:b w:val="0"/>
                <w:i w:val="0"/>
                <w:color w:val="19232D"/>
                <w:sz w:val="16"/>
              </w:rPr>
              <w:t xml:space="preserve">                | cred-broker (existing, reused)        |</w:t>
            </w:r>
            <w:r>
              <w:br/>
            </w:r>
            <w:r>
              <w:rPr>
                <w:rFonts w:ascii="DejaVu Sans Mono" w:hAnsi="DejaVu Sans Mono"/>
                <w:b w:val="0"/>
                <w:i w:val="0"/>
                <w:color w:val="19232D"/>
                <w:sz w:val="16"/>
              </w:rPr>
              <w:t xml:space="preserve">                | PostgreSQL + object references        |</w:t>
            </w:r>
            <w:r>
              <w:br/>
            </w:r>
            <w:r>
              <w:rPr>
                <w:rFonts w:ascii="DejaVu Sans Mono" w:hAnsi="DejaVu Sans Mono"/>
                <w:b w:val="0"/>
                <w:i w:val="0"/>
                <w:color w:val="19232D"/>
                <w:sz w:val="16"/>
              </w:rPr>
              <w:t xml:space="preserve">                +-------------------+-------------------+</w:t>
            </w:r>
            <w:r>
              <w:br/>
            </w:r>
            <w:r>
              <w:rPr>
                <w:rFonts w:ascii="DejaVu Sans Mono" w:hAnsi="DejaVu Sans Mono"/>
                <w:b w:val="0"/>
                <w:i w:val="0"/>
                <w:color w:val="19232D"/>
                <w:sz w:val="16"/>
              </w:rPr>
              <w:t xml:space="preserve">                                    | cred-broker -&gt; OpenBao</w:t>
            </w:r>
            <w:r>
              <w:br/>
            </w:r>
            <w:r>
              <w:rPr>
                <w:rFonts w:ascii="DejaVu Sans Mono" w:hAnsi="DejaVu Sans Mono"/>
                <w:b w:val="0"/>
                <w:i w:val="0"/>
                <w:color w:val="19232D"/>
                <w:sz w:val="16"/>
              </w:rPr>
              <w:t xml:space="preserve">                                    | private runner API</w:t>
            </w:r>
            <w:r>
              <w:br/>
            </w:r>
            <w:r>
              <w:rPr>
                <w:rFonts w:ascii="DejaVu Sans Mono" w:hAnsi="DejaVu Sans Mono"/>
                <w:b w:val="0"/>
                <w:i w:val="0"/>
                <w:color w:val="19232D"/>
                <w:sz w:val="16"/>
              </w:rPr>
              <w:t xml:space="preserve">                   +----------------+----------------+</w:t>
            </w:r>
            <w:r>
              <w:br/>
            </w:r>
            <w:r>
              <w:rPr>
                <w:rFonts w:ascii="DejaVu Sans Mono" w:hAnsi="DejaVu Sans Mono"/>
                <w:b w:val="0"/>
                <w:i w:val="0"/>
                <w:color w:val="19232D"/>
                <w:sz w:val="16"/>
              </w:rPr>
              <w:t xml:space="preserve">                   |                                 |</w:t>
            </w:r>
            <w:r>
              <w:br/>
            </w:r>
            <w:r>
              <w:rPr>
                <w:rFonts w:ascii="DejaVu Sans Mono" w:hAnsi="DejaVu Sans Mono"/>
                <w:b w:val="0"/>
                <w:i w:val="0"/>
                <w:color w:val="19232D"/>
                <w:sz w:val="16"/>
              </w:rPr>
              <w:t xml:space="preserve">            workstation                         devbox / other</w:t>
            </w:r>
            <w:r>
              <w:br/>
            </w:r>
            <w:r>
              <w:rPr>
                <w:rFonts w:ascii="DejaVu Sans Mono" w:hAnsi="DejaVu Sans Mono"/>
                <w:b w:val="0"/>
                <w:i w:val="0"/>
                <w:color w:val="19232D"/>
                <w:sz w:val="16"/>
              </w:rPr>
              <w:t xml:space="preserve">            vuoro-runnerd                       vuoro-runnerd</w:t>
            </w:r>
            <w:r>
              <w:br/>
            </w:r>
            <w:r>
              <w:rPr>
                <w:rFonts w:ascii="DejaVu Sans Mono" w:hAnsi="DejaVu Sans Mono"/>
                <w:b w:val="0"/>
                <w:i w:val="0"/>
                <w:color w:val="19232D"/>
                <w:sz w:val="16"/>
              </w:rPr>
              <w:t xml:space="preserve">            ACP -&gt; local harness                ACP -&gt; local harness</w:t>
            </w:r>
            <w:r>
              <w:br/>
            </w:r>
            <w:r>
              <w:rPr>
                <w:rFonts w:ascii="DejaVu Sans Mono" w:hAnsi="DejaVu Sans Mono"/>
                <w:b w:val="0"/>
                <w:i w:val="0"/>
                <w:color w:val="19232D"/>
                <w:sz w:val="16"/>
              </w:rPr>
              <w:t xml:space="preserve">            Outctl + encrypted spool            Outctl + encrypted spool</w:t>
            </w:r>
            <w:r>
              <w:br/>
            </w:r>
            <w:r>
              <w:rPr>
                <w:rFonts w:ascii="DejaVu Sans Mono" w:hAnsi="DejaVu Sans Mono"/>
                <w:b w:val="0"/>
                <w:i w:val="0"/>
                <w:color w:val="19232D"/>
                <w:sz w:val="16"/>
              </w:rPr>
              <w:t xml:space="preserve">            worktrees / tmux                    worktrees / tmux</w:t>
            </w:r>
            <w:r>
              <w:br/>
            </w:r>
            <w:r>
              <w:rPr>
                <w:rFonts w:ascii="DejaVu Sans Mono" w:hAnsi="DejaVu Sans Mono"/>
                <w:b w:val="0"/>
                <w:i w:val="0"/>
                <w:color w:val="19232D"/>
                <w:sz w:val="16"/>
              </w:rPr>
              <w:t xml:space="preserve">            credential injection                credential injection</w:t>
            </w:r>
          </w:p>
        </w:tc>
      </w:tr>
    </w:tbl>
    <w:p>
      <w:pPr>
        <w:spacing w:after="0"/>
      </w:pPr>
    </w:p>
    <w:p>
      <w:pPr>
        <w:pStyle w:val="Heading2"/>
      </w:pPr>
      <w:r>
        <w:t>2.1 Component ownership</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7"/>
              </w:rPr>
              <w:t>Component</w:t>
            </w:r>
          </w:p>
        </w:tc>
        <w:tc>
          <w:tcPr>
            <w:tcW w:type="dxa" w:w="7370"/>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7"/>
              </w:rPr>
              <w:t>Owns</w:t>
            </w:r>
          </w:p>
        </w:tc>
      </w:tr>
      <w:tr>
        <w:trPr>
          <w:cantSplit/>
        </w:trPr>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Sprintctl</w:t>
            </w:r>
          </w:p>
        </w:tc>
        <w:tc>
          <w:tcPr>
            <w:tcW w:type="dxa" w:w="737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Canonical work authority, readiness, plan and portfolio projection.</w:t>
            </w:r>
          </w:p>
        </w:tc>
      </w:tr>
      <w:tr>
        <w:trPr>
          <w:cantSplit/>
        </w:trPr>
        <w:tc>
          <w:tcPr>
            <w:tcW w:type="dxa" w:w="238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7"/>
              </w:rPr>
              <w:t>ActionQ</w:t>
            </w:r>
          </w:p>
        </w:tc>
        <w:tc>
          <w:tcPr>
            <w:tcW w:type="dxa" w:w="737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7"/>
              </w:rPr>
              <w:t>Run attempts, placement, leases, reconciliation, settlement, child-run delegation, capacity.</w:t>
            </w:r>
          </w:p>
        </w:tc>
      </w:tr>
      <w:tr>
        <w:trPr>
          <w:cantSplit/>
        </w:trPr>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vuoro-control</w:t>
            </w:r>
          </w:p>
        </w:tc>
        <w:tc>
          <w:tcPr>
            <w:tcW w:type="dxa" w:w="737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Shared API, identity registry, events, grants, policy adapter, evidence index, operator views.</w:t>
            </w:r>
          </w:p>
        </w:tc>
      </w:tr>
      <w:tr>
        <w:trPr>
          <w:cantSplit/>
        </w:trPr>
        <w:tc>
          <w:tcPr>
            <w:tcW w:type="dxa" w:w="238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7"/>
              </w:rPr>
              <w:t>vuoro-runnerd</w:t>
            </w:r>
          </w:p>
        </w:tc>
        <w:tc>
          <w:tcPr>
            <w:tcW w:type="dxa" w:w="737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7"/>
              </w:rPr>
              <w:t>Host execution, local durability, worktrees/tmux, ACP, Outctl, credential injection.</w:t>
            </w:r>
          </w:p>
        </w:tc>
      </w:tr>
      <w:tr>
        <w:trPr>
          <w:cantSplit/>
        </w:trPr>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cred-broker</w:t>
            </w:r>
          </w:p>
        </w:tc>
        <w:tc>
          <w:tcPr>
            <w:tcW w:type="dxa" w:w="737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CredentialTicket validation, logical catalog mapping, OpenBao operations, lease delivery and provider audit.</w:t>
            </w:r>
          </w:p>
        </w:tc>
      </w:tr>
      <w:tr>
        <w:trPr>
          <w:cantSplit/>
        </w:trPr>
        <w:tc>
          <w:tcPr>
            <w:tcW w:type="dxa" w:w="238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7"/>
              </w:rPr>
              <w:t>OpenBao</w:t>
            </w:r>
          </w:p>
        </w:tc>
        <w:tc>
          <w:tcPr>
            <w:tcW w:type="dxa" w:w="737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7"/>
              </w:rPr>
              <w:t>Secret values, issuance, lease, renewal, rotation, revocation, wrapping.</w:t>
            </w:r>
          </w:p>
        </w:tc>
      </w:tr>
      <w:tr>
        <w:trPr>
          <w:cantSplit/>
        </w:trPr>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OPA</w:t>
            </w:r>
          </w:p>
        </w:tc>
        <w:tc>
          <w:tcPr>
            <w:tcW w:type="dxa" w:w="737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7"/>
              </w:rPr>
              <w:t>Policy decision and tests; not work or grant authority.</w:t>
            </w:r>
          </w:p>
        </w:tc>
      </w:tr>
      <w:tr>
        <w:trPr>
          <w:cantSplit/>
        </w:trPr>
        <w:tc>
          <w:tcPr>
            <w:tcW w:type="dxa" w:w="238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7"/>
              </w:rPr>
              <w:t>Object storage</w:t>
            </w:r>
          </w:p>
        </w:tc>
        <w:tc>
          <w:tcPr>
            <w:tcW w:type="dxa" w:w="737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7"/>
              </w:rPr>
              <w:t>Evidence blobs only; PostgreSQL stores manifests and references.</w:t>
            </w:r>
          </w:p>
        </w:tc>
      </w:tr>
    </w:tbl>
    <w:p>
      <w:pPr>
        <w:spacing w:after="0"/>
      </w:pPr>
    </w:p>
    <w:p>
      <w:pPr>
        <w:pStyle w:val="Heading2"/>
      </w:pPr>
      <w:r>
        <w:t>2.2 Suggested repository ownership</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6"/>
              </w:rPr>
              <w:t>Area</w:t>
            </w:r>
          </w:p>
        </w:tc>
        <w:tc>
          <w:tcPr>
            <w:tcW w:type="dxa" w:w="6803"/>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6"/>
              </w:rPr>
              <w:t>Suggested owner</w:t>
            </w:r>
          </w:p>
        </w:tc>
      </w:tr>
      <w:tr>
        <w:trPr>
          <w:cantSplit/>
        </w:trPr>
        <w:tc>
          <w:tcPr>
            <w:tcW w:type="dxa" w:w="294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Vuoro / runner protocol</w:t>
            </w:r>
          </w:p>
        </w:tc>
        <w:tc>
          <w:tcPr>
            <w:tcW w:type="dxa" w:w="68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IdentitySchema, runner protocol, runnerd, session/incarnation lineage, composition contracts.</w:t>
            </w:r>
          </w:p>
        </w:tc>
      </w:tr>
      <w:tr>
        <w:trPr>
          <w:cantSplit/>
        </w:trPr>
        <w:tc>
          <w:tcPr>
            <w:tcW w:type="dxa" w:w="294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ActionQ</w:t>
            </w:r>
          </w:p>
        </w:tc>
        <w:tc>
          <w:tcPr>
            <w:tcW w:type="dxa" w:w="68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Run attempts, leases, reconciliation, placement, child-run delegation, capacity allocation.</w:t>
            </w:r>
          </w:p>
        </w:tc>
      </w:tr>
      <w:tr>
        <w:trPr>
          <w:cantSplit/>
        </w:trPr>
        <w:tc>
          <w:tcPr>
            <w:tcW w:type="dxa" w:w="294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Sprintctl</w:t>
            </w:r>
          </w:p>
        </w:tc>
        <w:tc>
          <w:tcPr>
            <w:tcW w:type="dxa" w:w="68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Work authority, readiness, plan/work-item lifecycle, portfolio projections.</w:t>
            </w:r>
          </w:p>
        </w:tc>
      </w:tr>
      <w:tr>
        <w:trPr>
          <w:cantSplit/>
        </w:trPr>
        <w:tc>
          <w:tcPr>
            <w:tcW w:type="dxa" w:w="294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Outctl</w:t>
            </w:r>
          </w:p>
        </w:tc>
        <w:tc>
          <w:tcPr>
            <w:tcW w:type="dxa" w:w="68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Evidence capture, redaction, projection, local spool, manifests, command lifecycle.</w:t>
            </w:r>
          </w:p>
        </w:tc>
      </w:tr>
      <w:tr>
        <w:trPr>
          <w:cantSplit/>
        </w:trPr>
        <w:tc>
          <w:tcPr>
            <w:tcW w:type="dxa" w:w="294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cred-broker</w:t>
            </w:r>
          </w:p>
        </w:tc>
        <w:tc>
          <w:tcPr>
            <w:tcW w:type="dxa" w:w="68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CredentialTicket validation, logical catalog mapping, OpenBao interaction, lease delivery and provider audit.</w:t>
            </w:r>
          </w:p>
        </w:tc>
      </w:tr>
      <w:tr>
        <w:trPr>
          <w:cantSplit/>
        </w:trPr>
        <w:tc>
          <w:tcPr>
            <w:tcW w:type="dxa" w:w="294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Policy / politctl</w:t>
            </w:r>
          </w:p>
        </w:tc>
        <w:tc>
          <w:tcPr>
            <w:tcW w:type="dxa" w:w="68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Rego source, tests, bundle release; PolicyInput schema remains in Vuoro core.</w:t>
            </w:r>
          </w:p>
        </w:tc>
      </w:tr>
      <w:tr>
        <w:trPr>
          <w:cantSplit/>
        </w:trPr>
        <w:tc>
          <w:tcPr>
            <w:tcW w:type="dxa" w:w="294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Infrastructure / appservice</w:t>
            </w:r>
          </w:p>
        </w:tc>
        <w:tc>
          <w:tcPr>
            <w:tcW w:type="dxa" w:w="68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Helm chart composition, Flux deployment, secrets references, NetworkPolicies, release promotion.</w:t>
            </w:r>
          </w:p>
        </w:tc>
      </w:tr>
    </w:tbl>
    <w:p>
      <w:pPr>
        <w:spacing w:after="0"/>
      </w:pPr>
    </w:p>
    <w:p>
      <w:pPr>
        <w:pStyle w:val="Heading2"/>
      </w:pPr>
      <w:r>
        <w:t>2.3 Network boundary</w:t>
      </w:r>
    </w:p>
    <w:p>
      <w:pPr>
        <w:pStyle w:val="ListBullet"/>
      </w:pPr>
      <w:r>
        <w:rPr>
          <w:rFonts w:ascii="Inter" w:hAnsi="Inter"/>
          <w:b w:val="0"/>
          <w:i w:val="0"/>
          <w:color w:val="19232D"/>
          <w:sz w:val="19"/>
        </w:rPr>
        <w:t>Hosts initiate private HTTPS connections to Vuoro; the cluster does not connect into host SSH or daemon ports.</w:t>
      </w:r>
    </w:p>
    <w:p>
      <w:pPr>
        <w:pStyle w:val="ListBullet"/>
      </w:pPr>
      <w:r>
        <w:rPr>
          <w:rFonts w:ascii="Inter" w:hAnsi="Inter"/>
          <w:b w:val="0"/>
          <w:i w:val="0"/>
          <w:color w:val="19232D"/>
          <w:sz w:val="19"/>
        </w:rPr>
        <w:t>Only cred-broker should require OpenBao network access in the initial topology.</w:t>
      </w:r>
    </w:p>
    <w:p>
      <w:pPr>
        <w:pStyle w:val="ListBullet"/>
      </w:pPr>
      <w:r>
        <w:rPr>
          <w:rFonts w:ascii="Inter" w:hAnsi="Inter"/>
          <w:b w:val="0"/>
          <w:i w:val="0"/>
          <w:color w:val="19232D"/>
          <w:sz w:val="19"/>
        </w:rPr>
        <w:t>vuoro-control signs credential tickets; cred-broker validates them and maps logical references to OpenBao.</w:t>
      </w:r>
    </w:p>
    <w:p>
      <w:pPr>
        <w:pStyle w:val="ListBullet"/>
      </w:pPr>
      <w:r>
        <w:rPr>
          <w:rFonts w:ascii="Inter" w:hAnsi="Inter"/>
          <w:b w:val="0"/>
          <w:i w:val="0"/>
          <w:color w:val="19232D"/>
          <w:sz w:val="19"/>
        </w:rPr>
        <w:t>Runnerd never receives a database credential and should not need a long-lived OpenBao bootstrap secret.</w:t>
      </w:r>
    </w:p>
    <w:p>
      <w:pPr>
        <w:pStyle w:val="Heading1"/>
      </w:pPr>
      <w:r>
        <w:t>3. Core contracts</w:t>
      </w:r>
    </w:p>
    <w:p>
      <w:pPr>
        <w:pStyle w:val="Heading2"/>
      </w:pPr>
      <w:r>
        <w:t>3.1 Identity spine</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948"/>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6"/>
              </w:rPr>
              <w:t>Field</w:t>
            </w:r>
          </w:p>
        </w:tc>
        <w:tc>
          <w:tcPr>
            <w:tcW w:type="dxa" w:w="6803"/>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6"/>
              </w:rPr>
              <w:t>Meaning</w:t>
            </w:r>
          </w:p>
        </w:tc>
      </w:tr>
      <w:tr>
        <w:trPr>
          <w:cantSplit/>
        </w:trPr>
        <w:tc>
          <w:tcPr>
            <w:tcW w:type="dxa" w:w="294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actor_ref</w:t>
            </w:r>
          </w:p>
        </w:tc>
        <w:tc>
          <w:tcPr>
            <w:tcW w:type="dxa" w:w="68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Human, service, runner, role, or session actor.</w:t>
            </w:r>
          </w:p>
        </w:tc>
      </w:tr>
      <w:tr>
        <w:trPr>
          <w:cantSplit/>
        </w:trPr>
        <w:tc>
          <w:tcPr>
            <w:tcW w:type="dxa" w:w="294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work_item_ref</w:t>
            </w:r>
          </w:p>
        </w:tc>
        <w:tc>
          <w:tcPr>
            <w:tcW w:type="dxa" w:w="68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Canonical Sprintctl work identity.</w:t>
            </w:r>
          </w:p>
        </w:tc>
      </w:tr>
      <w:tr>
        <w:trPr>
          <w:cantSplit/>
        </w:trPr>
        <w:tc>
          <w:tcPr>
            <w:tcW w:type="dxa" w:w="294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work_path_ref</w:t>
            </w:r>
          </w:p>
        </w:tc>
        <w:tc>
          <w:tcPr>
            <w:tcW w:type="dxa" w:w="68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Bounded coordinated/autonomous path.</w:t>
            </w:r>
          </w:p>
        </w:tc>
      </w:tr>
      <w:tr>
        <w:trPr>
          <w:cantSplit/>
        </w:trPr>
        <w:tc>
          <w:tcPr>
            <w:tcW w:type="dxa" w:w="294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session_ref</w:t>
            </w:r>
          </w:p>
        </w:tc>
        <w:tc>
          <w:tcPr>
            <w:tcW w:type="dxa" w:w="68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Logical work/conversation lineage.</w:t>
            </w:r>
          </w:p>
        </w:tc>
      </w:tr>
      <w:tr>
        <w:trPr>
          <w:cantSplit/>
        </w:trPr>
        <w:tc>
          <w:tcPr>
            <w:tcW w:type="dxa" w:w="294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incarnation_ref</w:t>
            </w:r>
          </w:p>
        </w:tc>
        <w:tc>
          <w:tcPr>
            <w:tcW w:type="dxa" w:w="68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Concrete local harness conversation/process.</w:t>
            </w:r>
          </w:p>
        </w:tc>
      </w:tr>
      <w:tr>
        <w:trPr>
          <w:cantSplit/>
        </w:trPr>
        <w:tc>
          <w:tcPr>
            <w:tcW w:type="dxa" w:w="294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run_id</w:t>
            </w:r>
          </w:p>
        </w:tc>
        <w:tc>
          <w:tcPr>
            <w:tcW w:type="dxa" w:w="68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One dispatched attempt or prompt turn.</w:t>
            </w:r>
          </w:p>
        </w:tc>
      </w:tr>
      <w:tr>
        <w:trPr>
          <w:cantSplit/>
        </w:trPr>
        <w:tc>
          <w:tcPr>
            <w:tcW w:type="dxa" w:w="294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host_ref / runner_instance_ref</w:t>
            </w:r>
          </w:p>
        </w:tc>
        <w:tc>
          <w:tcPr>
            <w:tcW w:type="dxa" w:w="68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Stable host plus one daemon boot.</w:t>
            </w:r>
          </w:p>
        </w:tc>
      </w:tr>
      <w:tr>
        <w:trPr>
          <w:cantSplit/>
        </w:trPr>
        <w:tc>
          <w:tcPr>
            <w:tcW w:type="dxa" w:w="294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lease_epoch</w:t>
            </w:r>
          </w:p>
        </w:tc>
        <w:tc>
          <w:tcPr>
            <w:tcW w:type="dxa" w:w="68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Fencing token for mutations.</w:t>
            </w:r>
          </w:p>
        </w:tc>
      </w:tr>
      <w:tr>
        <w:trPr>
          <w:cantSplit/>
        </w:trPr>
        <w:tc>
          <w:tcPr>
            <w:tcW w:type="dxa" w:w="294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runtime_binding</w:t>
            </w:r>
          </w:p>
        </w:tc>
        <w:tc>
          <w:tcPr>
            <w:tcW w:type="dxa" w:w="68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Harness, provider, model/account pool, adapter, capabilities.</w:t>
            </w:r>
          </w:p>
        </w:tc>
      </w:tr>
      <w:tr>
        <w:trPr>
          <w:cantSplit/>
        </w:trPr>
        <w:tc>
          <w:tcPr>
            <w:tcW w:type="dxa" w:w="294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capacity_pool_ref</w:t>
            </w:r>
          </w:p>
        </w:tc>
        <w:tc>
          <w:tcPr>
            <w:tcW w:type="dxa" w:w="68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Shared provider/subscription quota.</w:t>
            </w:r>
          </w:p>
        </w:tc>
      </w:tr>
      <w:tr>
        <w:trPr>
          <w:cantSplit/>
        </w:trPr>
        <w:tc>
          <w:tcPr>
            <w:tcW w:type="dxa" w:w="294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workspace_ref</w:t>
            </w:r>
          </w:p>
        </w:tc>
        <w:tc>
          <w:tcPr>
            <w:tcW w:type="dxa" w:w="68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Repo, worktree, head, diff/snapshot.</w:t>
            </w:r>
          </w:p>
        </w:tc>
      </w:tr>
      <w:tr>
        <w:trPr>
          <w:cantSplit/>
        </w:trPr>
        <w:tc>
          <w:tcPr>
            <w:tcW w:type="dxa" w:w="294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credential_ref</w:t>
            </w:r>
          </w:p>
        </w:tc>
        <w:tc>
          <w:tcPr>
            <w:tcW w:type="dxa" w:w="68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Stable logical credential name.</w:t>
            </w:r>
          </w:p>
        </w:tc>
      </w:tr>
      <w:tr>
        <w:trPr>
          <w:cantSplit/>
        </w:trPr>
        <w:tc>
          <w:tcPr>
            <w:tcW w:type="dxa" w:w="294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credential_ticket_ref</w:t>
            </w:r>
          </w:p>
        </w:tc>
        <w:tc>
          <w:tcPr>
            <w:tcW w:type="dxa" w:w="68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Signed short-lived authorization to cred-broker.</w:t>
            </w:r>
          </w:p>
        </w:tc>
      </w:tr>
      <w:tr>
        <w:trPr>
          <w:cantSplit/>
        </w:trPr>
        <w:tc>
          <w:tcPr>
            <w:tcW w:type="dxa" w:w="294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credential_lease_ref</w:t>
            </w:r>
          </w:p>
        </w:tc>
        <w:tc>
          <w:tcPr>
            <w:tcW w:type="dxa" w:w="68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Non-secret provider lease reference.</w:t>
            </w:r>
          </w:p>
        </w:tc>
      </w:tr>
      <w:tr>
        <w:trPr>
          <w:cantSplit/>
        </w:trPr>
        <w:tc>
          <w:tcPr>
            <w:tcW w:type="dxa" w:w="294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effect_digest</w:t>
            </w:r>
          </w:p>
        </w:tc>
        <w:tc>
          <w:tcPr>
            <w:tcW w:type="dxa" w:w="68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Digest of resolved payload and target.</w:t>
            </w:r>
          </w:p>
        </w:tc>
      </w:tr>
      <w:tr>
        <w:trPr>
          <w:cantSplit/>
        </w:trPr>
        <w:tc>
          <w:tcPr>
            <w:tcW w:type="dxa" w:w="294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policy_decision_id / grant_id / evidence_uri</w:t>
            </w:r>
          </w:p>
        </w:tc>
        <w:tc>
          <w:tcPr>
            <w:tcW w:type="dxa" w:w="68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Decision, authorization, and proof links.</w:t>
            </w:r>
          </w:p>
        </w:tc>
      </w:tr>
    </w:tbl>
    <w:p>
      <w:pPr>
        <w:spacing w:after="0"/>
      </w:pPr>
    </w:p>
    <w:p>
      <w:pPr>
        <w:pStyle w:val="Heading2"/>
      </w:pPr>
      <w:r>
        <w:t>3.2 Durable ACP update envelope</w:t>
      </w:r>
    </w:p>
    <w:tbl>
      <w:tblPr>
        <w:tblW w:type="auto" w:w="0"/>
        <w:jc w:val="center"/>
        <w:tblLook w:firstColumn="1" w:firstRow="1" w:lastColumn="0" w:lastRow="0" w:noHBand="0" w:noVBand="1" w:val="04A0"/>
      </w:tblPr>
      <w:tblGrid>
        <w:gridCol w:w="9866"/>
      </w:tblGrid>
      <w:tr>
        <w:trPr>
          <w:cantSplit/>
        </w:trPr>
        <w:tc>
          <w:tcPr>
            <w:tcW w:type="dxa" w:w="9866"/>
            <w:shd w:fill="F1F4F6"/>
            <w:tcBorders>
              <w:top w:val="single" w:sz="4" w:color="CDD6DC"/>
              <w:left w:val="single" w:sz="4" w:color="CDD6DC"/>
              <w:bottom w:val="single" w:sz="4" w:color="CDD6DC"/>
              <w:right w:val="single" w:sz="4" w:color="CDD6DC"/>
            </w:tcBorders>
          </w:tcPr>
          <w:p>
            <w:pPr>
              <w:spacing w:after="0"/>
            </w:pPr>
            <w:r>
              <w:rPr>
                <w:rFonts w:ascii="DejaVu Sans Mono" w:hAnsi="DejaVu Sans Mono"/>
                <w:b w:val="0"/>
                <w:i w:val="0"/>
                <w:color w:val="19232D"/>
                <w:sz w:val="16"/>
              </w:rPr>
              <w:t>{</w:t>
            </w:r>
            <w:r>
              <w:br/>
            </w:r>
            <w:r>
              <w:rPr>
                <w:rFonts w:ascii="DejaVu Sans Mono" w:hAnsi="DejaVu Sans Mono"/>
                <w:b w:val="0"/>
                <w:i w:val="0"/>
                <w:color w:val="19232D"/>
                <w:sz w:val="16"/>
              </w:rPr>
              <w:t xml:space="preserve">  "session_ref": "session_...",</w:t>
            </w:r>
            <w:r>
              <w:br/>
            </w:r>
            <w:r>
              <w:rPr>
                <w:rFonts w:ascii="DejaVu Sans Mono" w:hAnsi="DejaVu Sans Mono"/>
                <w:b w:val="0"/>
                <w:i w:val="0"/>
                <w:color w:val="19232D"/>
                <w:sz w:val="16"/>
              </w:rPr>
              <w:t xml:space="preserve">  "incarnation_ref": "inc_...",</w:t>
            </w:r>
            <w:r>
              <w:br/>
            </w:r>
            <w:r>
              <w:rPr>
                <w:rFonts w:ascii="DejaVu Sans Mono" w:hAnsi="DejaVu Sans Mono"/>
                <w:b w:val="0"/>
                <w:i w:val="0"/>
                <w:color w:val="19232D"/>
                <w:sz w:val="16"/>
              </w:rPr>
              <w:t xml:space="preserve">  "run_id": "run_...",</w:t>
            </w:r>
            <w:r>
              <w:br/>
            </w:r>
            <w:r>
              <w:rPr>
                <w:rFonts w:ascii="DejaVu Sans Mono" w:hAnsi="DejaVu Sans Mono"/>
                <w:b w:val="0"/>
                <w:i w:val="0"/>
                <w:color w:val="19232D"/>
                <w:sz w:val="16"/>
              </w:rPr>
              <w:t xml:space="preserve">  "host_ref": "devbox",</w:t>
            </w:r>
            <w:r>
              <w:br/>
            </w:r>
            <w:r>
              <w:rPr>
                <w:rFonts w:ascii="DejaVu Sans Mono" w:hAnsi="DejaVu Sans Mono"/>
                <w:b w:val="0"/>
                <w:i w:val="0"/>
                <w:color w:val="19232D"/>
                <w:sz w:val="16"/>
              </w:rPr>
              <w:t xml:space="preserve">  "runner_instance_ref": "boot_...",</w:t>
            </w:r>
            <w:r>
              <w:br/>
            </w:r>
            <w:r>
              <w:rPr>
                <w:rFonts w:ascii="DejaVu Sans Mono" w:hAnsi="DejaVu Sans Mono"/>
                <w:b w:val="0"/>
                <w:i w:val="0"/>
                <w:color w:val="19232D"/>
                <w:sz w:val="16"/>
              </w:rPr>
              <w:t xml:space="preserve">  "stream_epoch": 3,</w:t>
            </w:r>
            <w:r>
              <w:br/>
            </w:r>
            <w:r>
              <w:rPr>
                <w:rFonts w:ascii="DejaVu Sans Mono" w:hAnsi="DejaVu Sans Mono"/>
                <w:b w:val="0"/>
                <w:i w:val="0"/>
                <w:color w:val="19232D"/>
                <w:sz w:val="16"/>
              </w:rPr>
              <w:t xml:space="preserve">  "origin_seq": 1842,</w:t>
            </w:r>
            <w:r>
              <w:br/>
            </w:r>
            <w:r>
              <w:rPr>
                <w:rFonts w:ascii="DejaVu Sans Mono" w:hAnsi="DejaVu Sans Mono"/>
                <w:b w:val="0"/>
                <w:i w:val="0"/>
                <w:color w:val="19232D"/>
                <w:sz w:val="16"/>
              </w:rPr>
              <w:t xml:space="preserve">  "source": "acp",</w:t>
            </w:r>
            <w:r>
              <w:br/>
            </w:r>
            <w:r>
              <w:rPr>
                <w:rFonts w:ascii="DejaVu Sans Mono" w:hAnsi="DejaVu Sans Mono"/>
                <w:b w:val="0"/>
                <w:i w:val="0"/>
                <w:color w:val="19232D"/>
                <w:sz w:val="16"/>
              </w:rPr>
              <w:t xml:space="preserve">  "source_session_id": "opaque-local-id",</w:t>
            </w:r>
            <w:r>
              <w:br/>
            </w:r>
            <w:r>
              <w:rPr>
                <w:rFonts w:ascii="DejaVu Sans Mono" w:hAnsi="DejaVu Sans Mono"/>
                <w:b w:val="0"/>
                <w:i w:val="0"/>
                <w:color w:val="19232D"/>
                <w:sz w:val="16"/>
              </w:rPr>
              <w:t xml:space="preserve">  "payload": { "type": "session/update", "...": "..." }</w:t>
            </w:r>
            <w:r>
              <w:br/>
            </w:r>
            <w:r>
              <w:rPr>
                <w:rFonts w:ascii="DejaVu Sans Mono" w:hAnsi="DejaVu Sans Mono"/>
                <w:b w:val="0"/>
                <w:i w:val="0"/>
                <w:color w:val="19232D"/>
                <w:sz w:val="16"/>
              </w:rPr>
              <w:t>}</w:t>
            </w:r>
          </w:p>
        </w:tc>
      </w:tr>
    </w:tbl>
    <w:p>
      <w:pPr>
        <w:spacing w:after="0"/>
      </w:pPr>
    </w:p>
    <w:p>
      <w:pPr>
        <w:spacing w:after="100"/>
      </w:pPr>
      <w:r>
        <w:rPr>
          <w:rFonts w:ascii="Inter" w:hAnsi="Inter"/>
          <w:b w:val="0"/>
          <w:i w:val="0"/>
          <w:color w:val="19232D"/>
          <w:sz w:val="19"/>
        </w:rPr>
        <w:t>The runner appends and fsyncs the update before treating it as safe. The control plane deduplicates by origin identity and returns a committed watermark. A final prompt response cannot settle the run until prior updates are durable or explicitly marked unavailable.</w:t>
      </w:r>
    </w:p>
    <w:p>
      <w:pPr>
        <w:pStyle w:val="Heading2"/>
      </w:pPr>
      <w:r>
        <w:t>3.3 Work-path delegation</w:t>
      </w:r>
    </w:p>
    <w:tbl>
      <w:tblPr>
        <w:tblW w:type="auto" w:w="0"/>
        <w:jc w:val="center"/>
        <w:tblLook w:firstColumn="1" w:firstRow="1" w:lastColumn="0" w:lastRow="0" w:noHBand="0" w:noVBand="1" w:val="04A0"/>
      </w:tblPr>
      <w:tblGrid>
        <w:gridCol w:w="9866"/>
      </w:tblGrid>
      <w:tr>
        <w:trPr>
          <w:cantSplit/>
        </w:trPr>
        <w:tc>
          <w:tcPr>
            <w:tcW w:type="dxa" w:w="9866"/>
            <w:shd w:fill="F1F4F6"/>
            <w:tcBorders>
              <w:top w:val="single" w:sz="4" w:color="CDD6DC"/>
              <w:left w:val="single" w:sz="4" w:color="CDD6DC"/>
              <w:bottom w:val="single" w:sz="4" w:color="CDD6DC"/>
              <w:right w:val="single" w:sz="4" w:color="CDD6DC"/>
            </w:tcBorders>
          </w:tcPr>
          <w:p>
            <w:pPr>
              <w:spacing w:after="0"/>
            </w:pPr>
            <w:r>
              <w:rPr>
                <w:rFonts w:ascii="DejaVu Sans Mono" w:hAnsi="DejaVu Sans Mono"/>
                <w:b w:val="0"/>
                <w:i w:val="0"/>
                <w:color w:val="19232D"/>
                <w:sz w:val="16"/>
              </w:rPr>
              <w:t>continuation:</w:t>
            </w:r>
            <w:r>
              <w:br/>
            </w:r>
            <w:r>
              <w:rPr>
                <w:rFonts w:ascii="DejaVu Sans Mono" w:hAnsi="DejaVu Sans Mono"/>
                <w:b w:val="0"/>
                <w:i w:val="0"/>
                <w:color w:val="19232D"/>
                <w:sz w:val="16"/>
              </w:rPr>
              <w:t xml:space="preserve">  mode: bounded-autonomous</w:t>
            </w:r>
            <w:r>
              <w:br/>
            </w:r>
            <w:r>
              <w:rPr>
                <w:rFonts w:ascii="DejaVu Sans Mono" w:hAnsi="DejaVu Sans Mono"/>
                <w:b w:val="0"/>
                <w:i w:val="0"/>
                <w:color w:val="19232D"/>
                <w:sz w:val="16"/>
              </w:rPr>
              <w:t xml:space="preserve">  allowedRepositories: [vuoro, actionq]</w:t>
            </w:r>
            <w:r>
              <w:br/>
            </w:r>
            <w:r>
              <w:rPr>
                <w:rFonts w:ascii="DejaVu Sans Mono" w:hAnsi="DejaVu Sans Mono"/>
                <w:b w:val="0"/>
                <w:i w:val="0"/>
                <w:color w:val="19232D"/>
                <w:sz w:val="16"/>
              </w:rPr>
              <w:t xml:space="preserve">  allowedRunnerProfiles: [bulk-development, repository-review]</w:t>
            </w:r>
            <w:r>
              <w:br/>
            </w:r>
            <w:r>
              <w:rPr>
                <w:rFonts w:ascii="DejaVu Sans Mono" w:hAnsi="DejaVu Sans Mono"/>
                <w:b w:val="0"/>
                <w:i w:val="0"/>
                <w:color w:val="19232D"/>
                <w:sz w:val="16"/>
              </w:rPr>
              <w:t xml:space="preserve">  maxChildRuns: 12</w:t>
            </w:r>
            <w:r>
              <w:br/>
            </w:r>
            <w:r>
              <w:rPr>
                <w:rFonts w:ascii="DejaVu Sans Mono" w:hAnsi="DejaVu Sans Mono"/>
                <w:b w:val="0"/>
                <w:i w:val="0"/>
                <w:color w:val="19232D"/>
                <w:sz w:val="16"/>
              </w:rPr>
              <w:t xml:space="preserve">  maxConcurrentRuns: 3</w:t>
            </w:r>
            <w:r>
              <w:br/>
            </w:r>
            <w:r>
              <w:rPr>
                <w:rFonts w:ascii="DejaVu Sans Mono" w:hAnsi="DejaVu Sans Mono"/>
                <w:b w:val="0"/>
                <w:i w:val="0"/>
                <w:color w:val="19232D"/>
                <w:sz w:val="16"/>
              </w:rPr>
              <w:t xml:space="preserve">  maxConsequentialEffects: 0</w:t>
            </w:r>
            <w:r>
              <w:br/>
            </w:r>
            <w:r>
              <w:rPr>
                <w:rFonts w:ascii="DejaVu Sans Mono" w:hAnsi="DejaVu Sans Mono"/>
                <w:b w:val="0"/>
                <w:i w:val="0"/>
                <w:color w:val="19232D"/>
                <w:sz w:val="16"/>
              </w:rPr>
              <w:t xml:space="preserve">  expiresAt: 2026-08-16T00:00:00Z</w:t>
            </w:r>
            <w:r>
              <w:br/>
            </w:r>
            <w:r>
              <w:rPr>
                <w:rFonts w:ascii="DejaVu Sans Mono" w:hAnsi="DejaVu Sans Mono"/>
                <w:b w:val="0"/>
                <w:i w:val="0"/>
                <w:color w:val="19232D"/>
                <w:sz w:val="16"/>
              </w:rPr>
              <w:t xml:space="preserve">  stopOn:</w:t>
            </w:r>
            <w:r>
              <w:br/>
            </w:r>
            <w:r>
              <w:rPr>
                <w:rFonts w:ascii="DejaVu Sans Mono" w:hAnsi="DejaVu Sans Mono"/>
                <w:b w:val="0"/>
                <w:i w:val="0"/>
                <w:color w:val="19232D"/>
                <w:sz w:val="16"/>
              </w:rPr>
              <w:t xml:space="preserve">    - policy_denial</w:t>
            </w:r>
            <w:r>
              <w:br/>
            </w:r>
            <w:r>
              <w:rPr>
                <w:rFonts w:ascii="DejaVu Sans Mono" w:hAnsi="DejaVu Sans Mono"/>
                <w:b w:val="0"/>
                <w:i w:val="0"/>
                <w:color w:val="19232D"/>
                <w:sz w:val="16"/>
              </w:rPr>
              <w:t xml:space="preserve">    - conflicting_authority</w:t>
            </w:r>
            <w:r>
              <w:br/>
            </w:r>
            <w:r>
              <w:rPr>
                <w:rFonts w:ascii="DejaVu Sans Mono" w:hAnsi="DejaVu Sans Mono"/>
                <w:b w:val="0"/>
                <w:i w:val="0"/>
                <w:color w:val="19232D"/>
                <w:sz w:val="16"/>
              </w:rPr>
              <w:t xml:space="preserve">    - failed_completion_contract</w:t>
            </w:r>
            <w:r>
              <w:br/>
            </w:r>
            <w:r>
              <w:rPr>
                <w:rFonts w:ascii="DejaVu Sans Mono" w:hAnsi="DejaVu Sans Mono"/>
                <w:b w:val="0"/>
                <w:i w:val="0"/>
                <w:color w:val="19232D"/>
                <w:sz w:val="16"/>
              </w:rPr>
              <w:t xml:space="preserve">    - provider_capacity_exhausted</w:t>
            </w:r>
            <w:r>
              <w:br/>
            </w:r>
            <w:r>
              <w:rPr>
                <w:rFonts w:ascii="DejaVu Sans Mono" w:hAnsi="DejaVu Sans Mono"/>
                <w:b w:val="0"/>
                <w:i w:val="0"/>
                <w:color w:val="19232D"/>
                <w:sz w:val="16"/>
              </w:rPr>
              <w:t xml:space="preserve">    - uncertain_external_effect</w:t>
            </w:r>
          </w:p>
        </w:tc>
      </w:tr>
    </w:tbl>
    <w:p>
      <w:pPr>
        <w:spacing w:after="0"/>
      </w:pPr>
    </w:p>
    <w:p>
      <w:pPr>
        <w:pStyle w:val="Heading2"/>
      </w:pPr>
      <w:r>
        <w:t>3.4 Evidence pipeline</w:t>
      </w:r>
    </w:p>
    <w:tbl>
      <w:tblPr>
        <w:tblW w:type="auto" w:w="0"/>
        <w:jc w:val="center"/>
        <w:tblLook w:firstColumn="1" w:firstRow="1" w:lastColumn="0" w:lastRow="0" w:noHBand="0" w:noVBand="1" w:val="04A0"/>
      </w:tblPr>
      <w:tblGrid>
        <w:gridCol w:w="9866"/>
      </w:tblGrid>
      <w:tr>
        <w:trPr>
          <w:cantSplit/>
        </w:trPr>
        <w:tc>
          <w:tcPr>
            <w:tcW w:type="dxa" w:w="9866"/>
            <w:shd w:fill="F1F4F6"/>
            <w:tcBorders>
              <w:top w:val="single" w:sz="4" w:color="CDD6DC"/>
              <w:left w:val="single" w:sz="4" w:color="CDD6DC"/>
              <w:bottom w:val="single" w:sz="4" w:color="CDD6DC"/>
              <w:right w:val="single" w:sz="4" w:color="CDD6DC"/>
            </w:tcBorders>
          </w:tcPr>
          <w:p>
            <w:pPr>
              <w:spacing w:after="0"/>
            </w:pPr>
            <w:r>
              <w:rPr>
                <w:rFonts w:ascii="DejaVu Sans Mono" w:hAnsi="DejaVu Sans Mono"/>
                <w:b w:val="0"/>
                <w:i w:val="0"/>
                <w:color w:val="19232D"/>
                <w:sz w:val="16"/>
              </w:rPr>
              <w:t>command</w:t>
            </w:r>
            <w:r>
              <w:br/>
            </w:r>
            <w:r>
              <w:rPr>
                <w:rFonts w:ascii="DejaVu Sans Mono" w:hAnsi="DejaVu Sans Mono"/>
                <w:b w:val="0"/>
                <w:i w:val="0"/>
                <w:color w:val="19232D"/>
                <w:sz w:val="16"/>
              </w:rPr>
              <w:t xml:space="preserve">  -&gt; encrypted local raw spool</w:t>
            </w:r>
            <w:r>
              <w:br/>
            </w:r>
            <w:r>
              <w:rPr>
                <w:rFonts w:ascii="DejaVu Sans Mono" w:hAnsi="DejaVu Sans Mono"/>
                <w:b w:val="0"/>
                <w:i w:val="0"/>
                <w:color w:val="19232D"/>
                <w:sz w:val="16"/>
              </w:rPr>
              <w:t xml:space="preserve">  -&gt; capture classification</w:t>
            </w:r>
            <w:r>
              <w:br/>
            </w:r>
            <w:r>
              <w:rPr>
                <w:rFonts w:ascii="DejaVu Sans Mono" w:hAnsi="DejaVu Sans Mono"/>
                <w:b w:val="0"/>
                <w:i w:val="0"/>
                <w:color w:val="19232D"/>
                <w:sz w:val="16"/>
              </w:rPr>
              <w:t xml:space="preserve">  -&gt; recorded redaction transform</w:t>
            </w:r>
            <w:r>
              <w:br/>
            </w:r>
            <w:r>
              <w:rPr>
                <w:rFonts w:ascii="DejaVu Sans Mono" w:hAnsi="DejaVu Sans Mono"/>
                <w:b w:val="0"/>
                <w:i w:val="0"/>
                <w:color w:val="19232D"/>
                <w:sz w:val="16"/>
              </w:rPr>
              <w:t xml:space="preserve">  -&gt; projection</w:t>
            </w:r>
            <w:r>
              <w:br/>
            </w:r>
            <w:r>
              <w:rPr>
                <w:rFonts w:ascii="DejaVu Sans Mono" w:hAnsi="DejaVu Sans Mono"/>
                <w:b w:val="0"/>
                <w:i w:val="0"/>
                <w:color w:val="19232D"/>
                <w:sz w:val="16"/>
              </w:rPr>
              <w:t xml:space="preserve">  -&gt; policy-governed central upload</w:t>
            </w:r>
            <w:r>
              <w:br/>
            </w:r>
            <w:r>
              <w:rPr>
                <w:rFonts w:ascii="DejaVu Sans Mono" w:hAnsi="DejaVu Sans Mono"/>
                <w:b w:val="0"/>
                <w:i w:val="0"/>
                <w:color w:val="19232D"/>
                <w:sz w:val="16"/>
              </w:rPr>
              <w:t xml:space="preserve">  -&gt; EvidenceManifest/v1</w:t>
            </w:r>
          </w:p>
        </w:tc>
      </w:tr>
    </w:tbl>
    <w:p>
      <w:pPr>
        <w:spacing w:after="0"/>
      </w:pPr>
    </w:p>
    <w:p>
      <w:pPr>
        <w:pStyle w:val="Heading1"/>
      </w:pPr>
      <w:r>
        <w:t>4. OpenBao and existing cred-broker rollout</w:t>
      </w:r>
    </w:p>
    <w:p>
      <w:pPr>
        <w:spacing w:after="100"/>
      </w:pPr>
      <w:r>
        <w:rPr>
          <w:rFonts w:ascii="Inter" w:hAnsi="Inter"/>
          <w:b w:val="0"/>
          <w:i w:val="0"/>
          <w:color w:val="19232D"/>
          <w:sz w:val="19"/>
        </w:rPr>
        <w:t>The existing cred-broker is part of the OpenBao rollout, not a competing subsystem. Its first planner item is an inventory and gap assessment. The target is to reuse its current implementation wherever possible and add only the missing Vuoro contracts, deployment hardening, audit correlation, and runner integration.</w:t>
      </w:r>
    </w:p>
    <w:p>
      <w:pPr>
        <w:pStyle w:val="Heading2"/>
      </w:pPr>
      <w:r>
        <w:t>4.1 Authority boundary</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6"/>
              </w:rPr>
              <w:t>Boundary</w:t>
            </w:r>
          </w:p>
        </w:tc>
        <w:tc>
          <w:tcPr>
            <w:tcW w:type="dxa" w:w="7370"/>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6"/>
              </w:rPr>
              <w:t>Responsibility</w:t>
            </w:r>
          </w:p>
        </w:tc>
      </w:tr>
      <w:tr>
        <w:trPr>
          <w:cantSplit/>
        </w:trPr>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Vuoro owns</w:t>
            </w:r>
          </w:p>
        </w:tc>
        <w:tc>
          <w:tcPr>
            <w:tcW w:type="dxa" w:w="737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Work/session identity, policy context, credential tickets, grants, effect descriptors, and evidence linkage.</w:t>
            </w:r>
          </w:p>
        </w:tc>
      </w:tr>
      <w:tr>
        <w:trPr>
          <w:cantSplit/>
        </w:trPr>
        <w:tc>
          <w:tcPr>
            <w:tcW w:type="dxa" w:w="238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cred-broker owns</w:t>
            </w:r>
          </w:p>
        </w:tc>
        <w:tc>
          <w:tcPr>
            <w:tcW w:type="dxa" w:w="737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Ticket validation, logical catalog mapping, OpenBao provider calls, wrapping/delivery, lease metadata, provider audit.</w:t>
            </w:r>
          </w:p>
        </w:tc>
      </w:tr>
      <w:tr>
        <w:trPr>
          <w:cantSplit/>
        </w:trPr>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OpenBao owns</w:t>
            </w:r>
          </w:p>
        </w:tc>
        <w:tc>
          <w:tcPr>
            <w:tcW w:type="dxa" w:w="737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Secret values, dynamic/static issuance, lease lifecycle, rotation, revocation, wrapping.</w:t>
            </w:r>
          </w:p>
        </w:tc>
      </w:tr>
      <w:tr>
        <w:trPr>
          <w:cantSplit/>
        </w:trPr>
        <w:tc>
          <w:tcPr>
            <w:tcW w:type="dxa" w:w="238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runnerd owns</w:t>
            </w:r>
          </w:p>
        </w:tc>
        <w:tc>
          <w:tcPr>
            <w:tcW w:type="dxa" w:w="737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Secure retrieval, process-scoped injection, in-memory redaction registration, cleanup, and execution-time use.</w:t>
            </w:r>
          </w:p>
        </w:tc>
      </w:tr>
      <w:tr>
        <w:trPr>
          <w:cantSplit/>
        </w:trPr>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Agent sees</w:t>
            </w:r>
          </w:p>
        </w:tc>
        <w:tc>
          <w:tcPr>
            <w:tcW w:type="dxa" w:w="737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A logical credential capability and operation result; raw secret only when technically unavoidable, never in prompt text.</w:t>
            </w:r>
          </w:p>
        </w:tc>
      </w:tr>
    </w:tbl>
    <w:p>
      <w:pPr>
        <w:spacing w:after="0"/>
      </w:pPr>
    </w:p>
    <w:p>
      <w:pPr>
        <w:pStyle w:val="Heading2"/>
      </w:pPr>
      <w:r>
        <w:t>4.2 Credential flow</w:t>
      </w:r>
    </w:p>
    <w:p>
      <w:pPr>
        <w:spacing w:after="100"/>
      </w:pPr>
      <w:r>
        <w:rPr>
          <w:rFonts w:ascii="Inter" w:hAnsi="Inter"/>
          <w:b w:val="0"/>
          <w:i w:val="0"/>
          <w:color w:val="19232D"/>
          <w:sz w:val="19"/>
        </w:rPr>
        <w:t>1. Actor or runner requests a logical `credential_ref` with work, session, host, and optional effect context.</w:t>
      </w:r>
    </w:p>
    <w:p>
      <w:pPr>
        <w:spacing w:after="100"/>
      </w:pPr>
      <w:r>
        <w:rPr>
          <w:rFonts w:ascii="Inter" w:hAnsi="Inter"/>
          <w:b w:val="0"/>
          <w:i w:val="0"/>
          <w:color w:val="19232D"/>
          <w:sz w:val="19"/>
        </w:rPr>
        <w:t>2. Vuoro evaluates authority and grant state, then signs a short-lived `CredentialTicket/v1`.</w:t>
      </w:r>
    </w:p>
    <w:p>
      <w:pPr>
        <w:spacing w:after="100"/>
      </w:pPr>
      <w:r>
        <w:rPr>
          <w:rFonts w:ascii="Inter" w:hAnsi="Inter"/>
          <w:b w:val="0"/>
          <w:i w:val="0"/>
          <w:color w:val="19232D"/>
          <w:sz w:val="19"/>
        </w:rPr>
        <w:t>3. cred-broker validates the ticket and resolves `credential_ref` to OpenBao configuration.</w:t>
      </w:r>
    </w:p>
    <w:p>
      <w:pPr>
        <w:spacing w:after="100"/>
      </w:pPr>
      <w:r>
        <w:rPr>
          <w:rFonts w:ascii="Inter" w:hAnsi="Inter"/>
          <w:b w:val="0"/>
          <w:i w:val="0"/>
          <w:color w:val="19232D"/>
          <w:sz w:val="19"/>
        </w:rPr>
        <w:t>4. OpenBao issues or retrieves the scoped credential/lease.</w:t>
      </w:r>
    </w:p>
    <w:p>
      <w:pPr>
        <w:spacing w:after="100"/>
      </w:pPr>
      <w:r>
        <w:rPr>
          <w:rFonts w:ascii="Inter" w:hAnsi="Inter"/>
          <w:b w:val="0"/>
          <w:i w:val="0"/>
          <w:color w:val="19232D"/>
          <w:sz w:val="19"/>
        </w:rPr>
        <w:t>5. cred-broker returns wrapped/scoped material plus a non-secret `CredentialLeaseRef/v1`.</w:t>
      </w:r>
    </w:p>
    <w:p>
      <w:pPr>
        <w:spacing w:after="100"/>
      </w:pPr>
      <w:r>
        <w:rPr>
          <w:rFonts w:ascii="Inter" w:hAnsi="Inter"/>
          <w:b w:val="0"/>
          <w:i w:val="0"/>
          <w:color w:val="19232D"/>
          <w:sz w:val="19"/>
        </w:rPr>
        <w:t>6. runnerd injects it into one process and registers exact values with Outctl redaction in memory.</w:t>
      </w:r>
    </w:p>
    <w:p>
      <w:pPr>
        <w:spacing w:after="100"/>
      </w:pPr>
      <w:r>
        <w:rPr>
          <w:rFonts w:ascii="Inter" w:hAnsi="Inter"/>
          <w:b w:val="0"/>
          <w:i w:val="0"/>
          <w:color w:val="19232D"/>
          <w:sz w:val="19"/>
        </w:rPr>
        <w:t>7. Vuoro correlates ticket, lease, grant, policy, command evidence, and external result without persisting the secret.</w:t>
      </w:r>
    </w:p>
    <w:p>
      <w:pPr>
        <w:pStyle w:val="Heading2"/>
      </w:pPr>
      <w:r>
        <w:t>4.3 Credential classes</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494"/>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6"/>
              </w:rPr>
              <w:t>Class</w:t>
            </w:r>
          </w:p>
        </w:tc>
        <w:tc>
          <w:tcPr>
            <w:tcW w:type="dxa" w:w="7256"/>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6"/>
              </w:rPr>
              <w:t>Use and constraints</w:t>
            </w:r>
          </w:p>
        </w:tc>
      </w:tr>
      <w:tr>
        <w:trPr>
          <w:cantSplit/>
        </w:trPr>
        <w:tc>
          <w:tcPr>
            <w:tcW w:type="dxa" w:w="249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Baseline renewable</w:t>
            </w:r>
          </w:p>
        </w:tc>
        <w:tc>
          <w:tcPr>
            <w:tcW w:type="dxa" w:w="7256"/>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Low-blast recurring access such as evidence upload or repository read; bound to service/runner profile.</w:t>
            </w:r>
          </w:p>
        </w:tc>
      </w:tr>
      <w:tr>
        <w:trPr>
          <w:cantSplit/>
        </w:trPr>
        <w:tc>
          <w:tcPr>
            <w:tcW w:type="dxa" w:w="249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Scoped work</w:t>
            </w:r>
          </w:p>
        </w:tc>
        <w:tc>
          <w:tcPr>
            <w:tcW w:type="dxa" w:w="7256"/>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Short-lived repository/environment access bound to work item, session, host, and runner boot.</w:t>
            </w:r>
          </w:p>
        </w:tc>
      </w:tr>
      <w:tr>
        <w:trPr>
          <w:cantSplit/>
        </w:trPr>
        <w:tc>
          <w:tcPr>
            <w:tcW w:type="dxa" w:w="249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Effect-bound elevated</w:t>
            </w:r>
          </w:p>
        </w:tc>
        <w:tc>
          <w:tcPr>
            <w:tcW w:type="dxa" w:w="7256"/>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Release, apply, secret management, or other consequential action; grant and effect digest required.</w:t>
            </w:r>
          </w:p>
        </w:tc>
      </w:tr>
      <w:tr>
        <w:trPr>
          <w:cantSplit/>
        </w:trPr>
        <w:tc>
          <w:tcPr>
            <w:tcW w:type="dxa" w:w="249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Break-glass</w:t>
            </w:r>
          </w:p>
        </w:tc>
        <w:tc>
          <w:tcPr>
            <w:tcW w:type="dxa" w:w="7256"/>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Human-only emergency path, shortest practical TTL, separate audit, never autonomous.</w:t>
            </w:r>
          </w:p>
        </w:tc>
      </w:tr>
    </w:tbl>
    <w:p>
      <w:pPr>
        <w:spacing w:after="0"/>
      </w:pPr>
    </w:p>
    <w:p>
      <w:pPr>
        <w:pStyle w:val="Heading2"/>
      </w:pPr>
      <w:r>
        <w:t>4.4 Logical catalog examples</w:t>
      </w:r>
    </w:p>
    <w:tbl>
      <w:tblPr>
        <w:tblW w:type="auto" w:w="0"/>
        <w:jc w:val="center"/>
        <w:tblLook w:firstColumn="1" w:firstRow="1" w:lastColumn="0" w:lastRow="0" w:noHBand="0" w:noVBand="1" w:val="04A0"/>
      </w:tblPr>
      <w:tblGrid>
        <w:gridCol w:w="9866"/>
      </w:tblGrid>
      <w:tr>
        <w:trPr>
          <w:cantSplit/>
        </w:trPr>
        <w:tc>
          <w:tcPr>
            <w:tcW w:type="dxa" w:w="9866"/>
            <w:shd w:fill="F1F4F6"/>
            <w:tcBorders>
              <w:top w:val="single" w:sz="4" w:color="CDD6DC"/>
              <w:left w:val="single" w:sz="4" w:color="CDD6DC"/>
              <w:bottom w:val="single" w:sz="4" w:color="CDD6DC"/>
              <w:right w:val="single" w:sz="4" w:color="CDD6DC"/>
            </w:tcBorders>
          </w:tcPr>
          <w:p>
            <w:pPr>
              <w:spacing w:after="0"/>
            </w:pPr>
            <w:r>
              <w:rPr>
                <w:rFonts w:ascii="DejaVu Sans Mono" w:hAnsi="DejaVu Sans Mono"/>
                <w:b w:val="0"/>
                <w:i w:val="0"/>
                <w:color w:val="19232D"/>
                <w:sz w:val="16"/>
              </w:rPr>
              <w:t>cred://git/forgejo/repo-read</w:t>
            </w:r>
            <w:r>
              <w:br/>
            </w:r>
            <w:r>
              <w:rPr>
                <w:rFonts w:ascii="DejaVu Sans Mono" w:hAnsi="DejaVu Sans Mono"/>
                <w:b w:val="0"/>
                <w:i w:val="0"/>
                <w:color w:val="19232D"/>
                <w:sz w:val="16"/>
              </w:rPr>
              <w:t>cred://git/forgejo/repo-write</w:t>
            </w:r>
            <w:r>
              <w:br/>
            </w:r>
            <w:r>
              <w:rPr>
                <w:rFonts w:ascii="DejaVu Sans Mono" w:hAnsi="DejaVu Sans Mono"/>
                <w:b w:val="0"/>
                <w:i w:val="0"/>
                <w:color w:val="19232D"/>
                <w:sz w:val="16"/>
              </w:rPr>
              <w:t>cred://s3/vuoro-evidence-upload</w:t>
            </w:r>
            <w:r>
              <w:br/>
            </w:r>
            <w:r>
              <w:rPr>
                <w:rFonts w:ascii="DejaVu Sans Mono" w:hAnsi="DejaVu Sans Mono"/>
                <w:b w:val="0"/>
                <w:i w:val="0"/>
                <w:color w:val="19232D"/>
                <w:sz w:val="16"/>
              </w:rPr>
              <w:t>cred://kubernetes/appservice-read</w:t>
            </w:r>
            <w:r>
              <w:br/>
            </w:r>
            <w:r>
              <w:rPr>
                <w:rFonts w:ascii="DejaVu Sans Mono" w:hAnsi="DejaVu Sans Mono"/>
                <w:b w:val="0"/>
                <w:i w:val="0"/>
                <w:color w:val="19232D"/>
                <w:sz w:val="16"/>
              </w:rPr>
              <w:t>cred://kubernetes/appservice-maintainer</w:t>
            </w:r>
            <w:r>
              <w:br/>
            </w:r>
            <w:r>
              <w:rPr>
                <w:rFonts w:ascii="DejaVu Sans Mono" w:hAnsi="DejaVu Sans Mono"/>
                <w:b w:val="0"/>
                <w:i w:val="0"/>
                <w:color w:val="19232D"/>
                <w:sz w:val="16"/>
              </w:rPr>
              <w:t>cred://github/release</w:t>
            </w:r>
            <w:r>
              <w:br/>
            </w:r>
            <w:r>
              <w:rPr>
                <w:rFonts w:ascii="DejaVu Sans Mono" w:hAnsi="DejaVu Sans Mono"/>
                <w:b w:val="0"/>
                <w:i w:val="0"/>
                <w:color w:val="19232D"/>
                <w:sz w:val="16"/>
              </w:rPr>
              <w:t>cred://smtp/transactional-send</w:t>
            </w:r>
            <w:r>
              <w:br/>
            </w:r>
            <w:r>
              <w:rPr>
                <w:rFonts w:ascii="DejaVu Sans Mono" w:hAnsi="DejaVu Sans Mono"/>
                <w:b w:val="0"/>
                <w:i w:val="0"/>
                <w:color w:val="19232D"/>
                <w:sz w:val="16"/>
              </w:rPr>
            </w:r>
            <w:r>
              <w:br/>
            </w:r>
            <w:r>
              <w:rPr>
                <w:rFonts w:ascii="DejaVu Sans Mono" w:hAnsi="DejaVu Sans Mono"/>
                <w:b w:val="0"/>
                <w:i w:val="0"/>
                <w:color w:val="19232D"/>
                <w:sz w:val="16"/>
              </w:rPr>
              <w:t>Catalog entry maps to:</w:t>
            </w:r>
            <w:r>
              <w:br/>
            </w:r>
            <w:r>
              <w:rPr>
                <w:rFonts w:ascii="DejaVu Sans Mono" w:hAnsi="DejaVu Sans Mono"/>
                <w:b w:val="0"/>
                <w:i w:val="0"/>
                <w:color w:val="19232D"/>
                <w:sz w:val="16"/>
              </w:rPr>
              <w:t xml:space="preserve">  provider: openbao</w:t>
            </w:r>
            <w:r>
              <w:br/>
            </w:r>
            <w:r>
              <w:rPr>
                <w:rFonts w:ascii="DejaVu Sans Mono" w:hAnsi="DejaVu Sans Mono"/>
                <w:b w:val="0"/>
                <w:i w:val="0"/>
                <w:color w:val="19232D"/>
                <w:sz w:val="16"/>
              </w:rPr>
              <w:t xml:space="preserve">  broker-internal role/path/engine</w:t>
            </w:r>
            <w:r>
              <w:br/>
            </w:r>
            <w:r>
              <w:rPr>
                <w:rFonts w:ascii="DejaVu Sans Mono" w:hAnsi="DejaVu Sans Mono"/>
                <w:b w:val="0"/>
                <w:i w:val="0"/>
                <w:color w:val="19232D"/>
                <w:sz w:val="16"/>
              </w:rPr>
              <w:t xml:space="preserve">  allowed actor/profile/work scope</w:t>
            </w:r>
            <w:r>
              <w:br/>
            </w:r>
            <w:r>
              <w:rPr>
                <w:rFonts w:ascii="DejaVu Sans Mono" w:hAnsi="DejaVu Sans Mono"/>
                <w:b w:val="0"/>
                <w:i w:val="0"/>
                <w:color w:val="19232D"/>
                <w:sz w:val="16"/>
              </w:rPr>
              <w:t xml:space="preserve">  TTL and renewal policy</w:t>
            </w:r>
            <w:r>
              <w:br/>
            </w:r>
            <w:r>
              <w:rPr>
                <w:rFonts w:ascii="DejaVu Sans Mono" w:hAnsi="DejaVu Sans Mono"/>
                <w:b w:val="0"/>
                <w:i w:val="0"/>
                <w:color w:val="19232D"/>
                <w:sz w:val="16"/>
              </w:rPr>
              <w:t xml:space="preserve">  required grant/effect class</w:t>
            </w:r>
            <w:r>
              <w:br/>
            </w:r>
            <w:r>
              <w:rPr>
                <w:rFonts w:ascii="DejaVu Sans Mono" w:hAnsi="DejaVu Sans Mono"/>
                <w:b w:val="0"/>
                <w:i w:val="0"/>
                <w:color w:val="19232D"/>
                <w:sz w:val="16"/>
              </w:rPr>
              <w:t xml:space="preserve">  injection mode and evidence capture class</w:t>
            </w:r>
          </w:p>
        </w:tc>
      </w:tr>
    </w:tbl>
    <w:p>
      <w:pPr>
        <w:spacing w:after="0"/>
      </w:pPr>
    </w:p>
    <w:p>
      <w:pPr>
        <w:pStyle w:val="Heading2"/>
      </w:pPr>
      <w:r>
        <w:t>4.5 Reuse decision gate</w:t>
      </w:r>
    </w:p>
    <w:tbl>
      <w:tblPr>
        <w:tblW w:type="auto" w:w="0"/>
        <w:jc w:val="center"/>
        <w:tblLook w:firstColumn="1" w:firstRow="1" w:lastColumn="0" w:lastRow="0" w:noHBand="0" w:noVBand="1" w:val="04A0"/>
      </w:tblPr>
      <w:tblGrid>
        <w:gridCol w:w="9866"/>
      </w:tblGrid>
      <w:tr>
        <w:trPr>
          <w:cantSplit/>
        </w:trPr>
        <w:tc>
          <w:tcPr>
            <w:tcW w:type="dxa" w:w="9866"/>
            <w:shd w:fill="EDF2F5"/>
            <w:tcBorders>
              <w:top w:val="single" w:sz="10" w:color="265F78"/>
              <w:left w:val="single" w:sz="10" w:color="265F78"/>
              <w:bottom w:val="single" w:sz="10" w:color="265F78"/>
              <w:right w:val="single" w:sz="10" w:color="265F78"/>
            </w:tcBorders>
          </w:tcPr>
          <w:p>
            <w:pPr>
              <w:spacing w:after="40"/>
            </w:pPr>
            <w:r>
              <w:rPr>
                <w:rFonts w:ascii="Inter" w:hAnsi="Inter"/>
                <w:b/>
                <w:i w:val="0"/>
                <w:color w:val="265F78"/>
                <w:sz w:val="20"/>
              </w:rPr>
              <w:t>Do not rebuild by reflex</w:t>
            </w:r>
          </w:p>
          <w:p>
            <w:pPr>
              <w:spacing w:after="0"/>
            </w:pPr>
            <w:r>
              <w:rPr>
                <w:rFonts w:ascii="Inter" w:hAnsi="Inter"/>
                <w:b w:val="0"/>
                <w:i w:val="0"/>
                <w:color w:val="19232D"/>
                <w:sz w:val="18"/>
              </w:rPr>
              <w:t>CRED-000 must label each target capability as already present, configuration-only, extension, or missing. Greenfield broker work is permitted only where the current implementation cannot meet a core contract without becoming brittle.</w:t>
            </w:r>
          </w:p>
        </w:tc>
      </w:tr>
    </w:tbl>
    <w:p>
      <w:pPr>
        <w:spacing w:after="0"/>
      </w:pPr>
    </w:p>
    <w:p>
      <w:pPr>
        <w:pStyle w:val="Heading1"/>
      </w:pPr>
      <w:r>
        <w:t>5. Milestones and critical path</w:t>
      </w:r>
    </w:p>
    <w:tbl>
      <w:tblPr>
        <w:tblW w:type="auto" w:w="0"/>
        <w:jc w:val="center"/>
        <w:tblLayout w:type="fixed"/>
        <w:tblLook w:firstColumn="1" w:firstRow="1" w:lastColumn="0" w:lastRow="0" w:noHBand="0" w:noVBand="1" w:val="04A0"/>
      </w:tblPr>
      <w:tblGrid>
        <w:gridCol w:w="2466"/>
        <w:gridCol w:w="2466"/>
        <w:gridCol w:w="2466"/>
        <w:gridCol w:w="2466"/>
      </w:tblGrid>
      <w:tr>
        <w:trPr>
          <w:tblHeader w:val="true"/>
          <w:cantSplit/>
        </w:trPr>
        <w:tc>
          <w:tcPr>
            <w:tcW w:type="dxa" w:w="793"/>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ID</w:t>
            </w:r>
          </w:p>
        </w:tc>
        <w:tc>
          <w:tcPr>
            <w:tcW w:type="dxa" w:w="238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Milestone</w:t>
            </w:r>
          </w:p>
        </w:tc>
        <w:tc>
          <w:tcPr>
            <w:tcW w:type="dxa" w:w="3288"/>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Purpose</w:t>
            </w:r>
          </w:p>
        </w:tc>
        <w:tc>
          <w:tcPr>
            <w:tcW w:type="dxa" w:w="3968"/>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Exit gate</w:t>
            </w:r>
          </w:p>
        </w:tc>
      </w:tr>
      <w:tr>
        <w:trPr>
          <w:cantSplit/>
        </w:trPr>
        <w:tc>
          <w:tcPr>
            <w:tcW w:type="dxa" w:w="79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M0</w:t>
            </w:r>
          </w:p>
        </w:tc>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Contracts and reuse baseline locked</w:t>
            </w:r>
          </w:p>
        </w:tc>
        <w:tc>
          <w:tcPr>
            <w:tcW w:type="dxa" w:w="328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Freeze ownership and determine exactly what the existing cred-broker already supplies.</w:t>
            </w:r>
          </w:p>
        </w:tc>
        <w:tc>
          <w:tcPr>
            <w:tcW w:type="dxa" w:w="396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Core schemas are versioned; cred-broker reuse/gap matrix exists; No duplicate authority or broker is planned</w:t>
            </w:r>
          </w:p>
        </w:tc>
      </w:tr>
      <w:tr>
        <w:trPr>
          <w:cantSplit/>
        </w:trPr>
        <w:tc>
          <w:tcPr>
            <w:tcW w:type="dxa" w:w="79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M1</w:t>
            </w:r>
          </w:p>
        </w:tc>
        <w:tc>
          <w:tcPr>
            <w:tcW w:type="dxa" w:w="238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Evidence-complete single-host control path</w:t>
            </w:r>
          </w:p>
        </w:tc>
        <w:tc>
          <w:tcPr>
            <w:tcW w:type="dxa" w:w="328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Prove evidence, API, leases, and local durability before ACP and cross-host complexity.</w:t>
            </w:r>
          </w:p>
        </w:tc>
        <w:tc>
          <w:tcPr>
            <w:tcW w:type="dxa" w:w="396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One run claims, executes, uploads evidence, and settles; Runner/API restart preserves state</w:t>
            </w:r>
          </w:p>
        </w:tc>
      </w:tr>
      <w:tr>
        <w:trPr>
          <w:cantSplit/>
        </w:trPr>
        <w:tc>
          <w:tcPr>
            <w:tcW w:type="dxa" w:w="79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M2</w:t>
            </w:r>
          </w:p>
        </w:tc>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ACP and two-host operation</w:t>
            </w:r>
          </w:p>
        </w:tc>
        <w:tc>
          <w:tcPr>
            <w:tcW w:type="dxa" w:w="328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Establish the missing meta-layer and actual cross-host workflow.</w:t>
            </w:r>
          </w:p>
        </w:tc>
        <w:tc>
          <w:tcPr>
            <w:tcW w:type="dxa" w:w="396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Workstation and devbox run concurrently; ACP updates survive partition; Human-started session can be adopted and detached</w:t>
            </w:r>
          </w:p>
        </w:tc>
      </w:tr>
      <w:tr>
        <w:trPr>
          <w:cantSplit/>
        </w:trPr>
        <w:tc>
          <w:tcPr>
            <w:tcW w:type="dxa" w:w="79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M3</w:t>
            </w:r>
          </w:p>
        </w:tc>
        <w:tc>
          <w:tcPr>
            <w:tcW w:type="dxa" w:w="238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OpenBao/cred-broker credential surface</w:t>
            </w:r>
          </w:p>
        </w:tc>
        <w:tc>
          <w:tcPr>
            <w:tcW w:type="dxa" w:w="328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Make logical credentials stable while preserving short-lived secret and lease semantics.</w:t>
            </w:r>
          </w:p>
        </w:tc>
        <w:tc>
          <w:tcPr>
            <w:tcW w:type="dxa" w:w="396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Baseline credentials rotate without agent contract changes; Effect-bound grants reject payload drift; No secret enters canonical events</w:t>
            </w:r>
          </w:p>
        </w:tc>
      </w:tr>
      <w:tr>
        <w:trPr>
          <w:cantSplit/>
        </w:trPr>
        <w:tc>
          <w:tcPr>
            <w:tcW w:type="dxa" w:w="79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M4</w:t>
            </w:r>
          </w:p>
        </w:tc>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Policy observation complete</w:t>
            </w:r>
          </w:p>
        </w:tc>
        <w:tc>
          <w:tcPr>
            <w:tcW w:type="dxa" w:w="328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Validate PolicyInput/v1 and Rego against real choices before enforcement.</w:t>
            </w:r>
          </w:p>
        </w:tc>
        <w:tc>
          <w:tcPr>
            <w:tcW w:type="dxa" w:w="396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Full backlog decision coverage; False positives and channels classified; ToolHive decision recorded</w:t>
            </w:r>
          </w:p>
        </w:tc>
      </w:tr>
      <w:tr>
        <w:trPr>
          <w:cantSplit/>
        </w:trPr>
        <w:tc>
          <w:tcPr>
            <w:tcW w:type="dxa" w:w="79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M5</w:t>
            </w:r>
          </w:p>
        </w:tc>
        <w:tc>
          <w:tcPr>
            <w:tcW w:type="dxa" w:w="238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Bounded autonomous work paths</w:t>
            </w:r>
          </w:p>
        </w:tc>
        <w:tc>
          <w:tcPr>
            <w:tcW w:type="dxa" w:w="328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Enable semi-independent paths without swarm semantics.</w:t>
            </w:r>
          </w:p>
        </w:tc>
        <w:tc>
          <w:tcPr>
            <w:tcW w:type="dxa" w:w="396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Cross-host builder-test-review path completes; Capacity/policy stops work; No uncertain effect is replayed automatically</w:t>
            </w:r>
          </w:p>
        </w:tc>
      </w:tr>
      <w:tr>
        <w:trPr>
          <w:cantSplit/>
        </w:trPr>
        <w:tc>
          <w:tcPr>
            <w:tcW w:type="dxa" w:w="79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M6</w:t>
            </w:r>
          </w:p>
        </w:tc>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Production commissioning</w:t>
            </w:r>
          </w:p>
        </w:tc>
        <w:tc>
          <w:tcPr>
            <w:tcW w:type="dxa" w:w="328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Prove recovery, compatibility, disclosure controls, and rollback.</w:t>
            </w:r>
          </w:p>
        </w:tc>
        <w:tc>
          <w:tcPr>
            <w:tcW w:type="dxa" w:w="396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Restore and N-1 upgrade drills pass; Known limits are explicit; Optional dependencies remain optional</w:t>
            </w:r>
          </w:p>
        </w:tc>
      </w:tr>
    </w:tbl>
    <w:p>
      <w:pPr>
        <w:spacing w:after="0"/>
      </w:pPr>
    </w:p>
    <w:p>
      <w:pPr>
        <w:pStyle w:val="Heading2"/>
      </w:pPr>
      <w:r>
        <w:t>5.1 Critical path</w:t>
      </w:r>
    </w:p>
    <w:tbl>
      <w:tblPr>
        <w:tblW w:type="auto" w:w="0"/>
        <w:jc w:val="center"/>
        <w:tblLook w:firstColumn="1" w:firstRow="1" w:lastColumn="0" w:lastRow="0" w:noHBand="0" w:noVBand="1" w:val="04A0"/>
      </w:tblPr>
      <w:tblGrid>
        <w:gridCol w:w="9866"/>
      </w:tblGrid>
      <w:tr>
        <w:trPr>
          <w:cantSplit/>
        </w:trPr>
        <w:tc>
          <w:tcPr>
            <w:tcW w:type="dxa" w:w="9866"/>
            <w:shd w:fill="F1F4F6"/>
            <w:tcBorders>
              <w:top w:val="single" w:sz="4" w:color="CDD6DC"/>
              <w:left w:val="single" w:sz="4" w:color="CDD6DC"/>
              <w:bottom w:val="single" w:sz="4" w:color="CDD6DC"/>
              <w:right w:val="single" w:sz="4" w:color="CDD6DC"/>
            </w:tcBorders>
          </w:tcPr>
          <w:p>
            <w:pPr>
              <w:spacing w:after="0"/>
            </w:pPr>
            <w:r>
              <w:rPr>
                <w:rFonts w:ascii="DejaVu Sans Mono" w:hAnsi="DejaVu Sans Mono"/>
                <w:b w:val="0"/>
                <w:i w:val="0"/>
                <w:color w:val="19232D"/>
                <w:sz w:val="16"/>
              </w:rPr>
              <w:t>FND contracts + cred-broker assessment</w:t>
            </w:r>
            <w:r>
              <w:br/>
            </w:r>
            <w:r>
              <w:rPr>
                <w:rFonts w:ascii="DejaVu Sans Mono" w:hAnsi="DejaVu Sans Mono"/>
                <w:b w:val="0"/>
                <w:i w:val="0"/>
                <w:color w:val="19232D"/>
                <w:sz w:val="16"/>
              </w:rPr>
              <w:t xml:space="preserve">  -&gt; Outctl manifest and local spool</w:t>
            </w:r>
            <w:r>
              <w:br/>
            </w:r>
            <w:r>
              <w:rPr>
                <w:rFonts w:ascii="DejaVu Sans Mono" w:hAnsi="DejaVu Sans Mono"/>
                <w:b w:val="0"/>
                <w:i w:val="0"/>
                <w:color w:val="19232D"/>
                <w:sz w:val="16"/>
              </w:rPr>
              <w:t xml:space="preserve">  -&gt; control APIs, leases, event watermarks</w:t>
            </w:r>
            <w:r>
              <w:br/>
            </w:r>
            <w:r>
              <w:rPr>
                <w:rFonts w:ascii="DejaVu Sans Mono" w:hAnsi="DejaVu Sans Mono"/>
                <w:b w:val="0"/>
                <w:i w:val="0"/>
                <w:color w:val="19232D"/>
                <w:sz w:val="16"/>
              </w:rPr>
              <w:t xml:space="preserve">  -&gt; runner identity, claims, outbox</w:t>
            </w:r>
            <w:r>
              <w:br/>
            </w:r>
            <w:r>
              <w:rPr>
                <w:rFonts w:ascii="DejaVu Sans Mono" w:hAnsi="DejaVu Sans Mono"/>
                <w:b w:val="0"/>
                <w:i w:val="0"/>
                <w:color w:val="19232D"/>
                <w:sz w:val="16"/>
              </w:rPr>
              <w:t xml:space="preserve">  -&gt; ACP adapter and durable updates</w:t>
            </w:r>
            <w:r>
              <w:br/>
            </w:r>
            <w:r>
              <w:rPr>
                <w:rFonts w:ascii="DejaVu Sans Mono" w:hAnsi="DejaVu Sans Mono"/>
                <w:b w:val="0"/>
                <w:i w:val="0"/>
                <w:color w:val="19232D"/>
                <w:sz w:val="16"/>
              </w:rPr>
              <w:t xml:space="preserve">  -&gt; CredentialCatalog + ticket + existing broker commission</w:t>
            </w:r>
            <w:r>
              <w:br/>
            </w:r>
            <w:r>
              <w:rPr>
                <w:rFonts w:ascii="DejaVu Sans Mono" w:hAnsi="DejaVu Sans Mono"/>
                <w:b w:val="0"/>
                <w:i w:val="0"/>
                <w:color w:val="19232D"/>
                <w:sz w:val="16"/>
              </w:rPr>
              <w:t xml:space="preserve">  -&gt; grant ledger + effect descriptor</w:t>
            </w:r>
            <w:r>
              <w:br/>
            </w:r>
            <w:r>
              <w:rPr>
                <w:rFonts w:ascii="DejaVu Sans Mono" w:hAnsi="DejaVu Sans Mono"/>
                <w:b w:val="0"/>
                <w:i w:val="0"/>
                <w:color w:val="19232D"/>
                <w:sz w:val="16"/>
              </w:rPr>
              <w:t xml:space="preserve">  -&gt; OPA observation</w:t>
            </w:r>
            <w:r>
              <w:br/>
            </w:r>
            <w:r>
              <w:rPr>
                <w:rFonts w:ascii="DejaVu Sans Mono" w:hAnsi="DejaVu Sans Mono"/>
                <w:b w:val="0"/>
                <w:i w:val="0"/>
                <w:color w:val="19232D"/>
                <w:sz w:val="16"/>
              </w:rPr>
              <w:t xml:space="preserve">  -&gt; bounded autonomous work paths</w:t>
            </w:r>
            <w:r>
              <w:br/>
            </w:r>
            <w:r>
              <w:rPr>
                <w:rFonts w:ascii="DejaVu Sans Mono" w:hAnsi="DejaVu Sans Mono"/>
                <w:b w:val="0"/>
                <w:i w:val="0"/>
                <w:color w:val="19232D"/>
                <w:sz w:val="16"/>
              </w:rPr>
              <w:t xml:space="preserve">  -&gt; production drills and commissioning</w:t>
            </w:r>
          </w:p>
        </w:tc>
      </w:tr>
    </w:tbl>
    <w:p>
      <w:pPr>
        <w:spacing w:after="0"/>
      </w:pPr>
    </w:p>
    <w:p>
      <w:pPr>
        <w:pStyle w:val="Heading2"/>
      </w:pPr>
      <w:r>
        <w:t>5.2 First execution slice</w:t>
      </w:r>
    </w:p>
    <w:p>
      <w:pPr>
        <w:spacing w:after="100"/>
      </w:pPr>
      <w:r>
        <w:rPr>
          <w:rFonts w:ascii="Inter" w:hAnsi="Inter"/>
          <w:b w:val="0"/>
          <w:i w:val="0"/>
          <w:color w:val="19232D"/>
          <w:sz w:val="19"/>
        </w:rPr>
        <w:t>1. Complete FND-001..004, EVD-001, and CRED-000.</w:t>
      </w:r>
    </w:p>
    <w:p>
      <w:pPr>
        <w:spacing w:after="100"/>
      </w:pPr>
      <w:r>
        <w:rPr>
          <w:rFonts w:ascii="Inter" w:hAnsi="Inter"/>
          <w:b w:val="0"/>
          <w:i w:val="0"/>
          <w:color w:val="19232D"/>
          <w:sz w:val="19"/>
        </w:rPr>
        <w:t>2. Reach M1 with evidence, control APIs, runner identity, claims, and event/evidence ingest.</w:t>
      </w:r>
    </w:p>
    <w:p>
      <w:pPr>
        <w:spacing w:after="100"/>
      </w:pPr>
      <w:r>
        <w:rPr>
          <w:rFonts w:ascii="Inter" w:hAnsi="Inter"/>
          <w:b w:val="0"/>
          <w:i w:val="0"/>
          <w:color w:val="19232D"/>
          <w:sz w:val="19"/>
        </w:rPr>
        <w:t>3. Reach M2 with one real ACP cutover and the second host.</w:t>
      </w:r>
    </w:p>
    <w:p>
      <w:pPr>
        <w:spacing w:after="100"/>
      </w:pPr>
      <w:r>
        <w:rPr>
          <w:rFonts w:ascii="Inter" w:hAnsi="Inter"/>
          <w:b w:val="0"/>
          <w:i w:val="0"/>
          <w:color w:val="19232D"/>
          <w:sz w:val="19"/>
        </w:rPr>
        <w:t>4. Commission the existing cred-broker; do not implement credential provider logic inside vuoro-control.</w:t>
      </w:r>
    </w:p>
    <w:p>
      <w:pPr>
        <w:spacing w:after="100"/>
      </w:pPr>
      <w:r>
        <w:rPr>
          <w:rFonts w:ascii="Inter" w:hAnsi="Inter"/>
          <w:b w:val="0"/>
          <w:i w:val="0"/>
          <w:color w:val="19232D"/>
          <w:sz w:val="19"/>
        </w:rPr>
        <w:t>5. Add grant/effect semantics, then OPA observation, then bounded autonomy.</w:t>
      </w:r>
    </w:p>
    <w:p>
      <w:pPr>
        <w:pStyle w:val="Heading1"/>
      </w:pPr>
      <w:r>
        <w:t>6. Workstream execution cards</w:t>
      </w:r>
    </w:p>
    <w:p>
      <w:pPr>
        <w:pStyle w:val="Heading2"/>
      </w:pPr>
      <w:r>
        <w:t>FND — Architecture, contracts, and ownership</w:t>
      </w:r>
    </w:p>
    <w:p>
      <w:pPr>
        <w:spacing w:after="100"/>
      </w:pPr>
      <w:r>
        <w:rPr>
          <w:rFonts w:ascii="Inter" w:hAnsi="Inter"/>
          <w:b w:val="0"/>
          <w:i w:val="0"/>
          <w:color w:val="19232D"/>
          <w:sz w:val="19"/>
        </w:rPr>
        <w:t>Freeze the small Vuoro-owned identity and protocol surface before distributed implementation branches.</w:t>
      </w:r>
    </w:p>
    <w:tbl>
      <w:tblPr>
        <w:tblW w:type="auto" w:w="0"/>
        <w:jc w:val="center"/>
        <w:tblLook w:firstColumn="1" w:firstRow="1" w:lastColumn="0" w:lastRow="0" w:noHBand="0" w:noVBand="1" w:val="04A0"/>
      </w:tblPr>
      <w:tblGrid>
        <w:gridCol w:w="9866"/>
      </w:tblGrid>
      <w:tr>
        <w:trPr>
          <w:cantSplit/>
        </w:trPr>
        <w:tc>
          <w:tcPr>
            <w:tcW w:type="dxa" w:w="9866"/>
            <w:shd w:fill="F7F9FA"/>
            <w:tcBorders>
              <w:top w:val="single" w:sz="10" w:color="265F78"/>
              <w:left w:val="single" w:sz="10" w:color="265F78"/>
              <w:bottom w:val="single" w:sz="10" w:color="265F78"/>
              <w:right w:val="single" w:sz="10" w:color="265F78"/>
            </w:tcBorders>
          </w:tcPr>
          <w:p>
            <w:pPr>
              <w:spacing w:after="40"/>
            </w:pPr>
            <w:r>
              <w:rPr>
                <w:rFonts w:ascii="Inter" w:hAnsi="Inter"/>
                <w:b/>
                <w:i w:val="0"/>
                <w:color w:val="265F78"/>
                <w:sz w:val="20"/>
              </w:rPr>
              <w:t>Workstream gate</w:t>
            </w:r>
          </w:p>
          <w:p>
            <w:pPr>
              <w:spacing w:after="0"/>
            </w:pPr>
            <w:r>
              <w:rPr>
                <w:rFonts w:ascii="Inter" w:hAnsi="Inter"/>
                <w:b w:val="0"/>
                <w:i w:val="0"/>
                <w:color w:val="19232D"/>
                <w:sz w:val="18"/>
              </w:rPr>
              <w:t>Every externally visible schema is versioned, owned, compatibility-tested, and independent of any single adapter or provider.</w:t>
            </w:r>
          </w:p>
        </w:tc>
      </w:tr>
    </w:tbl>
    <w:p>
      <w:pPr>
        <w:spacing w:after="0"/>
      </w:pP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303"/>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ID</w:t>
            </w:r>
          </w:p>
        </w:tc>
        <w:tc>
          <w:tcPr>
            <w:tcW w:type="dxa" w:w="3514"/>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Work item</w:t>
            </w:r>
          </w:p>
        </w:tc>
        <w:tc>
          <w:tcPr>
            <w:tcW w:type="dxa" w:w="1020"/>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Pri/size</w:t>
            </w:r>
          </w:p>
        </w:tc>
        <w:tc>
          <w:tcPr>
            <w:tcW w:type="dxa" w:w="1927"/>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Depends</w:t>
            </w:r>
          </w:p>
        </w:tc>
        <w:tc>
          <w:tcPr>
            <w:tcW w:type="dxa" w:w="289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Primary close condition</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FND-001</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Ratify the hybrid control-plane ADR</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P0/S</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No full-swarm or transparent live-migration requirement remains implied</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FND-002</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Define IdentitySchema/v1</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FND-001</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Every mutating event carries the required identity tuple</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FND-003</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Define protocol compatibility and migration policy</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FND-002</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N-1 runners can drain safely</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FND-004</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Assign state and repository ownership</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P0/S</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FND-001</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Sprintctl, ActionQ, Outctl, Vuoro, cred-broker, and policy ownership are explicit</w:t>
            </w:r>
          </w:p>
        </w:tc>
      </w:tr>
    </w:tbl>
    <w:p>
      <w:pPr>
        <w:spacing w:after="0"/>
      </w:pPr>
    </w:p>
    <w:p>
      <w:pPr>
        <w:pStyle w:val="Heading2"/>
      </w:pPr>
      <w:r>
        <w:t>EVD — Outctl evidence envelope</w:t>
      </w:r>
    </w:p>
    <w:p>
      <w:pPr>
        <w:spacing w:after="100"/>
      </w:pPr>
      <w:r>
        <w:rPr>
          <w:rFonts w:ascii="Inter" w:hAnsi="Inter"/>
          <w:b w:val="0"/>
          <w:i w:val="0"/>
          <w:color w:val="19232D"/>
          <w:sz w:val="19"/>
        </w:rPr>
        <w:t>Create a loss-aware, redaction-aware evidence substrate that remains useful even if every later adoption is abandoned.</w:t>
      </w:r>
    </w:p>
    <w:tbl>
      <w:tblPr>
        <w:tblW w:type="auto" w:w="0"/>
        <w:jc w:val="center"/>
        <w:tblLook w:firstColumn="1" w:firstRow="1" w:lastColumn="0" w:lastRow="0" w:noHBand="0" w:noVBand="1" w:val="04A0"/>
      </w:tblPr>
      <w:tblGrid>
        <w:gridCol w:w="9866"/>
      </w:tblGrid>
      <w:tr>
        <w:trPr>
          <w:cantSplit/>
        </w:trPr>
        <w:tc>
          <w:tcPr>
            <w:tcW w:type="dxa" w:w="9866"/>
            <w:shd w:fill="F7F9FA"/>
            <w:tcBorders>
              <w:top w:val="single" w:sz="10" w:color="265F78"/>
              <w:left w:val="single" w:sz="10" w:color="265F78"/>
              <w:bottom w:val="single" w:sz="10" w:color="265F78"/>
              <w:right w:val="single" w:sz="10" w:color="265F78"/>
            </w:tcBorders>
          </w:tcPr>
          <w:p>
            <w:pPr>
              <w:spacing w:after="40"/>
            </w:pPr>
            <w:r>
              <w:rPr>
                <w:rFonts w:ascii="Inter" w:hAnsi="Inter"/>
                <w:b/>
                <w:i w:val="0"/>
                <w:color w:val="265F78"/>
                <w:sz w:val="20"/>
              </w:rPr>
              <w:t>Workstream gate</w:t>
            </w:r>
          </w:p>
          <w:p>
            <w:pPr>
              <w:spacing w:after="0"/>
            </w:pPr>
            <w:r>
              <w:rPr>
                <w:rFonts w:ascii="Inter" w:hAnsi="Inter"/>
                <w:b w:val="0"/>
                <w:i w:val="0"/>
                <w:color w:val="19232D"/>
                <w:sz w:val="18"/>
              </w:rPr>
              <w:t>Large and sensitive outputs remain auditable without leaking plaintext centrally, and every projection is traceable to its exact input.</w:t>
            </w:r>
          </w:p>
        </w:tc>
      </w:tr>
    </w:tbl>
    <w:p>
      <w:pPr>
        <w:spacing w:after="0"/>
      </w:pP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303"/>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ID</w:t>
            </w:r>
          </w:p>
        </w:tc>
        <w:tc>
          <w:tcPr>
            <w:tcW w:type="dxa" w:w="3514"/>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Work item</w:t>
            </w:r>
          </w:p>
        </w:tc>
        <w:tc>
          <w:tcPr>
            <w:tcW w:type="dxa" w:w="1020"/>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Pri/size</w:t>
            </w:r>
          </w:p>
        </w:tc>
        <w:tc>
          <w:tcPr>
            <w:tcW w:type="dxa" w:w="1927"/>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Depends</w:t>
            </w:r>
          </w:p>
        </w:tc>
        <w:tc>
          <w:tcPr>
            <w:tcW w:type="dxa" w:w="289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Primary close condition</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EVD-001</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Specify EvidenceManifest/v1</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FND-002, FND-003</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Projector input hash identifies the exact transformed source</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EVD-002</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Implement encrypted local evidence spool</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EVD-001</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Runner restart preserves unacknowledged evidence</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EVD-003</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Implement capture classification and recorded redaction</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EVD-001, EVD-002</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Credential values are removed before central persistence</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EVD-004</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Implement projection adapters</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P1/M</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EVD-001</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Projection cannot alter command exit status</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EVD-005</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Implement central evidence ingest and retrieval</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EVD-001, CTL-002</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Hosts never receive database credentials</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EVD-006</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Run evidence fault and disclosure tests</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EVD-002, EVD-003, EVD-004, EVD-005</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Sensitive plaintext is not centrally retained</w:t>
            </w:r>
          </w:p>
        </w:tc>
      </w:tr>
    </w:tbl>
    <w:p>
      <w:pPr>
        <w:spacing w:after="0"/>
      </w:pPr>
    </w:p>
    <w:p>
      <w:pPr>
        <w:pStyle w:val="Heading2"/>
      </w:pPr>
      <w:r>
        <w:t>CTL — Namespaced Kubernetes control plane</w:t>
      </w:r>
    </w:p>
    <w:p>
      <w:pPr>
        <w:spacing w:after="100"/>
      </w:pPr>
      <w:r>
        <w:rPr>
          <w:rFonts w:ascii="Inter" w:hAnsi="Inter"/>
          <w:b w:val="0"/>
          <w:i w:val="0"/>
          <w:color w:val="19232D"/>
          <w:sz w:val="19"/>
        </w:rPr>
        <w:t>Deploy shared authority, event ingestion, reconciliation, and evidence metadata as a clean Helm/Flux release.</w:t>
      </w:r>
    </w:p>
    <w:tbl>
      <w:tblPr>
        <w:tblW w:type="auto" w:w="0"/>
        <w:jc w:val="center"/>
        <w:tblLook w:firstColumn="1" w:firstRow="1" w:lastColumn="0" w:lastRow="0" w:noHBand="0" w:noVBand="1" w:val="04A0"/>
      </w:tblPr>
      <w:tblGrid>
        <w:gridCol w:w="9866"/>
      </w:tblGrid>
      <w:tr>
        <w:trPr>
          <w:cantSplit/>
        </w:trPr>
        <w:tc>
          <w:tcPr>
            <w:tcW w:type="dxa" w:w="9866"/>
            <w:shd w:fill="F7F9FA"/>
            <w:tcBorders>
              <w:top w:val="single" w:sz="10" w:color="265F78"/>
              <w:left w:val="single" w:sz="10" w:color="265F78"/>
              <w:bottom w:val="single" w:sz="10" w:color="265F78"/>
              <w:right w:val="single" w:sz="10" w:color="265F78"/>
            </w:tcBorders>
          </w:tcPr>
          <w:p>
            <w:pPr>
              <w:spacing w:after="40"/>
            </w:pPr>
            <w:r>
              <w:rPr>
                <w:rFonts w:ascii="Inter" w:hAnsi="Inter"/>
                <w:b/>
                <w:i w:val="0"/>
                <w:color w:val="265F78"/>
                <w:sz w:val="20"/>
              </w:rPr>
              <w:t>Workstream gate</w:t>
            </w:r>
          </w:p>
          <w:p>
            <w:pPr>
              <w:spacing w:after="0"/>
            </w:pPr>
            <w:r>
              <w:rPr>
                <w:rFonts w:ascii="Inter" w:hAnsi="Inter"/>
                <w:b w:val="0"/>
                <w:i w:val="0"/>
                <w:color w:val="19232D"/>
                <w:sz w:val="18"/>
              </w:rPr>
              <w:t>The control plane survives restart and upgrade while two hosts continue or reconcile work without direct database access.</w:t>
            </w:r>
          </w:p>
        </w:tc>
      </w:tr>
    </w:tbl>
    <w:p>
      <w:pPr>
        <w:spacing w:after="0"/>
      </w:pP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303"/>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ID</w:t>
            </w:r>
          </w:p>
        </w:tc>
        <w:tc>
          <w:tcPr>
            <w:tcW w:type="dxa" w:w="3514"/>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Work item</w:t>
            </w:r>
          </w:p>
        </w:tc>
        <w:tc>
          <w:tcPr>
            <w:tcW w:type="dxa" w:w="1020"/>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Pri/size</w:t>
            </w:r>
          </w:p>
        </w:tc>
        <w:tc>
          <w:tcPr>
            <w:tcW w:type="dxa" w:w="1927"/>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Depends</w:t>
            </w:r>
          </w:p>
        </w:tc>
        <w:tc>
          <w:tcPr>
            <w:tcW w:type="dxa" w:w="289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Primary close condition</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CTL-001</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Create vuoro-control Helm/Flux skeleton</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FND-001, FND-004</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Install/uninstall is namespace-bounded</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CTL-002</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Create explicit database schemas and migration jobs</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FND-003, FND-004</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Application startup performs no uncontrolled DDL</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CTL-003</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Implement host, session, incarnation, run, and work-path APIs</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FND-002, CTL-002</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All mutating requests are idempotent</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CTL-004</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Implement fenced leases and global capacity pools</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CTL-003</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Old epochs cannot settle, redeem credentials/grants, or create authoritative children</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CTL-005</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Implement durable event ingest and watermarks</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CTL-003, FND-003</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Duplicate batches are harmless</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CTL-006</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Implement run reconciler</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CTL-004, CTL-005</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Uncertain external effects block automatic replay</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CTL-007</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Harden namespace networking and service identity</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CTL-001, CTL-003</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Only cred-broker reaches OpenBao</w:t>
            </w:r>
          </w:p>
        </w:tc>
      </w:tr>
    </w:tbl>
    <w:p>
      <w:pPr>
        <w:spacing w:after="0"/>
      </w:pPr>
    </w:p>
    <w:p>
      <w:pPr>
        <w:pStyle w:val="Heading2"/>
      </w:pPr>
      <w:r>
        <w:t>RUN — Host runner and multi-host execution</w:t>
      </w:r>
    </w:p>
    <w:p>
      <w:pPr>
        <w:spacing w:after="100"/>
      </w:pPr>
      <w:r>
        <w:rPr>
          <w:rFonts w:ascii="Inter" w:hAnsi="Inter"/>
          <w:b w:val="0"/>
          <w:i w:val="0"/>
          <w:color w:val="19232D"/>
          <w:sz w:val="19"/>
        </w:rPr>
        <w:t>Provide a small unprivileged host daemon for workspaces, processes, local durability, and interactive session handling.</w:t>
      </w:r>
    </w:p>
    <w:tbl>
      <w:tblPr>
        <w:tblW w:type="auto" w:w="0"/>
        <w:jc w:val="center"/>
        <w:tblLook w:firstColumn="1" w:firstRow="1" w:lastColumn="0" w:lastRow="0" w:noHBand="0" w:noVBand="1" w:val="04A0"/>
      </w:tblPr>
      <w:tblGrid>
        <w:gridCol w:w="9866"/>
      </w:tblGrid>
      <w:tr>
        <w:trPr>
          <w:cantSplit/>
        </w:trPr>
        <w:tc>
          <w:tcPr>
            <w:tcW w:type="dxa" w:w="9866"/>
            <w:shd w:fill="F7F9FA"/>
            <w:tcBorders>
              <w:top w:val="single" w:sz="10" w:color="265F78"/>
              <w:left w:val="single" w:sz="10" w:color="265F78"/>
              <w:bottom w:val="single" w:sz="10" w:color="265F78"/>
              <w:right w:val="single" w:sz="10" w:color="265F78"/>
            </w:tcBorders>
          </w:tcPr>
          <w:p>
            <w:pPr>
              <w:spacing w:after="40"/>
            </w:pPr>
            <w:r>
              <w:rPr>
                <w:rFonts w:ascii="Inter" w:hAnsi="Inter"/>
                <w:b/>
                <w:i w:val="0"/>
                <w:color w:val="265F78"/>
                <w:sz w:val="20"/>
              </w:rPr>
              <w:t>Workstream gate</w:t>
            </w:r>
          </w:p>
          <w:p>
            <w:pPr>
              <w:spacing w:after="0"/>
            </w:pPr>
            <w:r>
              <w:rPr>
                <w:rFonts w:ascii="Inter" w:hAnsi="Inter"/>
                <w:b w:val="0"/>
                <w:i w:val="0"/>
                <w:color w:val="19232D"/>
                <w:sz w:val="18"/>
              </w:rPr>
              <w:t>Workstation and devbox can run independent sessions concurrently, reconnect after partition, and cannot act with stale epochs.</w:t>
            </w:r>
          </w:p>
        </w:tc>
      </w:tr>
    </w:tbl>
    <w:p>
      <w:pPr>
        <w:spacing w:after="0"/>
      </w:pP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303"/>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ID</w:t>
            </w:r>
          </w:p>
        </w:tc>
        <w:tc>
          <w:tcPr>
            <w:tcW w:type="dxa" w:w="3514"/>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Work item</w:t>
            </w:r>
          </w:p>
        </w:tc>
        <w:tc>
          <w:tcPr>
            <w:tcW w:type="dxa" w:w="1020"/>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Pri/size</w:t>
            </w:r>
          </w:p>
        </w:tc>
        <w:tc>
          <w:tcPr>
            <w:tcW w:type="dxa" w:w="1927"/>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Depends</w:t>
            </w:r>
          </w:p>
        </w:tc>
        <w:tc>
          <w:tcPr>
            <w:tcW w:type="dxa" w:w="289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Primary close condition</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RUN-001</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Create vuoro-runnerd service shell</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FND-002, FND-003</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Restart preserves local session and spool state</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RUN-002</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Implement runner identity and registration</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RUN-001, CTL-003</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Stale boot identity cannot act as current runner</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RUN-003</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Implement pull-based claim and lease renewal</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RUN-002, CTL-004</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Cluster never needs SSH into the host</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RUN-004</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Implement runner outbox and disconnected mode</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RUN-001, CTL-005, EVD-002</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Reconnect resumes from watermark</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RUN-005</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Implement workspace/worktree adapter</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RUN-003</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Run cannot write outside authorized roots</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RUN-006</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Implement adopt, attach, detach, and handoff UX</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P1/M</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RUN-003, RUN-005, CTL-003</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Manual session can be adopted without losing lineage</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RUN-007</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Package runner for workstation and devbox</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RUN-001, RUN-002, RUN-004</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Both hosts can roll back independently</w:t>
            </w:r>
          </w:p>
        </w:tc>
      </w:tr>
    </w:tbl>
    <w:p>
      <w:pPr>
        <w:spacing w:after="0"/>
      </w:pPr>
    </w:p>
    <w:p>
      <w:pPr>
        <w:pStyle w:val="Heading2"/>
      </w:pPr>
      <w:r>
        <w:t>ACP — ACP harness boundary</w:t>
      </w:r>
    </w:p>
    <w:p>
      <w:pPr>
        <w:spacing w:after="100"/>
      </w:pPr>
      <w:r>
        <w:rPr>
          <w:rFonts w:ascii="Inter" w:hAnsi="Inter"/>
          <w:b w:val="0"/>
          <w:i w:val="0"/>
          <w:color w:val="19232D"/>
          <w:sz w:val="19"/>
        </w:rPr>
        <w:t>Retire harness-specific session control behind a negotiated local ACP adapter and durable update sink.</w:t>
      </w:r>
    </w:p>
    <w:tbl>
      <w:tblPr>
        <w:tblW w:type="auto" w:w="0"/>
        <w:jc w:val="center"/>
        <w:tblLook w:firstColumn="1" w:firstRow="1" w:lastColumn="0" w:lastRow="0" w:noHBand="0" w:noVBand="1" w:val="04A0"/>
      </w:tblPr>
      <w:tblGrid>
        <w:gridCol w:w="9866"/>
      </w:tblGrid>
      <w:tr>
        <w:trPr>
          <w:cantSplit/>
        </w:trPr>
        <w:tc>
          <w:tcPr>
            <w:tcW w:type="dxa" w:w="9866"/>
            <w:shd w:fill="F7F9FA"/>
            <w:tcBorders>
              <w:top w:val="single" w:sz="10" w:color="265F78"/>
              <w:left w:val="single" w:sz="10" w:color="265F78"/>
              <w:bottom w:val="single" w:sz="10" w:color="265F78"/>
              <w:right w:val="single" w:sz="10" w:color="265F78"/>
            </w:tcBorders>
          </w:tcPr>
          <w:p>
            <w:pPr>
              <w:spacing w:after="40"/>
            </w:pPr>
            <w:r>
              <w:rPr>
                <w:rFonts w:ascii="Inter" w:hAnsi="Inter"/>
                <w:b/>
                <w:i w:val="0"/>
                <w:color w:val="265F78"/>
                <w:sz w:val="20"/>
              </w:rPr>
              <w:t>Workstream gate</w:t>
            </w:r>
          </w:p>
          <w:p>
            <w:pPr>
              <w:spacing w:after="0"/>
            </w:pPr>
            <w:r>
              <w:rPr>
                <w:rFonts w:ascii="Inter" w:hAnsi="Inter"/>
                <w:b w:val="0"/>
                <w:i w:val="0"/>
                <w:color w:val="19232D"/>
                <w:sz w:val="18"/>
              </w:rPr>
              <w:t>One real backlog runs through ACP on two hosts with no silent update loss, and a second harness proves the boundary.</w:t>
            </w:r>
          </w:p>
        </w:tc>
      </w:tr>
    </w:tbl>
    <w:p>
      <w:pPr>
        <w:spacing w:after="0"/>
      </w:pP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303"/>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ID</w:t>
            </w:r>
          </w:p>
        </w:tc>
        <w:tc>
          <w:tcPr>
            <w:tcW w:type="dxa" w:w="3514"/>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Work item</w:t>
            </w:r>
          </w:p>
        </w:tc>
        <w:tc>
          <w:tcPr>
            <w:tcW w:type="dxa" w:w="1020"/>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Pri/size</w:t>
            </w:r>
          </w:p>
        </w:tc>
        <w:tc>
          <w:tcPr>
            <w:tcW w:type="dxa" w:w="1927"/>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Depends</w:t>
            </w:r>
          </w:p>
        </w:tc>
        <w:tc>
          <w:tcPr>
            <w:tcW w:type="dxa" w:w="289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Primary close condition</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ACP-001</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Define Vuoro Runner/v1 harness contract</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FND-002, FND-004</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ActionQ contains no ACP-specific authority fields</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ACP-002</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Implement first local ACP adapter</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ACP-001, RUN-001</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Negotiated capabilities persist per incarnation</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ACP-003</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Implement durable ACP update sink</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ACP-002, RUN-004, CTL-005</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Runner/control restart loses no acknowledged update</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ACP-004</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Implement resume, cancellation, and uncertain-turn rules</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ACP-003, CTL-006</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Cross-host recovery never reuses opaque ID without proof</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ACP-005</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Cut over one real runner profile</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ACP-004, RUN-007, EVD-006</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Old path is non-authoritative and deletable</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ACP-006</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Prove second harness and retire PTY fallback</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P1/L</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ACP-005</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No automatic PTY fallback</w:t>
            </w:r>
          </w:p>
        </w:tc>
      </w:tr>
    </w:tbl>
    <w:p>
      <w:pPr>
        <w:spacing w:after="0"/>
      </w:pPr>
    </w:p>
    <w:p>
      <w:pPr>
        <w:pStyle w:val="Heading2"/>
      </w:pPr>
      <w:r>
        <w:t>CRED — OpenBao and existing cred-broker rollout</w:t>
      </w:r>
    </w:p>
    <w:p>
      <w:pPr>
        <w:spacing w:after="100"/>
      </w:pPr>
      <w:r>
        <w:rPr>
          <w:rFonts w:ascii="Inter" w:hAnsi="Inter"/>
          <w:b w:val="0"/>
          <w:i w:val="0"/>
          <w:color w:val="19232D"/>
          <w:sz w:val="19"/>
        </w:rPr>
        <w:t>Reuse the existing cred-broker as the stable credential delivery surface while OpenBao owns secret and lease lifecycle.</w:t>
      </w:r>
    </w:p>
    <w:tbl>
      <w:tblPr>
        <w:tblW w:type="auto" w:w="0"/>
        <w:jc w:val="center"/>
        <w:tblLook w:firstColumn="1" w:firstRow="1" w:lastColumn="0" w:lastRow="0" w:noHBand="0" w:noVBand="1" w:val="04A0"/>
      </w:tblPr>
      <w:tblGrid>
        <w:gridCol w:w="9866"/>
      </w:tblGrid>
      <w:tr>
        <w:trPr>
          <w:cantSplit/>
        </w:trPr>
        <w:tc>
          <w:tcPr>
            <w:tcW w:type="dxa" w:w="9866"/>
            <w:shd w:fill="F7F9FA"/>
            <w:tcBorders>
              <w:top w:val="single" w:sz="10" w:color="265F78"/>
              <w:left w:val="single" w:sz="10" w:color="265F78"/>
              <w:bottom w:val="single" w:sz="10" w:color="265F78"/>
              <w:right w:val="single" w:sz="10" w:color="265F78"/>
            </w:tcBorders>
          </w:tcPr>
          <w:p>
            <w:pPr>
              <w:spacing w:after="40"/>
            </w:pPr>
            <w:r>
              <w:rPr>
                <w:rFonts w:ascii="Inter" w:hAnsi="Inter"/>
                <w:b/>
                <w:i w:val="0"/>
                <w:color w:val="265F78"/>
                <w:sz w:val="20"/>
              </w:rPr>
              <w:t>Workstream gate</w:t>
            </w:r>
          </w:p>
          <w:p>
            <w:pPr>
              <w:spacing w:after="0"/>
            </w:pPr>
            <w:r>
              <w:rPr>
                <w:rFonts w:ascii="Inter" w:hAnsi="Inter"/>
                <w:b w:val="0"/>
                <w:i w:val="0"/>
                <w:color w:val="19232D"/>
                <w:sz w:val="18"/>
              </w:rPr>
              <w:t>Agents and other actors consume logical credential references; leases rotate and revoke cleanly; no secret value enters canonical Vuoro state.</w:t>
            </w:r>
          </w:p>
        </w:tc>
      </w:tr>
    </w:tbl>
    <w:p>
      <w:pPr>
        <w:spacing w:after="0"/>
      </w:pP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303"/>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ID</w:t>
            </w:r>
          </w:p>
        </w:tc>
        <w:tc>
          <w:tcPr>
            <w:tcW w:type="dxa" w:w="3514"/>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Work item</w:t>
            </w:r>
          </w:p>
        </w:tc>
        <w:tc>
          <w:tcPr>
            <w:tcW w:type="dxa" w:w="1020"/>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Pri/size</w:t>
            </w:r>
          </w:p>
        </w:tc>
        <w:tc>
          <w:tcPr>
            <w:tcW w:type="dxa" w:w="1927"/>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Depends</w:t>
            </w:r>
          </w:p>
        </w:tc>
        <w:tc>
          <w:tcPr>
            <w:tcW w:type="dxa" w:w="289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Primary close condition</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CRED-000</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Assess existing cred-broker against target contracts</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FND-001, FND-004</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No duplicate broker is planned</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CRED-001</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Define CredentialCatalog/v1</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FND-002, CRED-000</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Agents request logical references, never raw OpenBao paths</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CRED-002</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Define credential ticket and actor binding</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CRED-001, RUN-002</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Agent sessions hold no long-lived OpenBao token</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CRED-003</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Commission cred-broker as the OpenBao delivery plane</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CRED-000, CRED-002, CTL-001, CTL-007</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vuoro-control does not implement a second provider adapter</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CRED-004</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Integrate runner credential retrieval and injection</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CRED-003, RUN-003, EVD-003</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Secret values never enter prompts or canonical events</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CRED-005</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Implement credential classes and lease policy</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CRED-003, CRED-004</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Offline runner can use only explicitly allowed low-risk leases</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CRED-006</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Implement Vuoro grant ledger above broker delivery</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CRED-003, CTL-004</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One-shot meaning is enforced by Vuoro state</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CRED-007</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Implement payload-bound EffectDescriptor/v1</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CRED-006, RUN-005, EVD-001</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Digest mismatch blocks execution</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CRED-008</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Correlate credential, grant, policy, and evidence audit</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CRED-004, CRED-006, CRED-007, EVD-005</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Reviewer can reconstruct the authorization and result without seeing secret values</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CRED-009</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Exercise rotation, revocation, expiry, and outage</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CRED-005, CRED-008</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Revoked leases stop renewal/future use</w:t>
            </w:r>
          </w:p>
        </w:tc>
      </w:tr>
    </w:tbl>
    <w:p>
      <w:pPr>
        <w:spacing w:after="0"/>
      </w:pPr>
    </w:p>
    <w:p>
      <w:pPr>
        <w:pStyle w:val="Heading2"/>
      </w:pPr>
      <w:r>
        <w:t>POL — OPA policy observation and enforcement</w:t>
      </w:r>
    </w:p>
    <w:p>
      <w:pPr>
        <w:spacing w:after="100"/>
      </w:pPr>
      <w:r>
        <w:rPr>
          <w:rFonts w:ascii="Inter" w:hAnsi="Inter"/>
          <w:b w:val="0"/>
          <w:i w:val="0"/>
          <w:color w:val="19232D"/>
          <w:sz w:val="19"/>
        </w:rPr>
        <w:t>Adopt OPA behind a Vuoro-owned decision schema, author Rego directly, and enforce only after measured observation.</w:t>
      </w:r>
    </w:p>
    <w:tbl>
      <w:tblPr>
        <w:tblW w:type="auto" w:w="0"/>
        <w:jc w:val="center"/>
        <w:tblLook w:firstColumn="1" w:firstRow="1" w:lastColumn="0" w:lastRow="0" w:noHBand="0" w:noVBand="1" w:val="04A0"/>
      </w:tblPr>
      <w:tblGrid>
        <w:gridCol w:w="9866"/>
      </w:tblGrid>
      <w:tr>
        <w:trPr>
          <w:cantSplit/>
        </w:trPr>
        <w:tc>
          <w:tcPr>
            <w:tcW w:type="dxa" w:w="9866"/>
            <w:shd w:fill="F7F9FA"/>
            <w:tcBorders>
              <w:top w:val="single" w:sz="10" w:color="265F78"/>
              <w:left w:val="single" w:sz="10" w:color="265F78"/>
              <w:bottom w:val="single" w:sz="10" w:color="265F78"/>
              <w:right w:val="single" w:sz="10" w:color="265F78"/>
            </w:tcBorders>
          </w:tcPr>
          <w:p>
            <w:pPr>
              <w:spacing w:after="40"/>
            </w:pPr>
            <w:r>
              <w:rPr>
                <w:rFonts w:ascii="Inter" w:hAnsi="Inter"/>
                <w:b/>
                <w:i w:val="0"/>
                <w:color w:val="265F78"/>
                <w:sz w:val="20"/>
              </w:rPr>
              <w:t>Workstream gate</w:t>
            </w:r>
          </w:p>
          <w:p>
            <w:pPr>
              <w:spacing w:after="0"/>
            </w:pPr>
            <w:r>
              <w:rPr>
                <w:rFonts w:ascii="Inter" w:hAnsi="Inter"/>
                <w:b w:val="0"/>
                <w:i w:val="0"/>
                <w:color w:val="19232D"/>
                <w:sz w:val="18"/>
              </w:rPr>
              <w:t>A full backlog has tested decisions, effect-channel classification, and measured divergence from operator choices.</w:t>
            </w:r>
          </w:p>
        </w:tc>
      </w:tr>
    </w:tbl>
    <w:p>
      <w:pPr>
        <w:spacing w:after="0"/>
      </w:pP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303"/>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ID</w:t>
            </w:r>
          </w:p>
        </w:tc>
        <w:tc>
          <w:tcPr>
            <w:tcW w:type="dxa" w:w="3514"/>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Work item</w:t>
            </w:r>
          </w:p>
        </w:tc>
        <w:tc>
          <w:tcPr>
            <w:tcW w:type="dxa" w:w="1020"/>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Pri/size</w:t>
            </w:r>
          </w:p>
        </w:tc>
        <w:tc>
          <w:tcPr>
            <w:tcW w:type="dxa" w:w="1927"/>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Depends</w:t>
            </w:r>
          </w:p>
        </w:tc>
        <w:tc>
          <w:tcPr>
            <w:tcW w:type="dxa" w:w="289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Primary close condition</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POL-001</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Define PolicyInput/v1 and PolicyDecision/v1</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FND-002, CRED-007</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Input is sufficient to explain decisions</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POL-002</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Deploy OPA as a namespaced decision service</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CTL-001, CTL-007, POL-001</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Decision ID and policy revision persist in Vuoro</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POL-003</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Author baseline Rego and tests</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POL-001, POL-002</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Every deny/grant branch has a named test</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POL-004</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Run observation mode over a full backlog</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POL-003, CRED-008, ACP-005</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All encountered consequential effect families are covered</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POL-005</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Classify effect channels and decide ToolHive gate</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P1/M</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POL-004</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Decision is based on consequential MCP share and lifecycle ownership, not fashion</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POL-006</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Promote selected families to enforcement</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P1/L</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POL-004, CRED-009, OPS-004</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Consequential effects fail closed where declared</w:t>
            </w:r>
          </w:p>
        </w:tc>
      </w:tr>
    </w:tbl>
    <w:p>
      <w:pPr>
        <w:spacing w:after="0"/>
      </w:pPr>
    </w:p>
    <w:p>
      <w:pPr>
        <w:pStyle w:val="Heading2"/>
      </w:pPr>
      <w:r>
        <w:t>AUT — Bounded autonomous work paths</w:t>
      </w:r>
    </w:p>
    <w:p>
      <w:pPr>
        <w:spacing w:after="100"/>
      </w:pPr>
      <w:r>
        <w:rPr>
          <w:rFonts w:ascii="Inter" w:hAnsi="Inter"/>
          <w:b w:val="0"/>
          <w:i w:val="0"/>
          <w:color w:val="19232D"/>
          <w:sz w:val="19"/>
        </w:rPr>
        <w:t>Enable semi-independent multi-session execution with explicit budgets, capacity pools, stop conditions, and handoffs.</w:t>
      </w:r>
    </w:p>
    <w:tbl>
      <w:tblPr>
        <w:tblW w:type="auto" w:w="0"/>
        <w:jc w:val="center"/>
        <w:tblLook w:firstColumn="1" w:firstRow="1" w:lastColumn="0" w:lastRow="0" w:noHBand="0" w:noVBand="1" w:val="04A0"/>
      </w:tblPr>
      <w:tblGrid>
        <w:gridCol w:w="9866"/>
      </w:tblGrid>
      <w:tr>
        <w:trPr>
          <w:cantSplit/>
        </w:trPr>
        <w:tc>
          <w:tcPr>
            <w:tcW w:type="dxa" w:w="9866"/>
            <w:shd w:fill="F7F9FA"/>
            <w:tcBorders>
              <w:top w:val="single" w:sz="10" w:color="265F78"/>
              <w:left w:val="single" w:sz="10" w:color="265F78"/>
              <w:bottom w:val="single" w:sz="10" w:color="265F78"/>
              <w:right w:val="single" w:sz="10" w:color="265F78"/>
            </w:tcBorders>
          </w:tcPr>
          <w:p>
            <w:pPr>
              <w:spacing w:after="40"/>
            </w:pPr>
            <w:r>
              <w:rPr>
                <w:rFonts w:ascii="Inter" w:hAnsi="Inter"/>
                <w:b/>
                <w:i w:val="0"/>
                <w:color w:val="265F78"/>
                <w:sz w:val="20"/>
              </w:rPr>
              <w:t>Workstream gate</w:t>
            </w:r>
          </w:p>
          <w:p>
            <w:pPr>
              <w:spacing w:after="0"/>
            </w:pPr>
            <w:r>
              <w:rPr>
                <w:rFonts w:ascii="Inter" w:hAnsi="Inter"/>
                <w:b w:val="0"/>
                <w:i w:val="0"/>
                <w:color w:val="19232D"/>
                <w:sz w:val="18"/>
              </w:rPr>
              <w:t>A builder-test-review path crosses two hosts without supervision and stops correctly at every injected authority or capacity boundary.</w:t>
            </w:r>
          </w:p>
        </w:tc>
      </w:tr>
    </w:tbl>
    <w:p>
      <w:pPr>
        <w:spacing w:after="0"/>
      </w:pP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303"/>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ID</w:t>
            </w:r>
          </w:p>
        </w:tc>
        <w:tc>
          <w:tcPr>
            <w:tcW w:type="dxa" w:w="3514"/>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Work item</w:t>
            </w:r>
          </w:p>
        </w:tc>
        <w:tc>
          <w:tcPr>
            <w:tcW w:type="dxa" w:w="1020"/>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Pri/size</w:t>
            </w:r>
          </w:p>
        </w:tc>
        <w:tc>
          <w:tcPr>
            <w:tcW w:type="dxa" w:w="1927"/>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Depends</w:t>
            </w:r>
          </w:p>
        </w:tc>
        <w:tc>
          <w:tcPr>
            <w:tcW w:type="dxa" w:w="289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Primary close condition</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AUT-001</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Implement work_path domain and lineage</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CTL-003, FND-002</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Every child run has a sponsoring path and authority scope</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AUT-002</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Implement delegation and continuation budgets</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AUT-001, CTL-004, POL-001</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Coordinator cannot widen its own delegation</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AUT-003</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Implement child-run creation and readiness selection</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AUT-002, CTL-004</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Duplicate spawn creates one child</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AUT-004</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Implement provider capacity allocation</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CTL-004, AUT-002</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Two hosts cannot overbook one pool</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AUT-005</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Implement portable handoff and successor sessions</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RUN-006, ACP-004, AUT-001</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Cross-host continuation does not assume conversation-store portability</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AUT-006</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Implement stop conditions and escalation</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AUT-003, POL-004, CRED-006, CTL-006</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No autonomous retry crosses uncertain effect</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AUT-007</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Run cross-host builder-test-review pilot</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AUT-004, AUT-005, AUT-006, ACP-006</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At least three child runs complete across two hosts</w:t>
            </w:r>
          </w:p>
        </w:tc>
      </w:tr>
    </w:tbl>
    <w:p>
      <w:pPr>
        <w:spacing w:after="0"/>
      </w:pPr>
    </w:p>
    <w:p>
      <w:pPr>
        <w:pStyle w:val="Heading2"/>
      </w:pPr>
      <w:r>
        <w:t>OPS — Operations, upgrades, and commissioning</w:t>
      </w:r>
    </w:p>
    <w:p>
      <w:pPr>
        <w:spacing w:after="100"/>
      </w:pPr>
      <w:r>
        <w:rPr>
          <w:rFonts w:ascii="Inter" w:hAnsi="Inter"/>
          <w:b w:val="0"/>
          <w:i w:val="0"/>
          <w:color w:val="19232D"/>
          <w:sz w:val="19"/>
        </w:rPr>
        <w:t>Make the bundle supportable through migrations, compatibility, backup/restore, fault drills, and rollback.</w:t>
      </w:r>
    </w:p>
    <w:tbl>
      <w:tblPr>
        <w:tblW w:type="auto" w:w="0"/>
        <w:jc w:val="center"/>
        <w:tblLook w:firstColumn="1" w:firstRow="1" w:lastColumn="0" w:lastRow="0" w:noHBand="0" w:noVBand="1" w:val="04A0"/>
      </w:tblPr>
      <w:tblGrid>
        <w:gridCol w:w="9866"/>
      </w:tblGrid>
      <w:tr>
        <w:trPr>
          <w:cantSplit/>
        </w:trPr>
        <w:tc>
          <w:tcPr>
            <w:tcW w:type="dxa" w:w="9866"/>
            <w:shd w:fill="F7F9FA"/>
            <w:tcBorders>
              <w:top w:val="single" w:sz="10" w:color="265F78"/>
              <w:left w:val="single" w:sz="10" w:color="265F78"/>
              <w:bottom w:val="single" w:sz="10" w:color="265F78"/>
              <w:right w:val="single" w:sz="10" w:color="265F78"/>
            </w:tcBorders>
          </w:tcPr>
          <w:p>
            <w:pPr>
              <w:spacing w:after="40"/>
            </w:pPr>
            <w:r>
              <w:rPr>
                <w:rFonts w:ascii="Inter" w:hAnsi="Inter"/>
                <w:b/>
                <w:i w:val="0"/>
                <w:color w:val="265F78"/>
                <w:sz w:val="20"/>
              </w:rPr>
              <w:t>Workstream gate</w:t>
            </w:r>
          </w:p>
          <w:p>
            <w:pPr>
              <w:spacing w:after="0"/>
            </w:pPr>
            <w:r>
              <w:rPr>
                <w:rFonts w:ascii="Inter" w:hAnsi="Inter"/>
                <w:b w:val="0"/>
                <w:i w:val="0"/>
                <w:color w:val="19232D"/>
                <w:sz w:val="18"/>
              </w:rPr>
              <w:t>N-1 runners drain safely, restore is demonstrated, and failures result in explicit recoverable states rather than duplicate effects.</w:t>
            </w:r>
          </w:p>
        </w:tc>
      </w:tr>
    </w:tbl>
    <w:p>
      <w:pPr>
        <w:spacing w:after="0"/>
      </w:pP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303"/>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ID</w:t>
            </w:r>
          </w:p>
        </w:tc>
        <w:tc>
          <w:tcPr>
            <w:tcW w:type="dxa" w:w="3514"/>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Work item</w:t>
            </w:r>
          </w:p>
        </w:tc>
        <w:tc>
          <w:tcPr>
            <w:tcW w:type="dxa" w:w="1020"/>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Pri/size</w:t>
            </w:r>
          </w:p>
        </w:tc>
        <w:tc>
          <w:tcPr>
            <w:tcW w:type="dxa" w:w="1927"/>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Depends</w:t>
            </w:r>
          </w:p>
        </w:tc>
        <w:tc>
          <w:tcPr>
            <w:tcW w:type="dxa" w:w="289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Primary close condition</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OPS-001</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Implement health, metrics, and operator status</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P1/M</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CTL-003, RUN-004, CRED-008</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One view identifies blocked capacity, disconnected runners, stale leases, failed uploads, and broker/policy errors</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OPS-002</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Implement backup, restore, and evidence reconciliation</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CTL-002, EVD-005</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Restore preserves identities, grants, watermarks, and audit linkage</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OPS-003</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Implement version report card and compatibility gates</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FND-003, RUN-007, ACP-002, CRED-000</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N-1 runners drain safely</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OPS-004</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Write operational runbooks</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P0/M</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CTL-006, CRED-009, POL-004</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Every high-risk state has a bounded recovery path and do-not-do list</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OPS-005</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Implement controlled release and rollback</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CTL-001, CTL-002, FND-003</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Rollback cannot reactivate stale epochs</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OPS-006</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Run distributed failure-injection suite</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EVD-006, ACP-005, CRED-009, POL-004, OPS-003</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No silent event loss or automatic duplicate external effect</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OPS-007</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Commission production-ready multi-host bundle</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P0/L</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AUT-007, OPS-002, OPS-005, OPS-006</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All milestone gates pass or have accepted exceptions</w:t>
            </w:r>
          </w:p>
        </w:tc>
      </w:tr>
    </w:tbl>
    <w:p>
      <w:pPr>
        <w:spacing w:after="0"/>
      </w:pPr>
    </w:p>
    <w:p>
      <w:pPr>
        <w:pStyle w:val="Heading2"/>
      </w:pPr>
      <w:r>
        <w:t>OPT — Gated optional adoptions</w:t>
      </w:r>
    </w:p>
    <w:p>
      <w:pPr>
        <w:spacing w:after="100"/>
      </w:pPr>
      <w:r>
        <w:rPr>
          <w:rFonts w:ascii="Inter" w:hAnsi="Inter"/>
          <w:b w:val="0"/>
          <w:i w:val="0"/>
          <w:color w:val="19232D"/>
          <w:sz w:val="19"/>
        </w:rPr>
        <w:t>Evaluate RTK, ToolHive, DBOS, and Beads only after a named failure or topology measurement justifies them.</w:t>
      </w:r>
    </w:p>
    <w:tbl>
      <w:tblPr>
        <w:tblW w:type="auto" w:w="0"/>
        <w:jc w:val="center"/>
        <w:tblLook w:firstColumn="1" w:firstRow="1" w:lastColumn="0" w:lastRow="0" w:noHBand="0" w:noVBand="1" w:val="04A0"/>
      </w:tblPr>
      <w:tblGrid>
        <w:gridCol w:w="9866"/>
      </w:tblGrid>
      <w:tr>
        <w:trPr>
          <w:cantSplit/>
        </w:trPr>
        <w:tc>
          <w:tcPr>
            <w:tcW w:type="dxa" w:w="9866"/>
            <w:shd w:fill="F7F9FA"/>
            <w:tcBorders>
              <w:top w:val="single" w:sz="10" w:color="265F78"/>
              <w:left w:val="single" w:sz="10" w:color="265F78"/>
              <w:bottom w:val="single" w:sz="10" w:color="265F78"/>
              <w:right w:val="single" w:sz="10" w:color="265F78"/>
            </w:tcBorders>
          </w:tcPr>
          <w:p>
            <w:pPr>
              <w:spacing w:after="40"/>
            </w:pPr>
            <w:r>
              <w:rPr>
                <w:rFonts w:ascii="Inter" w:hAnsi="Inter"/>
                <w:b/>
                <w:i w:val="0"/>
                <w:color w:val="265F78"/>
                <w:sz w:val="20"/>
              </w:rPr>
              <w:t>Workstream gate</w:t>
            </w:r>
          </w:p>
          <w:p>
            <w:pPr>
              <w:spacing w:after="0"/>
            </w:pPr>
            <w:r>
              <w:rPr>
                <w:rFonts w:ascii="Inter" w:hAnsi="Inter"/>
                <w:b w:val="0"/>
                <w:i w:val="0"/>
                <w:color w:val="19232D"/>
                <w:sz w:val="18"/>
              </w:rPr>
              <w:t>Each adoption has a trigger, bounded proof, owned-contract boundary, and written exit path.</w:t>
            </w:r>
          </w:p>
        </w:tc>
      </w:tr>
    </w:tbl>
    <w:p>
      <w:pPr>
        <w:spacing w:after="0"/>
      </w:pPr>
    </w:p>
    <w:tbl>
      <w:tblPr>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cantSplit/>
        </w:trPr>
        <w:tc>
          <w:tcPr>
            <w:tcW w:type="dxa" w:w="1303"/>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ID</w:t>
            </w:r>
          </w:p>
        </w:tc>
        <w:tc>
          <w:tcPr>
            <w:tcW w:type="dxa" w:w="3514"/>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Work item</w:t>
            </w:r>
          </w:p>
        </w:tc>
        <w:tc>
          <w:tcPr>
            <w:tcW w:type="dxa" w:w="1020"/>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Pri/size</w:t>
            </w:r>
          </w:p>
        </w:tc>
        <w:tc>
          <w:tcPr>
            <w:tcW w:type="dxa" w:w="1927"/>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Depends</w:t>
            </w:r>
          </w:p>
        </w:tc>
        <w:tc>
          <w:tcPr>
            <w:tcW w:type="dxa" w:w="289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Primary close condition</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OPT-001</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Measure RTK as shadow projection</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P2/S</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EVD-004, ACP-005</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Adoption requires net reduction after retry cost and ACP structured updates</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OPT-002</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Evaluate ToolHive only after channel measurement</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P2/S</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POL-005</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No installation without gate</w:t>
            </w:r>
          </w:p>
        </w:tc>
      </w:tr>
      <w:tr>
        <w:trPr>
          <w:cantSplit/>
        </w:trPr>
        <w:tc>
          <w:tcPr>
            <w:tcW w:type="dxa" w:w="130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OPT-003</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Evaluate DBOS only against named ActionQ failure</w:t>
            </w:r>
          </w:p>
        </w:tc>
        <w:tc>
          <w:tcPr>
            <w:tcW w:type="dxa" w:w="102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P2/M</w:t>
            </w:r>
          </w:p>
        </w:tc>
        <w:tc>
          <w:tcPr>
            <w:tcW w:type="dxa" w:w="192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OPS-006</w:t>
            </w:r>
          </w:p>
        </w:tc>
        <w:tc>
          <w:tcPr>
            <w:tcW w:type="dxa" w:w="289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No permanent shadow scheduler</w:t>
            </w:r>
          </w:p>
        </w:tc>
      </w:tr>
      <w:tr>
        <w:trPr>
          <w:cantSplit/>
        </w:trPr>
        <w:tc>
          <w:tcPr>
            <w:tcW w:type="dxa" w:w="130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OPT-004</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Evaluate Beads only against named task-layer failure</w:t>
            </w:r>
          </w:p>
        </w:tc>
        <w:tc>
          <w:tcPr>
            <w:tcW w:type="dxa" w:w="102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P2/M</w:t>
            </w:r>
          </w:p>
        </w:tc>
        <w:tc>
          <w:tcPr>
            <w:tcW w:type="dxa" w:w="192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AUT-007</w:t>
            </w:r>
          </w:p>
        </w:tc>
        <w:tc>
          <w:tcPr>
            <w:tcW w:type="dxa" w:w="289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No transparent bidirectional sync</w:t>
            </w:r>
          </w:p>
        </w:tc>
      </w:tr>
    </w:tbl>
    <w:p>
      <w:pPr>
        <w:spacing w:after="0"/>
      </w:pPr>
    </w:p>
    <w:p>
      <w:pPr>
        <w:pStyle w:val="Heading1"/>
      </w:pPr>
      <w:r>
        <w:t>7. Validation, rollout, and rollback</w:t>
      </w:r>
    </w:p>
    <w:p>
      <w:pPr>
        <w:pStyle w:val="Heading2"/>
      </w:pPr>
      <w:r>
        <w:t>7.1 Honest outcome comparison</w:t>
      </w:r>
    </w:p>
    <w:p>
      <w:pPr>
        <w:pStyle w:val="ListBullet"/>
      </w:pPr>
      <w:r>
        <w:rPr>
          <w:rFonts w:ascii="Inter" w:hAnsi="Inter"/>
          <w:b w:val="0"/>
          <w:i w:val="0"/>
          <w:color w:val="19232D"/>
          <w:sz w:val="19"/>
        </w:rPr>
        <w:t>Compare direct human-started execution and Vuoro-managed execution only on shared outcomes: accepted results, review rejection, interventions, operator attention, provider usage, retries, and duplicate external effects.</w:t>
      </w:r>
    </w:p>
    <w:p>
      <w:pPr>
        <w:pStyle w:val="ListBullet"/>
      </w:pPr>
      <w:r>
        <w:rPr>
          <w:rFonts w:ascii="Inter" w:hAnsi="Inter"/>
          <w:b w:val="0"/>
          <w:i w:val="0"/>
          <w:color w:val="19232D"/>
          <w:sz w:val="19"/>
        </w:rPr>
        <w:t>Run repeated comparable tasks. One backlog and one operator are a smoke test, not a statistical guillotine.</w:t>
      </w:r>
    </w:p>
    <w:p>
      <w:pPr>
        <w:pStyle w:val="ListBullet"/>
      </w:pPr>
      <w:r>
        <w:rPr>
          <w:rFonts w:ascii="Inter" w:hAnsi="Inter"/>
          <w:b w:val="0"/>
          <w:i w:val="0"/>
          <w:color w:val="19232D"/>
          <w:sz w:val="19"/>
        </w:rPr>
        <w:t>Keep mechanism fault tests separate from outcome comparison.</w:t>
      </w:r>
    </w:p>
    <w:p>
      <w:pPr>
        <w:pStyle w:val="Heading2"/>
      </w:pPr>
      <w:r>
        <w:t>7.2 Rollout sequence</w:t>
      </w:r>
    </w:p>
    <w:p>
      <w:pPr>
        <w:spacing w:after="100"/>
      </w:pPr>
      <w:r>
        <w:rPr>
          <w:rFonts w:ascii="Inter" w:hAnsi="Inter"/>
          <w:b w:val="0"/>
          <w:i w:val="0"/>
          <w:color w:val="19232D"/>
          <w:sz w:val="19"/>
        </w:rPr>
        <w:t>1. Install the chart in a development namespace with policy off/observe and optional integrations disabled.</w:t>
      </w:r>
    </w:p>
    <w:p>
      <w:pPr>
        <w:spacing w:after="100"/>
      </w:pPr>
      <w:r>
        <w:rPr>
          <w:rFonts w:ascii="Inter" w:hAnsi="Inter"/>
          <w:b w:val="0"/>
          <w:i w:val="0"/>
          <w:color w:val="19232D"/>
          <w:sz w:val="19"/>
        </w:rPr>
        <w:t>2. Connect one runner profile on one host and reach an evidence-complete run.</w:t>
      </w:r>
    </w:p>
    <w:p>
      <w:pPr>
        <w:spacing w:after="100"/>
      </w:pPr>
      <w:r>
        <w:rPr>
          <w:rFonts w:ascii="Inter" w:hAnsi="Inter"/>
          <w:b w:val="0"/>
          <w:i w:val="0"/>
          <w:color w:val="19232D"/>
          <w:sz w:val="19"/>
        </w:rPr>
        <w:t>3. Cut a substantial low-consequence profile fully to ACP.</w:t>
      </w:r>
    </w:p>
    <w:p>
      <w:pPr>
        <w:spacing w:after="100"/>
      </w:pPr>
      <w:r>
        <w:rPr>
          <w:rFonts w:ascii="Inter" w:hAnsi="Inter"/>
          <w:b w:val="0"/>
          <w:i w:val="0"/>
          <w:color w:val="19232D"/>
          <w:sz w:val="19"/>
        </w:rPr>
        <w:t>4. Add the second host and global capacity pools; test partition and stale epochs.</w:t>
      </w:r>
    </w:p>
    <w:p>
      <w:pPr>
        <w:spacing w:after="100"/>
      </w:pPr>
      <w:r>
        <w:rPr>
          <w:rFonts w:ascii="Inter" w:hAnsi="Inter"/>
          <w:b w:val="0"/>
          <w:i w:val="0"/>
          <w:color w:val="19232D"/>
          <w:sz w:val="19"/>
        </w:rPr>
        <w:t>5. Commission cred-broker and baseline OpenBao credentials, then human-authorized effect grants.</w:t>
      </w:r>
    </w:p>
    <w:p>
      <w:pPr>
        <w:spacing w:after="100"/>
      </w:pPr>
      <w:r>
        <w:rPr>
          <w:rFonts w:ascii="Inter" w:hAnsi="Inter"/>
          <w:b w:val="0"/>
          <w:i w:val="0"/>
          <w:color w:val="19232D"/>
          <w:sz w:val="19"/>
        </w:rPr>
        <w:t>6. Run OPA observation over a full backlog.</w:t>
      </w:r>
    </w:p>
    <w:p>
      <w:pPr>
        <w:spacing w:after="100"/>
      </w:pPr>
      <w:r>
        <w:rPr>
          <w:rFonts w:ascii="Inter" w:hAnsi="Inter"/>
          <w:b w:val="0"/>
          <w:i w:val="0"/>
          <w:color w:val="19232D"/>
          <w:sz w:val="19"/>
        </w:rPr>
        <w:t>7. Enable one bounded work path, then enforce selected policy families.</w:t>
      </w:r>
    </w:p>
    <w:p>
      <w:pPr>
        <w:pStyle w:val="Heading2"/>
      </w:pPr>
      <w:r>
        <w:t>7.3 Rollback controls</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238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6"/>
              </w:rPr>
              <w:t>Layer</w:t>
            </w:r>
          </w:p>
        </w:tc>
        <w:tc>
          <w:tcPr>
            <w:tcW w:type="dxa" w:w="7370"/>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6"/>
              </w:rPr>
              <w:t>Rollback control</w:t>
            </w:r>
          </w:p>
        </w:tc>
      </w:tr>
      <w:tr>
        <w:trPr>
          <w:cantSplit/>
        </w:trPr>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Helm</w:t>
            </w:r>
          </w:p>
        </w:tc>
        <w:tc>
          <w:tcPr>
            <w:tcW w:type="dxa" w:w="737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Digest-pinned images, explicit migration Job, feature flags, Helm rollback.</w:t>
            </w:r>
          </w:p>
        </w:tc>
      </w:tr>
      <w:tr>
        <w:trPr>
          <w:cantSplit/>
        </w:trPr>
        <w:tc>
          <w:tcPr>
            <w:tcW w:type="dxa" w:w="238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Database</w:t>
            </w:r>
          </w:p>
        </w:tc>
        <w:tc>
          <w:tcPr>
            <w:tcW w:type="dxa" w:w="737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Expand/contract migrations; no app-start DDL; no rollback by deleting canonical events.</w:t>
            </w:r>
          </w:p>
        </w:tc>
      </w:tr>
      <w:tr>
        <w:trPr>
          <w:cantSplit/>
        </w:trPr>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Runner</w:t>
            </w:r>
          </w:p>
        </w:tc>
        <w:tc>
          <w:tcPr>
            <w:tcW w:type="dxa" w:w="737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Independent N-1 rollback; incompatible runner drains or rejects new work.</w:t>
            </w:r>
          </w:p>
        </w:tc>
      </w:tr>
      <w:tr>
        <w:trPr>
          <w:cantSplit/>
        </w:trPr>
        <w:tc>
          <w:tcPr>
            <w:tcW w:type="dxa" w:w="238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ACP</w:t>
            </w:r>
          </w:p>
        </w:tc>
        <w:tc>
          <w:tcPr>
            <w:tcW w:type="dxa" w:w="737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Adapter rollback behind Runner/v1; no automatic legacy PTY fallback.</w:t>
            </w:r>
          </w:p>
        </w:tc>
      </w:tr>
      <w:tr>
        <w:trPr>
          <w:cantSplit/>
        </w:trPr>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cred-broker/OpenBao</w:t>
            </w:r>
          </w:p>
        </w:tc>
        <w:tc>
          <w:tcPr>
            <w:tcW w:type="dxa" w:w="737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Disable new issuance per class, revoke leases, retain logical catalog and grant state.</w:t>
            </w:r>
          </w:p>
        </w:tc>
      </w:tr>
      <w:tr>
        <w:trPr>
          <w:cantSplit/>
        </w:trPr>
        <w:tc>
          <w:tcPr>
            <w:tcW w:type="dxa" w:w="238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OPA</w:t>
            </w:r>
          </w:p>
        </w:tc>
        <w:tc>
          <w:tcPr>
            <w:tcW w:type="dxa" w:w="7370"/>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Observe mode tolerates recorded evaluation failure; enforced families have rollback flags.</w:t>
            </w:r>
          </w:p>
        </w:tc>
      </w:tr>
      <w:tr>
        <w:trPr>
          <w:cantSplit/>
        </w:trPr>
        <w:tc>
          <w:tcPr>
            <w:tcW w:type="dxa" w:w="238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Autonomy</w:t>
            </w:r>
          </w:p>
        </w:tc>
        <w:tc>
          <w:tcPr>
            <w:tcW w:type="dxa" w:w="7370"/>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Disable new child creation while current runs settle or reconcile.</w:t>
            </w:r>
          </w:p>
        </w:tc>
      </w:tr>
    </w:tbl>
    <w:p>
      <w:pPr>
        <w:spacing w:after="0"/>
      </w:pPr>
    </w:p>
    <w:p>
      <w:pPr>
        <w:pStyle w:val="Heading2"/>
      </w:pPr>
      <w:r>
        <w:t>7.4 Feature flags</w:t>
      </w:r>
    </w:p>
    <w:tbl>
      <w:tblPr>
        <w:tblW w:type="auto" w:w="0"/>
        <w:jc w:val="center"/>
        <w:tblLook w:firstColumn="1" w:firstRow="1" w:lastColumn="0" w:lastRow="0" w:noHBand="0" w:noVBand="1" w:val="04A0"/>
      </w:tblPr>
      <w:tblGrid>
        <w:gridCol w:w="9866"/>
      </w:tblGrid>
      <w:tr>
        <w:trPr>
          <w:cantSplit/>
        </w:trPr>
        <w:tc>
          <w:tcPr>
            <w:tcW w:type="dxa" w:w="9866"/>
            <w:shd w:fill="F1F4F6"/>
            <w:tcBorders>
              <w:top w:val="single" w:sz="4" w:color="CDD6DC"/>
              <w:left w:val="single" w:sz="4" w:color="CDD6DC"/>
              <w:bottom w:val="single" w:sz="4" w:color="CDD6DC"/>
              <w:right w:val="single" w:sz="4" w:color="CDD6DC"/>
            </w:tcBorders>
          </w:tcPr>
          <w:p>
            <w:pPr>
              <w:spacing w:after="0"/>
            </w:pPr>
            <w:r>
              <w:rPr>
                <w:rFonts w:ascii="DejaVu Sans Mono" w:hAnsi="DejaVu Sans Mono"/>
                <w:b w:val="0"/>
                <w:i w:val="0"/>
                <w:color w:val="19232D"/>
                <w:sz w:val="16"/>
              </w:rPr>
              <w:t>features:</w:t>
            </w:r>
            <w:r>
              <w:br/>
            </w:r>
            <w:r>
              <w:rPr>
                <w:rFonts w:ascii="DejaVu Sans Mono" w:hAnsi="DejaVu Sans Mono"/>
                <w:b w:val="0"/>
                <w:i w:val="0"/>
                <w:color w:val="19232D"/>
                <w:sz w:val="16"/>
              </w:rPr>
              <w:t xml:space="preserve">  multiHostPlacement: false</w:t>
            </w:r>
            <w:r>
              <w:br/>
            </w:r>
            <w:r>
              <w:rPr>
                <w:rFonts w:ascii="DejaVu Sans Mono" w:hAnsi="DejaVu Sans Mono"/>
                <w:b w:val="0"/>
                <w:i w:val="0"/>
                <w:color w:val="19232D"/>
                <w:sz w:val="16"/>
              </w:rPr>
              <w:t xml:space="preserve">  acpRunner: false</w:t>
            </w:r>
            <w:r>
              <w:br/>
            </w:r>
            <w:r>
              <w:rPr>
                <w:rFonts w:ascii="DejaVu Sans Mono" w:hAnsi="DejaVu Sans Mono"/>
                <w:b w:val="0"/>
                <w:i w:val="0"/>
                <w:color w:val="19232D"/>
                <w:sz w:val="16"/>
              </w:rPr>
              <w:t xml:space="preserve">  legacyPtyProfile: explicit-only</w:t>
            </w:r>
            <w:r>
              <w:br/>
            </w:r>
            <w:r>
              <w:rPr>
                <w:rFonts w:ascii="DejaVu Sans Mono" w:hAnsi="DejaVu Sans Mono"/>
                <w:b w:val="0"/>
                <w:i w:val="0"/>
                <w:color w:val="19232D"/>
                <w:sz w:val="16"/>
              </w:rPr>
              <w:t xml:space="preserve">  credentialTickets: false</w:t>
            </w:r>
            <w:r>
              <w:br/>
            </w:r>
            <w:r>
              <w:rPr>
                <w:rFonts w:ascii="DejaVu Sans Mono" w:hAnsi="DejaVu Sans Mono"/>
                <w:b w:val="0"/>
                <w:i w:val="0"/>
                <w:color w:val="19232D"/>
                <w:sz w:val="16"/>
              </w:rPr>
              <w:t xml:space="preserve">  credBrokerMode: existing-endpoint | in-release</w:t>
            </w:r>
            <w:r>
              <w:br/>
            </w:r>
            <w:r>
              <w:rPr>
                <w:rFonts w:ascii="DejaVu Sans Mono" w:hAnsi="DejaVu Sans Mono"/>
                <w:b w:val="0"/>
                <w:i w:val="0"/>
                <w:color w:val="19232D"/>
                <w:sz w:val="16"/>
              </w:rPr>
              <w:t xml:space="preserve">  effectGrantEnforcement: false</w:t>
            </w:r>
            <w:r>
              <w:br/>
            </w:r>
            <w:r>
              <w:rPr>
                <w:rFonts w:ascii="DejaVu Sans Mono" w:hAnsi="DejaVu Sans Mono"/>
                <w:b w:val="0"/>
                <w:i w:val="0"/>
                <w:color w:val="19232D"/>
                <w:sz w:val="16"/>
              </w:rPr>
              <w:t xml:space="preserve">  opaMode: off | observe | enforce</w:t>
            </w:r>
            <w:r>
              <w:br/>
            </w:r>
            <w:r>
              <w:rPr>
                <w:rFonts w:ascii="DejaVu Sans Mono" w:hAnsi="DejaVu Sans Mono"/>
                <w:b w:val="0"/>
                <w:i w:val="0"/>
                <w:color w:val="19232D"/>
                <w:sz w:val="16"/>
              </w:rPr>
              <w:t xml:space="preserve">  autonomousWorkPaths: false</w:t>
            </w:r>
            <w:r>
              <w:br/>
            </w:r>
            <w:r>
              <w:rPr>
                <w:rFonts w:ascii="DejaVu Sans Mono" w:hAnsi="DejaVu Sans Mono"/>
                <w:b w:val="0"/>
                <w:i w:val="0"/>
                <w:color w:val="19232D"/>
                <w:sz w:val="16"/>
              </w:rPr>
              <w:t xml:space="preserve">  rtkShadowProjection: false</w:t>
            </w:r>
            <w:r>
              <w:br/>
            </w:r>
            <w:r>
              <w:rPr>
                <w:rFonts w:ascii="DejaVu Sans Mono" w:hAnsi="DejaVu Sans Mono"/>
                <w:b w:val="0"/>
                <w:i w:val="0"/>
                <w:color w:val="19232D"/>
                <w:sz w:val="16"/>
              </w:rPr>
              <w:t xml:space="preserve">  toolHive: false</w:t>
            </w:r>
            <w:r>
              <w:br/>
            </w:r>
            <w:r>
              <w:rPr>
                <w:rFonts w:ascii="DejaVu Sans Mono" w:hAnsi="DejaVu Sans Mono"/>
                <w:b w:val="0"/>
                <w:i w:val="0"/>
                <w:color w:val="19232D"/>
                <w:sz w:val="16"/>
              </w:rPr>
              <w:t xml:space="preserve">  dbosProfile: none</w:t>
            </w:r>
          </w:p>
        </w:tc>
      </w:tr>
    </w:tbl>
    <w:p>
      <w:pPr>
        <w:spacing w:after="0"/>
      </w:pPr>
    </w:p>
    <w:p>
      <w:pPr>
        <w:pStyle w:val="Heading1"/>
      </w:pPr>
      <w:r>
        <w:t>8. Risk and dependency exits</w:t>
      </w:r>
    </w:p>
    <w:p>
      <w:pPr>
        <w:pStyle w:val="Heading2"/>
      </w:pPr>
      <w:r>
        <w:t>8.1 Risk register</w:t>
      </w:r>
    </w:p>
    <w:tbl>
      <w:tblPr>
        <w:tblW w:type="auto" w:w="0"/>
        <w:jc w:val="center"/>
        <w:tblLayout w:type="fixed"/>
        <w:tblLook w:firstColumn="1" w:firstRow="1" w:lastColumn="0" w:lastRow="0" w:noHBand="0" w:noVBand="1" w:val="04A0"/>
      </w:tblPr>
      <w:tblGrid>
        <w:gridCol w:w="3289"/>
        <w:gridCol w:w="3289"/>
        <w:gridCol w:w="3289"/>
      </w:tblGrid>
      <w:tr>
        <w:trPr>
          <w:tblHeader w:val="true"/>
          <w:cantSplit/>
        </w:trPr>
        <w:tc>
          <w:tcPr>
            <w:tcW w:type="dxa" w:w="3288"/>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Risk</w:t>
            </w:r>
          </w:p>
        </w:tc>
        <w:tc>
          <w:tcPr>
            <w:tcW w:type="dxa" w:w="1247"/>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Severity</w:t>
            </w:r>
          </w:p>
        </w:tc>
        <w:tc>
          <w:tcPr>
            <w:tcW w:type="dxa" w:w="5555"/>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5"/>
              </w:rPr>
              <w:t>Primary mitigation</w:t>
            </w:r>
          </w:p>
        </w:tc>
      </w:tr>
      <w:tr>
        <w:trPr>
          <w:cantSplit/>
        </w:trPr>
        <w:tc>
          <w:tcPr>
            <w:tcW w:type="dxa" w:w="328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Duplicate external effect after partition</w:t>
            </w:r>
          </w:p>
        </w:tc>
        <w:tc>
          <w:tcPr>
            <w:tcW w:type="dxa" w:w="124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Critical</w:t>
            </w:r>
          </w:p>
        </w:tc>
        <w:tc>
          <w:tcPr>
            <w:tcW w:type="dxa" w:w="5555"/>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Payload-bound grants, prepare/commit verification, uncertain state, no automatic replay.</w:t>
            </w:r>
          </w:p>
        </w:tc>
      </w:tr>
      <w:tr>
        <w:trPr>
          <w:cantSplit/>
        </w:trPr>
        <w:tc>
          <w:tcPr>
            <w:tcW w:type="dxa" w:w="328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Credential leakage through evidence</w:t>
            </w:r>
          </w:p>
        </w:tc>
        <w:tc>
          <w:tcPr>
            <w:tcW w:type="dxa" w:w="124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Critical</w:t>
            </w:r>
          </w:p>
        </w:tc>
        <w:tc>
          <w:tcPr>
            <w:tcW w:type="dxa" w:w="5555"/>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Short leases, process-scoped injection, in-memory exact redaction, sensitive capture, disclosure tests.</w:t>
            </w:r>
          </w:p>
        </w:tc>
      </w:tr>
      <w:tr>
        <w:trPr>
          <w:cantSplit/>
        </w:trPr>
        <w:tc>
          <w:tcPr>
            <w:tcW w:type="dxa" w:w="328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cred-broker and Vuoro duplicate authority</w:t>
            </w:r>
          </w:p>
        </w:tc>
        <w:tc>
          <w:tcPr>
            <w:tcW w:type="dxa" w:w="124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High</w:t>
            </w:r>
          </w:p>
        </w:tc>
        <w:tc>
          <w:tcPr>
            <w:tcW w:type="dxa" w:w="5555"/>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Broker validates signed tickets and provider constraints; Vuoro owns work, grant, and policy authority.</w:t>
            </w:r>
          </w:p>
        </w:tc>
      </w:tr>
      <w:tr>
        <w:trPr>
          <w:cantSplit/>
        </w:trPr>
        <w:tc>
          <w:tcPr>
            <w:tcW w:type="dxa" w:w="328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OpenBao path coupling</w:t>
            </w:r>
          </w:p>
        </w:tc>
        <w:tc>
          <w:tcPr>
            <w:tcW w:type="dxa" w:w="124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High</w:t>
            </w:r>
          </w:p>
        </w:tc>
        <w:tc>
          <w:tcPr>
            <w:tcW w:type="dxa" w:w="5555"/>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Logical CredentialCatalog/v1; mapping stays inside cred-broker; exit note required.</w:t>
            </w:r>
          </w:p>
        </w:tc>
      </w:tr>
      <w:tr>
        <w:trPr>
          <w:cantSplit/>
        </w:trPr>
        <w:tc>
          <w:tcPr>
            <w:tcW w:type="dxa" w:w="328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ACP adapter churn</w:t>
            </w:r>
          </w:p>
        </w:tc>
        <w:tc>
          <w:tcPr>
            <w:tcW w:type="dxa" w:w="124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High</w:t>
            </w:r>
          </w:p>
        </w:tc>
        <w:tc>
          <w:tcPr>
            <w:tcW w:type="dxa" w:w="5555"/>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Pin versions, persist capabilities, internal Runner/v1, explicit failures.</w:t>
            </w:r>
          </w:p>
        </w:tc>
      </w:tr>
      <w:tr>
        <w:trPr>
          <w:cantSplit/>
        </w:trPr>
        <w:tc>
          <w:tcPr>
            <w:tcW w:type="dxa" w:w="328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Policy input omits decisive context</w:t>
            </w:r>
          </w:p>
        </w:tc>
        <w:tc>
          <w:tcPr>
            <w:tcW w:type="dxa" w:w="124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High</w:t>
            </w:r>
          </w:p>
        </w:tc>
        <w:tc>
          <w:tcPr>
            <w:tcW w:type="dxa" w:w="5555"/>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Treat input schema as core; observe full backlog; test every deny/grant branch.</w:t>
            </w:r>
          </w:p>
        </w:tc>
      </w:tr>
      <w:tr>
        <w:trPr>
          <w:cantSplit/>
        </w:trPr>
        <w:tc>
          <w:tcPr>
            <w:tcW w:type="dxa" w:w="328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Local spool exhaustion</w:t>
            </w:r>
          </w:p>
        </w:tc>
        <w:tc>
          <w:tcPr>
            <w:tcW w:type="dxa" w:w="124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High</w:t>
            </w:r>
          </w:p>
        </w:tc>
        <w:tc>
          <w:tcPr>
            <w:tcW w:type="dxa" w:w="5555"/>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Quotas, backpressure, alerts, bounded continuation, no silent deletion.</w:t>
            </w:r>
          </w:p>
        </w:tc>
      </w:tr>
      <w:tr>
        <w:trPr>
          <w:cantSplit/>
        </w:trPr>
        <w:tc>
          <w:tcPr>
            <w:tcW w:type="dxa" w:w="328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Subscription capacity misdiagnosed</w:t>
            </w:r>
          </w:p>
        </w:tc>
        <w:tc>
          <w:tcPr>
            <w:tcW w:type="dxa" w:w="124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Medium</w:t>
            </w:r>
          </w:p>
        </w:tc>
        <w:tc>
          <w:tcPr>
            <w:tcW w:type="dxa" w:w="5555"/>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Global capacity pools and blocked_capacity state.</w:t>
            </w:r>
          </w:p>
        </w:tc>
      </w:tr>
      <w:tr>
        <w:trPr>
          <w:cantSplit/>
        </w:trPr>
        <w:tc>
          <w:tcPr>
            <w:tcW w:type="dxa" w:w="328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Upgrade strands old runners/broker</w:t>
            </w:r>
          </w:p>
        </w:tc>
        <w:tc>
          <w:tcPr>
            <w:tcW w:type="dxa" w:w="124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High</w:t>
            </w:r>
          </w:p>
        </w:tc>
        <w:tc>
          <w:tcPr>
            <w:tcW w:type="dxa" w:w="5555"/>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5"/>
              </w:rPr>
              <w:t>N-1 matrix, report card, drain/reject, additive schemas.</w:t>
            </w:r>
          </w:p>
        </w:tc>
      </w:tr>
      <w:tr>
        <w:trPr>
          <w:cantSplit/>
        </w:trPr>
        <w:tc>
          <w:tcPr>
            <w:tcW w:type="dxa" w:w="328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Optional integration sprawl</w:t>
            </w:r>
          </w:p>
        </w:tc>
        <w:tc>
          <w:tcPr>
            <w:tcW w:type="dxa" w:w="124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Medium</w:t>
            </w:r>
          </w:p>
        </w:tc>
        <w:tc>
          <w:tcPr>
            <w:tcW w:type="dxa" w:w="5555"/>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5"/>
              </w:rPr>
              <w:t>Named-failure gates, one-at-a-time pilots, exit note before adoption.</w:t>
            </w:r>
          </w:p>
        </w:tc>
      </w:tr>
    </w:tbl>
    <w:p>
      <w:pPr>
        <w:spacing w:after="0"/>
      </w:pPr>
    </w:p>
    <w:p>
      <w:pPr>
        <w:pStyle w:val="Heading2"/>
      </w:pPr>
      <w:r>
        <w:t>8.2 Dependency exit records</w:t>
      </w:r>
    </w:p>
    <w:p>
      <w:pPr>
        <w:pStyle w:val="Heading3"/>
      </w:pPr>
      <w:r>
        <w:t>ACP</w:t>
      </w:r>
    </w:p>
    <w:p>
      <w:pPr>
        <w:spacing w:after="100"/>
      </w:pPr>
      <w:r>
        <w:rPr>
          <w:rFonts w:ascii="Inter" w:hAnsi="Inter"/>
          <w:b/>
          <w:i w:val="0"/>
          <w:color w:val="19232D"/>
          <w:sz w:val="19"/>
        </w:rPr>
        <w:t>Value:</w:t>
      </w:r>
      <w:r>
        <w:rPr>
          <w:rFonts w:ascii="Inter" w:hAnsi="Inter"/>
          <w:b w:val="0"/>
          <w:i w:val="0"/>
          <w:color w:val="19232D"/>
          <w:sz w:val="19"/>
        </w:rPr>
        <w:t xml:space="preserve"> Standardized local harness session control and structured updates.</w:t>
      </w:r>
    </w:p>
    <w:p>
      <w:pPr>
        <w:spacing w:after="100"/>
      </w:pPr>
      <w:r>
        <w:rPr>
          <w:rFonts w:ascii="Inter" w:hAnsi="Inter"/>
          <w:b/>
          <w:i w:val="0"/>
          <w:color w:val="19232D"/>
          <w:sz w:val="19"/>
        </w:rPr>
        <w:t>Vuoro-owned contracts:</w:t>
      </w:r>
      <w:r>
        <w:rPr>
          <w:rFonts w:ascii="Inter" w:hAnsi="Inter"/>
          <w:b w:val="0"/>
          <w:i w:val="0"/>
          <w:color w:val="19232D"/>
          <w:sz w:val="19"/>
        </w:rPr>
        <w:t xml:space="preserve"> Runner/v1, HarnessCapabilities/v1, NormalizedSessionEvent/v1</w:t>
      </w:r>
    </w:p>
    <w:p>
      <w:pPr>
        <w:spacing w:after="100"/>
      </w:pPr>
      <w:r>
        <w:rPr>
          <w:rFonts w:ascii="Inter" w:hAnsi="Inter"/>
          <w:b/>
          <w:i w:val="0"/>
          <w:color w:val="19232D"/>
          <w:sz w:val="19"/>
        </w:rPr>
        <w:t>Exit path:</w:t>
      </w:r>
      <w:r>
        <w:rPr>
          <w:rFonts w:ascii="Inter" w:hAnsi="Inter"/>
          <w:b w:val="0"/>
          <w:i w:val="0"/>
          <w:color w:val="19232D"/>
          <w:sz w:val="19"/>
        </w:rPr>
        <w:t xml:space="preserve"> Replace the adapter behind Runner/v1. Canonical run, session, event, evidence, credential, and grant state remains Vuoro-native.</w:t>
      </w:r>
    </w:p>
    <w:p>
      <w:pPr>
        <w:pStyle w:val="Heading3"/>
      </w:pPr>
      <w:r>
        <w:t>OPA</w:t>
      </w:r>
    </w:p>
    <w:p>
      <w:pPr>
        <w:spacing w:after="100"/>
      </w:pPr>
      <w:r>
        <w:rPr>
          <w:rFonts w:ascii="Inter" w:hAnsi="Inter"/>
          <w:b/>
          <w:i w:val="0"/>
          <w:color w:val="19232D"/>
          <w:sz w:val="19"/>
        </w:rPr>
        <w:t>Value:</w:t>
      </w:r>
      <w:r>
        <w:rPr>
          <w:rFonts w:ascii="Inter" w:hAnsi="Inter"/>
          <w:b w:val="0"/>
          <w:i w:val="0"/>
          <w:color w:val="19232D"/>
          <w:sz w:val="19"/>
        </w:rPr>
        <w:t xml:space="preserve"> Policy evaluation, tests, decision IDs, bundles, and decision logging.</w:t>
      </w:r>
    </w:p>
    <w:p>
      <w:pPr>
        <w:spacing w:after="100"/>
      </w:pPr>
      <w:r>
        <w:rPr>
          <w:rFonts w:ascii="Inter" w:hAnsi="Inter"/>
          <w:b/>
          <w:i w:val="0"/>
          <w:color w:val="19232D"/>
          <w:sz w:val="19"/>
        </w:rPr>
        <w:t>Vuoro-owned contracts:</w:t>
      </w:r>
      <w:r>
        <w:rPr>
          <w:rFonts w:ascii="Inter" w:hAnsi="Inter"/>
          <w:b w:val="0"/>
          <w:i w:val="0"/>
          <w:color w:val="19232D"/>
          <w:sz w:val="19"/>
        </w:rPr>
        <w:t xml:space="preserve"> PolicyInput/v1, PolicyDecision/v1</w:t>
      </w:r>
    </w:p>
    <w:p>
      <w:pPr>
        <w:spacing w:after="100"/>
      </w:pPr>
      <w:r>
        <w:rPr>
          <w:rFonts w:ascii="Inter" w:hAnsi="Inter"/>
          <w:b/>
          <w:i w:val="0"/>
          <w:color w:val="19232D"/>
          <w:sz w:val="19"/>
        </w:rPr>
        <w:t>Exit path:</w:t>
      </w:r>
      <w:r>
        <w:rPr>
          <w:rFonts w:ascii="Inter" w:hAnsi="Inter"/>
          <w:b w:val="0"/>
          <w:i w:val="0"/>
          <w:color w:val="19232D"/>
          <w:sz w:val="19"/>
        </w:rPr>
        <w:t xml:space="preserve"> Swap the decision adapter while retaining Vuoro schemas and persisted decisions. Rego is the bounded migration surface.</w:t>
      </w:r>
    </w:p>
    <w:p>
      <w:pPr>
        <w:pStyle w:val="Heading3"/>
      </w:pPr>
      <w:r>
        <w:t>OpenBao</w:t>
      </w:r>
    </w:p>
    <w:p>
      <w:pPr>
        <w:spacing w:after="100"/>
      </w:pPr>
      <w:r>
        <w:rPr>
          <w:rFonts w:ascii="Inter" w:hAnsi="Inter"/>
          <w:b/>
          <w:i w:val="0"/>
          <w:color w:val="19232D"/>
          <w:sz w:val="19"/>
        </w:rPr>
        <w:t>Value:</w:t>
      </w:r>
      <w:r>
        <w:rPr>
          <w:rFonts w:ascii="Inter" w:hAnsi="Inter"/>
          <w:b w:val="0"/>
          <w:i w:val="0"/>
          <w:color w:val="19232D"/>
          <w:sz w:val="19"/>
        </w:rPr>
        <w:t xml:space="preserve"> Secret storage, issuance, lease, renewal, rotation, revocation, and wrapping.</w:t>
      </w:r>
    </w:p>
    <w:p>
      <w:pPr>
        <w:spacing w:after="100"/>
      </w:pPr>
      <w:r>
        <w:rPr>
          <w:rFonts w:ascii="Inter" w:hAnsi="Inter"/>
          <w:b/>
          <w:i w:val="0"/>
          <w:color w:val="19232D"/>
          <w:sz w:val="19"/>
        </w:rPr>
        <w:t>Vuoro-owned contracts:</w:t>
      </w:r>
      <w:r>
        <w:rPr>
          <w:rFonts w:ascii="Inter" w:hAnsi="Inter"/>
          <w:b w:val="0"/>
          <w:i w:val="0"/>
          <w:color w:val="19232D"/>
          <w:sz w:val="19"/>
        </w:rPr>
        <w:t xml:space="preserve"> CredentialCatalog/v1, CredentialTicket/v1, CredentialLeaseRef/v1, Grant/v1, EffectDescriptor/v1</w:t>
      </w:r>
    </w:p>
    <w:p>
      <w:pPr>
        <w:spacing w:after="100"/>
      </w:pPr>
      <w:r>
        <w:rPr>
          <w:rFonts w:ascii="Inter" w:hAnsi="Inter"/>
          <w:b/>
          <w:i w:val="0"/>
          <w:color w:val="19232D"/>
          <w:sz w:val="19"/>
        </w:rPr>
        <w:t>Exit path:</w:t>
      </w:r>
      <w:r>
        <w:rPr>
          <w:rFonts w:ascii="Inter" w:hAnsi="Inter"/>
          <w:b w:val="0"/>
          <w:i w:val="0"/>
          <w:color w:val="19232D"/>
          <w:sz w:val="19"/>
        </w:rPr>
        <w:t xml:space="preserve"> Implement another provider behind cred-broker and remap logical credentials. Secret values are not migration data; Vuoro keeps metadata and audit linkage.</w:t>
      </w:r>
    </w:p>
    <w:p>
      <w:pPr>
        <w:pStyle w:val="Heading3"/>
      </w:pPr>
      <w:r>
        <w:t>cred-broker (first-party existing component)</w:t>
      </w:r>
    </w:p>
    <w:p>
      <w:pPr>
        <w:spacing w:after="100"/>
      </w:pPr>
      <w:r>
        <w:rPr>
          <w:rFonts w:ascii="Inter" w:hAnsi="Inter"/>
          <w:b/>
          <w:i w:val="0"/>
          <w:color w:val="19232D"/>
          <w:sz w:val="19"/>
        </w:rPr>
        <w:t>Value:</w:t>
      </w:r>
      <w:r>
        <w:rPr>
          <w:rFonts w:ascii="Inter" w:hAnsi="Inter"/>
          <w:b w:val="0"/>
          <w:i w:val="0"/>
          <w:color w:val="19232D"/>
          <w:sz w:val="19"/>
        </w:rPr>
        <w:t xml:space="preserve"> Stable actor-facing credential delivery and OpenBao provider translation.</w:t>
      </w:r>
    </w:p>
    <w:p>
      <w:pPr>
        <w:spacing w:after="100"/>
      </w:pPr>
      <w:r>
        <w:rPr>
          <w:rFonts w:ascii="Inter" w:hAnsi="Inter"/>
          <w:b/>
          <w:i w:val="0"/>
          <w:color w:val="19232D"/>
          <w:sz w:val="19"/>
        </w:rPr>
        <w:t>Vuoro-owned contracts:</w:t>
      </w:r>
      <w:r>
        <w:rPr>
          <w:rFonts w:ascii="Inter" w:hAnsi="Inter"/>
          <w:b w:val="0"/>
          <w:i w:val="0"/>
          <w:color w:val="19232D"/>
          <w:sz w:val="19"/>
        </w:rPr>
        <w:t xml:space="preserve"> CredentialTicket/v1, CredentialLeaseRef/v1, CredentialCatalog/v1</w:t>
      </w:r>
    </w:p>
    <w:p>
      <w:pPr>
        <w:spacing w:after="100"/>
      </w:pPr>
      <w:r>
        <w:rPr>
          <w:rFonts w:ascii="Inter" w:hAnsi="Inter"/>
          <w:b/>
          <w:i w:val="0"/>
          <w:color w:val="19232D"/>
          <w:sz w:val="19"/>
        </w:rPr>
        <w:t>Exit path:</w:t>
      </w:r>
      <w:r>
        <w:rPr>
          <w:rFonts w:ascii="Inter" w:hAnsi="Inter"/>
          <w:b w:val="0"/>
          <w:i w:val="0"/>
          <w:color w:val="19232D"/>
          <w:sz w:val="19"/>
        </w:rPr>
        <w:t xml:space="preserve"> Move provider mapping/delivery behind another service that accepts the same tickets. Do not reimplement grant or policy authority inside the replacement.</w:t>
      </w:r>
    </w:p>
    <w:p>
      <w:pPr>
        <w:pStyle w:val="Heading2"/>
      </w:pPr>
      <w:r>
        <w:t>8.3 Optional adoption gates</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1814"/>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6"/>
              </w:rPr>
              <w:t>Candidate</w:t>
            </w:r>
          </w:p>
        </w:tc>
        <w:tc>
          <w:tcPr>
            <w:tcW w:type="dxa" w:w="7937"/>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6"/>
              </w:rPr>
              <w:t>Gate</w:t>
            </w:r>
          </w:p>
        </w:tc>
      </w:tr>
      <w:tr>
        <w:trPr>
          <w:cantSplit/>
        </w:trPr>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RTK</w:t>
            </w:r>
          </w:p>
        </w:tc>
        <w:tc>
          <w:tcPr>
            <w:tcW w:type="dxa" w:w="793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Shadow measurement after ACP; adopt only if savings exceed retries and omitted diagnostics.</w:t>
            </w:r>
          </w:p>
        </w:tc>
      </w:tr>
      <w:tr>
        <w:trPr>
          <w:cantSplit/>
        </w:trPr>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ToolHive</w:t>
            </w:r>
          </w:p>
        </w:tc>
        <w:tc>
          <w:tcPr>
            <w:tcW w:type="dxa" w:w="793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Only after policy data shows MCP is a substantial consequential channel and one lifecycle owner is chosen.</w:t>
            </w:r>
          </w:p>
        </w:tc>
      </w:tr>
      <w:tr>
        <w:trPr>
          <w:cantSplit/>
        </w:trPr>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DBOS</w:t>
            </w:r>
          </w:p>
        </w:tc>
        <w:tc>
          <w:tcPr>
            <w:tcW w:type="dxa" w:w="793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Only against a named ActionQ durability failure; one full profile cutover, never permanent shadow scheduling.</w:t>
            </w:r>
          </w:p>
        </w:tc>
      </w:tr>
      <w:tr>
        <w:trPr>
          <w:cantSplit/>
        </w:trPr>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Beads</w:t>
            </w:r>
          </w:p>
        </w:tc>
        <w:tc>
          <w:tcPr>
            <w:tcW w:type="dxa" w:w="793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Only against a named local-task failure; explicit authority, one-way versioned adapter, fail-closed majors.</w:t>
            </w:r>
          </w:p>
        </w:tc>
      </w:tr>
    </w:tbl>
    <w:p>
      <w:pPr>
        <w:spacing w:after="0"/>
      </w:pPr>
    </w:p>
    <w:p>
      <w:pPr>
        <w:sectPr>
          <w:headerReference w:type="default" r:id="rId9"/>
          <w:footerReference w:type="default" r:id="rId10"/>
          <w:headerReference w:type="first" r:id="rId11"/>
          <w:footerReference w:type="first" r:id="rId12"/>
          <w:pgSz w:w="11906" w:h="16838"/>
          <w:pgMar w:top="964" w:right="1020" w:bottom="907" w:left="1020" w:header="397" w:footer="397" w:gutter="0"/>
          <w:cols w:space="720"/>
          <w:titlePg/>
          <w:docGrid w:linePitch="360"/>
        </w:sectPr>
      </w:pPr>
    </w:p>
    <w:p>
      <w:pPr>
        <w:pStyle w:val="Heading1"/>
      </w:pPr>
      <w:r>
        <w:t>Appendix A. Detailed backlog</w:t>
      </w:r>
    </w:p>
    <w:p>
      <w:pPr>
        <w:spacing w:after="100"/>
      </w:pPr>
      <w:r>
        <w:rPr>
          <w:rFonts w:ascii="Inter" w:hAnsi="Inter"/>
          <w:b w:val="0"/>
          <w:i w:val="0"/>
          <w:color w:val="19232D"/>
          <w:sz w:val="19"/>
        </w:rPr>
        <w:t>The YAML companion contains the same items in a neutral structured format for Sprintctl adaptation. Acceptance criteria are closure conditions, not descriptive suggestions.</w:t>
      </w:r>
    </w:p>
    <w:tbl>
      <w:tblPr>
        <w:tblW w:type="auto" w:w="0"/>
        <w:jc w:val="center"/>
        <w:tblLayout w:type="fixed"/>
        <w:tblLook w:firstColumn="1" w:firstRow="1" w:lastColumn="0" w:lastRow="0" w:noHBand="0" w:noVBand="1" w:val="04A0"/>
      </w:tblPr>
      <w:tblGrid>
        <w:gridCol w:w="2195"/>
        <w:gridCol w:w="2195"/>
        <w:gridCol w:w="2195"/>
        <w:gridCol w:w="2195"/>
        <w:gridCol w:w="2195"/>
        <w:gridCol w:w="2195"/>
        <w:gridCol w:w="2195"/>
      </w:tblGrid>
      <w:tr>
        <w:trPr>
          <w:tblHeader w:val="true"/>
          <w:cantSplit/>
        </w:trPr>
        <w:tc>
          <w:tcPr>
            <w:tcW w:type="dxa" w:w="1077"/>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2"/>
              </w:rPr>
              <w:t>ID</w:t>
            </w:r>
          </w:p>
        </w:tc>
        <w:tc>
          <w:tcPr>
            <w:tcW w:type="dxa" w:w="1984"/>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2"/>
              </w:rPr>
              <w:t>Workstream</w:t>
            </w:r>
          </w:p>
        </w:tc>
        <w:tc>
          <w:tcPr>
            <w:tcW w:type="dxa" w:w="306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2"/>
              </w:rPr>
              <w:t>Work item</w:t>
            </w:r>
          </w:p>
        </w:tc>
        <w:tc>
          <w:tcPr>
            <w:tcW w:type="dxa" w:w="963"/>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2"/>
              </w:rPr>
              <w:t>Pri/size</w:t>
            </w:r>
          </w:p>
        </w:tc>
        <w:tc>
          <w:tcPr>
            <w:tcW w:type="dxa" w:w="1814"/>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2"/>
              </w:rPr>
              <w:t>Depends</w:t>
            </w:r>
          </w:p>
        </w:tc>
        <w:tc>
          <w:tcPr>
            <w:tcW w:type="dxa" w:w="3514"/>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2"/>
              </w:rPr>
              <w:t>Outputs</w:t>
            </w:r>
          </w:p>
        </w:tc>
        <w:tc>
          <w:tcPr>
            <w:tcW w:type="dxa" w:w="3798"/>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2"/>
              </w:rPr>
              <w:t>Acceptance</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FND-001</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Architecture, contracts, and ownership</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Ratify the hybrid control-plane ADR</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P0/S</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Accepted ADR; Architecture diagram; Non-goal register</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No full-swarm or transparent live-migration requirement remains implied; No second credential broker is introduced</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FND-002</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Architecture, contracts, and ownership</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Define IdentitySchema/v1</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FND-001</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JSON Schema; ID generation and immutability rules; Example lineage records</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Every mutating event carries the required identity tuple; Opaque provider session IDs are never treated as portable global IDs</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FND-003</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Architecture, contracts, and ownership</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Define protocol compatibility and migration policy</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FND-002</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Compatibility matrix; Schema-version negotiation; Unknown-major behavior</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N-1 runners can drain safely; Unknown major versions fail before claiming work</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FND-004</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Architecture, contracts, and ownership</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Assign state and repository ownership</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P0/S</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FND-001</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Ownership matrix; Adapter boundary checklist; Dependency exit-note template</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Sprintctl, ActionQ, Outctl, Vuoro, cred-broker, and policy ownership are explicit; Every adopted dependency has a replacement path</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EVD-001</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Outctl evidence envelope</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Specify EvidenceManifest/v1</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FND-002, FND-003</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EvidenceManifest/v1; Standard/sensitive/restricted examples</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Projector input hash identifies the exact transformed source; Manifest contains no secret material</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EVD-002</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Outctl evidence envelope</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Implement encrypted local evidence spool</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EVD-001</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Encrypted spool; Ack/watermark compaction; Quota/backpressure behavior</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Runner restart preserves unacknowledged evidence; Quota exhaustion is explicit and never silently deletes required evidence</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EVD-003</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Outctl evidence envelope</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Implement capture classification and recorded redaction</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EVD-001, EVD-002</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Redaction pipeline; Ruleset versioning; In-memory exact-secret registration</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Credential values are removed before central persistence; Manifest records input/output hashes, match counts, and raw expiry</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EVD-004</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Outctl evidence envelope</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Implement projection adapters</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P1/M</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EVD-001</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Projector/v1; bounded-text projector; jc adapter where useful</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Projection cannot alter command exit status; Every lossy view reports omitted bytes and source hash</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EVD-005</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Outctl evidence envelope</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Implement central evidence ingest and retrieval</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EVD-001, CTL-002</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Evidence API; Presigned upload/download flow; Retention index</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Hosts never receive database credentials; Missing or expired raw artifacts remain explicit</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EVD-006</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Outctl evidence envelope</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Run evidence fault and disclosure tests</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EVD-002, EVD-003, EVD-004, EVD-005</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Automated test suite; Disclosure review report</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Sensitive plaintext is not centrally retained; Every loss, expiry, or omission is represented in metadata</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CTL-001</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Namespaced Kubernetes control plane</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Create vuoro-control Helm/Flux skeleton</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FND-001, FND-004</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Helm chart; Flux examples; Values schema</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Install/uninstall is namespace-bounded; cred-broker can run in-release or reference an existing endpoint</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CTL-002</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Namespaced Kubernetes control plane</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Create explicit database schemas and migration jobs</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FND-003, FND-004</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Schema ownership map; Migration Job; Rollback-safe procedure</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Application startup performs no uncontrolled DDL; Migrations are idempotent or fail clearly</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CTL-003</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Namespaced Kubernetes control plane</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Implement host, session, incarnation, run, and work-path APIs</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FND-002, CTL-002</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Versioned API; OpenAPI specification; Idempotency keys</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All mutating requests are idempotent; Harness/provider metadata cannot become canonical authority</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CTL-004</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Namespaced Kubernetes control plane</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Implement fenced leases and global capacity pools</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CTL-003</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Lease epochs; Capacity reservations; blocked_capacity state</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Old epochs cannot settle, redeem credentials/grants, or create authoritative children; Capacity exhaustion is not recorded as execution failure</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CTL-005</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Namespaced Kubernetes control plane</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Implement durable event ingest and watermarks</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CTL-003, FND-003</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Event endpoint; Origin sequence key; Watermark reconciliation</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Duplicate batches are harmless; Control-plane restart causes no silent event loss</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CTL-006</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Namespaced Kubernetes control plane</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Implement run reconciler</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CTL-004, CTL-005</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Reconciliation state machine; Operator actions; Safe retry rules</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Uncertain external effects block automatic replay; Healthy hosts continue when another host disappears</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CTL-007</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Namespaced Kubernetes control plane</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Harden namespace networking and service identity</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CTL-001, CTL-003</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RBAC; Default-deny NetworkPolicies; PDBs; Private ingress</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Only cred-broker reaches OpenBao; Hosts reach only the public/private Vuoro API surface</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RUN-001</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Host runner and multi-host execution</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Create vuoro-runnerd service shell</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FND-002, FND-003</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Daemon; Systemd service; Config schema; Health endpoint</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Restart preserves local session and spool state; Daemon runs without root by default</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RUN-002</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Host runner and multi-host execution</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Implement runner identity and registration</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RUN-001, CTL-003</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Registration flow; host_ref/runner_instance_ref; Key rotation path</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Stale boot identity cannot act as current runner; Control plane stores public identity only</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RUN-003</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Host runner and multi-host execution</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Implement pull-based claim and lease renewal</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RUN-002, CTL-004</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Long-poll/stream client; Capability advertisement; Lease renewal</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Cluster never needs SSH into the host; Lost connectivity stops new claims but not permitted local continuation</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RUN-004</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Host runner and multi-host execution</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Implement runner outbox and disconnected mode</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RUN-001, CTL-005, EVD-002</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Local WAL/outbox; Replay logic; Offline policy</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Reconnect resumes from watermark; Offline runner cannot obtain new elevated authority</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RUN-005</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Host runner and multi-host execution</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Implement workspace/worktree adapter</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RUN-003</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Workspace adapter; Head/diff fingerprints; Cleanup policy</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Run cannot write outside authorized roots; Handoff carries Git/evidence references rather than a process assumption</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RUN-006</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Host runner and multi-host execution</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Implement adopt, attach, detach, and handoff UX</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P1/M</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RUN-003, RUN-005, CTL-003</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CLI commands; tmux mapping; SSH target resolution; Handoff artifact</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Manual session can be adopted without losing lineage; Cross-host continuation creates a successor incarnation</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RUN-007</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Host runner and multi-host execution</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Package runner for workstation and devbox</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RUN-001, RUN-002, RUN-004</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Nix package/module; Arch/systemd path; Version reporting</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Both hosts can roll back independently; Configuration contains references, not long-lived embedded secrets</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ACP-001</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ACP harness boundary</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Define Vuoro Runner/v1 harness contract</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FND-002, FND-004</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Runner/v1; Capability model; Normalized lifecycle</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ActionQ contains no ACP-specific authority fields; Adapter replacement leaves canonical data intact</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ACP-002</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ACP harness boundary</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Implement first local ACP adapter</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ACP-001, RUN-001</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ACP client; Session new/load/prompt/cancel mapping; Capability record</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Negotiated capabilities persist per incarnation; Unsupported operations fail explicitly</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ACP-003</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ACP harness boundary</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Implement durable ACP update sink</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ACP-002, RUN-004, CTL-005</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Per-session update WAL; Stream epoch; Central normalization</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Runner/control restart loses no acknowledged update; Run cannot settle before prior updates are durable or explicitly unavailable</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ACP-004</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ACP harness boundary</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Implement resume, cancellation, and uncertain-turn rules</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ACP-003, CTL-006</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Capability matrix; Same-host resume; Successor-session path; Cancel reconciliation</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Cross-host recovery never reuses opaque ID without proof; Cancellation ends in an explicit final state</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ACP-005</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ACP harness boundary</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Cut over one real runner profile</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ACP-004, RUN-007, EVD-006</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Cutover record; Smoke-test results; Intervention log</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Old path is non-authoritative and deletable; Accepted result, intervention, and retry metrics are captured</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ACP-006</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ACP harness boundary</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Prove second harness and retire PTY fallback</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P1/L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ACP-005</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Second adapter; Compatibility report; PTY removal or exception ADR</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No automatic PTY fallback; Sunset reviewed by 15 November 2026</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CRED-000</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OpenBao and existing cred-broker rollout</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Assess existing cred-broker against target contracts</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FND-001, FND-004</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Capability matrix; Gap list; Reuse decision; Upgrade/compatibility note</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No duplicate broker is planned; Every later CRED task is marked reuse, extension, or configuration</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CRED-001</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OpenBao and existing cred-broker rollout</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Define CredentialCatalog/v1</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FND-002, CRED-000</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Catalog schema; Naming rules; Git/S3/Kubernetes/release/SMTP examples</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Agents request logical references, never raw OpenBao paths; Catalog changes are versioned and reviewable</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CRED-002</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OpenBao and existing cred-broker rollout</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Define credential ticket and actor binding</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CRED-001, RUN-002</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CredentialTicket/v1; Actor/auth matrix; Replay and expiry rules</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Agent sessions hold no long-lived OpenBao token; Ticket binds actor, work, session, host, runner boot, credential_ref, and effect digest where required</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CRED-003</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OpenBao and existing cred-broker rollout</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Commission cred-broker as the OpenBao delivery plane</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CRED-000, CRED-002, CTL-001, CTL-007</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Namespaced deployment or external endpoint mode; OpenBao mapping configuration; Health and lease operations</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vuoro-control does not implement a second provider adapter; Only cred-broker needs OpenBao provider access</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CRED-004</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OpenBao and existing cred-broker rollout</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Integrate runner credential retrieval and injection</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CRED-003, RUN-003, EVD-003</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Runner client; Delivery modes; tmpfs/memfd cleanup; Redaction registration</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Secret values never enter prompts or canonical events; Revoked/expired material is removed and cannot renew</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CRED-005</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OpenBao and existing cred-broker rollout</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Implement credential classes and lease policy</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CRED-003, CRED-004</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Class policy; TTL/renewal defaults; Offline behavior</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Offline runner can use only explicitly allowed low-risk leases; Break-glass is human-only and separately audited</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CRED-006</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OpenBao and existing cred-broker rollout</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Implement Vuoro grant ledger above broker delivery</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CRED-003, CTL-004</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Grant API/tables; Atomic consumption; Human authority reference</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One-shot meaning is enforced by Vuoro state; Duplicate consume requests remain one use</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CRED-007</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OpenBao and existing cred-broker rollout</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Implement payload-bound EffectDescriptor/v1</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CRED-006, RUN-005, EVD-001</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Canonicalization library; Prepare/commit comparison; Kubectl/git/script fixtures</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Digest mismatch blocks execution; Arbitrary elevated shell is classified as a broader approval class</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CRED-008</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OpenBao and existing cred-broker rollout</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Correlate credential, grant, policy, and evidence audit</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CRED-004, CRED-006, CRED-007, EVD-005</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Audit schema; Operator query/report</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Reviewer can reconstruct the authorization and result without seeing secret values</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CRED-009</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OpenBao and existing cred-broker rollout</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Exercise rotation, revocation, expiry, and outage</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CRED-005, CRED-008</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Rotation drill; Revocation drill; Broker/OpenBao outage test; Break-glass test</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Revoked leases stop renewal/future use; Unrelated local-safe work continues during credential-plane outage</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POL-001</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OPA policy observation and enforcement</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Define PolicyInput/v1 and PolicyDecision/v1</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FND-002, CRED-007</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JSON Schemas; Fixtures; Secret-exclusion rules</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Input is sufficient to explain decisions; No OPA-specific field enters canonical domain state</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POL-002</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OPA policy observation and enforcement</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Deploy OPA as a namespaced decision service</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CTL-001, CTL-007, POL-001</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Deployment/service; Bundle/config delivery; Log masking</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Decision ID and policy revision persist in Vuoro; OPA can be replaced behind the decision adapter</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POL-003</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OPA policy observation and enforcement</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Author baseline Rego and tests</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POL-001, POL-002</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Baseline policy; Unit tests; Negative fixtures; Explain examples</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Every deny/grant branch has a named test; Policy review does not rely on production logs</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POL-004</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OPA policy observation and enforcement</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Run observation mode over a full backlog</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POL-003, CRED-008, ACP-005</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Decision capture; Operator comparison; False-positive labels</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All encountered consequential effect families are covered; OPA outage is recorded but does not block observe-mode work</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POL-005</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OPA policy observation and enforcement</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Classify effect channels and decide ToolHive gate</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P1/M</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POL-004</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Effect-channel report; ToolHive adoption/rejection ADR</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Decision is based on consequential MCP share and lifecycle ownership, not fashion</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POL-006</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OPA policy observation and enforcement</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Promote selected families to enforcement</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P1/L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POL-004, CRED-009, OPS-004</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Enforcement matrix; Feature flags; Rollback playbook</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Consequential effects fail closed where declared; Local-safe work continues where declared</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AUT-001</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Bounded autonomous work paths</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Implement work_path domain and lineage</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CTL-003, FND-002</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Work-path API/state; Parent/child lineage; Status projection</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Every child run has a sponsoring path and authority scope; No peer consensus is introduced</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AUT-002</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Bounded autonomous work paths</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Implement delegation and continuation budgets</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AUT-001, CTL-004, POL-001</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Delegation/v1; Budget accounting; Expiry handling</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Coordinator cannot widen its own delegation; Budget exhaustion yields explicit stop reason</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AUT-003</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Bounded autonomous work paths</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Implement child-run creation and readiness selection</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AUT-002, CTL-004</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Child-run API; Readiness integration; Idempotent spawn</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Duplicate spawn creates one child; No peer-to-peer scheduler authority appears</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AUT-004</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Bounded autonomous work paths</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Implement provider capacity allocation</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CTL-004, AUT-002</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Capacity allocator; Reservations; Fairness policy</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Two hosts cannot overbook one pool; blocked_capacity differs from blocked_work</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AUT-005</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Bounded autonomous work paths</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Implement portable handoff and successor sessions</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RUN-006, ACP-004, AUT-001</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Handoff artifact; Successor API; Operator UX</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Cross-host continuation does not assume conversation-store portability; Unresolved risks and current evidence are included</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AUT-006</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Bounded autonomous work paths</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Implement stop conditions and escalation</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AUT-003, POL-004, CRED-006, CTL-006</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Stop engine; Escalation event; Operator commands</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No autonomous retry crosses uncertain effect; Escalation preserves evidence and pending work</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AUT-007</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Bounded autonomous work paths</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Run cross-host builder-test-review pilot</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AUT-004, AUT-005, AUT-006, ACP-006</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Pilot report; Accepted result; Intervention and spend record</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At least three child runs complete across two hosts; Path stops correctly at injected gates</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OPS-001</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Operations, upgrades, and commissioning</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Implement health, metrics, and operator status</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P1/M</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CTL-003, RUN-004, CRED-008</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Metrics; Health endpoints; Operator status view</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One view identifies blocked capacity, disconnected runners, stale leases, failed uploads, and broker/policy errors</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OPS-002</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Operations, upgrades, and commissioning</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Implement backup, restore, and evidence reconciliation</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CTL-002, EVD-005</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Backup policy; Restore drill; Orphan reconciliation</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Restore preserves identities, grants, watermarks, and audit linkage; Missing artifacts remain explicit</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OPS-003</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Operations, upgrades, and commissioning</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Implement version report card and compatibility gates</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FND-003, RUN-007, ACP-002, CRED-000</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Version report card; Compatibility endpoint; Drain/reject behavior</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N-1 runners drain safely; Incompatible components fail before claiming or issuing credentials</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OPS-004</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Operations, upgrades, and commissioning</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Write operational runbooks</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P0/M</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CTL-006, CRED-009, POL-004</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Runbook set; Operator command examples</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Every high-risk state has a bounded recovery path and do-not-do list</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OPS-005</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Operations, upgrades, and commissioning</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Implement controlled release and rollback</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CTL-001, CTL-002, FND-003</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Release pipeline; Rollback procedure; Provenance metadata</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Rollback cannot reactivate stale epochs; Database rollback follows expand/contract rules</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OPS-006</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Operations, upgrades, and commissioning</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Run distributed failure-injection suite</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EVD-006, ACP-005, CRED-009, POL-004, OPS-003</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Automated drill harness; Results report; Remediation backlog</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No silent event loss or automatic duplicate external effect; Healthy paths continue when one host fails</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OPS-007</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Operations, upgrades, and commissioning</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Commission production-ready multi-host bundle</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P0/L</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AUT-007, OPS-002, OPS-005, OPS-006</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Commissioning report; Go/no-go decision; Known-limit register</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All milestone gates pass or have accepted exceptions; Deferred dependencies remain disabled</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OPT-001</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Gated optional adoptions</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Measure RTK as shadow projection</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P2/S</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EVD-004, ACP-005</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Token/diagnostic/retry comparison</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Adoption requires net reduction after retry cost and ACP structured updates</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OPT-002</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Gated optional adoptions</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Evaluate ToolHive only after channel measurement</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P2/S</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POL-005</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Adoption/rejection ADR</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No installation without gate; Separate release if adopted</w:t>
            </w:r>
          </w:p>
        </w:tc>
      </w:tr>
      <w:tr>
        <w:trPr>
          <w:cantSplit/>
        </w:trPr>
        <w:tc>
          <w:tcPr>
            <w:tcW w:type="dxa" w:w="1077"/>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OPT-003</w:t>
            </w:r>
          </w:p>
        </w:tc>
        <w:tc>
          <w:tcPr>
            <w:tcW w:type="dxa" w:w="198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Gated optional adoptions</w:t>
            </w:r>
          </w:p>
        </w:tc>
        <w:tc>
          <w:tcPr>
            <w:tcW w:type="dxa" w:w="306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Evaluate DBOS only against named ActionQ failure</w:t>
            </w:r>
          </w:p>
        </w:tc>
        <w:tc>
          <w:tcPr>
            <w:tcW w:type="dxa" w:w="963"/>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P2/M</w:t>
            </w:r>
          </w:p>
        </w:tc>
        <w:tc>
          <w:tcPr>
            <w:tcW w:type="dxa" w:w="18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OPS-006</w:t>
            </w:r>
          </w:p>
        </w:tc>
        <w:tc>
          <w:tcPr>
            <w:tcW w:type="dxa" w:w="3514"/>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Failure statement; Exit note; Cutover pilot</w:t>
            </w:r>
          </w:p>
        </w:tc>
        <w:tc>
          <w:tcPr>
            <w:tcW w:type="dxa" w:w="3798"/>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2"/>
              </w:rPr>
              <w:t>No permanent shadow scheduler; Old path remains deletable</w:t>
            </w:r>
          </w:p>
        </w:tc>
      </w:tr>
      <w:tr>
        <w:trPr>
          <w:cantSplit/>
        </w:trPr>
        <w:tc>
          <w:tcPr>
            <w:tcW w:type="dxa" w:w="1077"/>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OPT-004</w:t>
            </w:r>
          </w:p>
        </w:tc>
        <w:tc>
          <w:tcPr>
            <w:tcW w:type="dxa" w:w="198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Gated optional adoptions</w:t>
            </w:r>
          </w:p>
        </w:tc>
        <w:tc>
          <w:tcPr>
            <w:tcW w:type="dxa" w:w="306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Evaluate Beads only against named task-layer failure</w:t>
            </w:r>
          </w:p>
        </w:tc>
        <w:tc>
          <w:tcPr>
            <w:tcW w:type="dxa" w:w="963"/>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P2/M</w:t>
            </w:r>
          </w:p>
        </w:tc>
        <w:tc>
          <w:tcPr>
            <w:tcW w:type="dxa" w:w="18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AUT-007</w:t>
            </w:r>
          </w:p>
        </w:tc>
        <w:tc>
          <w:tcPr>
            <w:tcW w:type="dxa" w:w="3514"/>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Failure statement; Authority ADR; Importer proof</w:t>
            </w:r>
          </w:p>
        </w:tc>
        <w:tc>
          <w:tcPr>
            <w:tcW w:type="dxa" w:w="3798"/>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2"/>
              </w:rPr>
              <w:t>No transparent bidirectional sync; Unknown major versions fail closed</w:t>
            </w:r>
          </w:p>
        </w:tc>
      </w:tr>
    </w:tbl>
    <w:p>
      <w:pPr>
        <w:spacing w:after="0"/>
      </w:pPr>
    </w:p>
    <w:p>
      <w:pPr>
        <w:sectPr>
          <w:headerReference w:type="default" r:id="rId13"/>
          <w:footerReference w:type="default" r:id="rId14"/>
          <w:pgSz w:w="16838" w:h="11906" w:orient="landscape"/>
          <w:pgMar w:top="737" w:right="737" w:bottom="737" w:left="737" w:header="397" w:footer="397" w:gutter="0"/>
          <w:cols w:space="720"/>
          <w:titlePg/>
          <w:docGrid w:linePitch="360"/>
        </w:sectPr>
      </w:pPr>
    </w:p>
    <w:p>
      <w:pPr>
        <w:pStyle w:val="Heading1"/>
      </w:pPr>
      <w:r>
        <w:t>Appendix B. Contract sketches</w:t>
      </w:r>
    </w:p>
    <w:p>
      <w:pPr>
        <w:pStyle w:val="Heading2"/>
      </w:pPr>
      <w:r>
        <w:t>B.1 CredentialTicket/v1</w:t>
      </w:r>
    </w:p>
    <w:tbl>
      <w:tblPr>
        <w:tblW w:type="auto" w:w="0"/>
        <w:jc w:val="center"/>
        <w:tblLook w:firstColumn="1" w:firstRow="1" w:lastColumn="0" w:lastRow="0" w:noHBand="0" w:noVBand="1" w:val="04A0"/>
      </w:tblPr>
      <w:tblGrid>
        <w:gridCol w:w="9866"/>
      </w:tblGrid>
      <w:tr>
        <w:trPr>
          <w:cantSplit/>
        </w:trPr>
        <w:tc>
          <w:tcPr>
            <w:tcW w:type="dxa" w:w="9866"/>
            <w:shd w:fill="F1F4F6"/>
            <w:tcBorders>
              <w:top w:val="single" w:sz="4" w:color="CDD6DC"/>
              <w:left w:val="single" w:sz="4" w:color="CDD6DC"/>
              <w:bottom w:val="single" w:sz="4" w:color="CDD6DC"/>
              <w:right w:val="single" w:sz="4" w:color="CDD6DC"/>
            </w:tcBorders>
          </w:tcPr>
          <w:p>
            <w:pPr>
              <w:spacing w:after="0"/>
            </w:pPr>
            <w:r>
              <w:rPr>
                <w:rFonts w:ascii="DejaVu Sans Mono" w:hAnsi="DejaVu Sans Mono"/>
                <w:b w:val="0"/>
                <w:i w:val="0"/>
                <w:color w:val="19232D"/>
                <w:sz w:val="16"/>
              </w:rPr>
              <w:t>{</w:t>
            </w:r>
            <w:r>
              <w:br/>
            </w:r>
            <w:r>
              <w:rPr>
                <w:rFonts w:ascii="DejaVu Sans Mono" w:hAnsi="DejaVu Sans Mono"/>
                <w:b w:val="0"/>
                <w:i w:val="0"/>
                <w:color w:val="19232D"/>
                <w:sz w:val="16"/>
              </w:rPr>
              <w:t xml:space="preserve">  "ticket_ref": "ct_...",</w:t>
            </w:r>
            <w:r>
              <w:br/>
            </w:r>
            <w:r>
              <w:rPr>
                <w:rFonts w:ascii="DejaVu Sans Mono" w:hAnsi="DejaVu Sans Mono"/>
                <w:b w:val="0"/>
                <w:i w:val="0"/>
                <w:color w:val="19232D"/>
                <w:sz w:val="16"/>
              </w:rPr>
              <w:t xml:space="preserve">  "credential_ref": "cred://kubernetes/appservice-maintainer",</w:t>
            </w:r>
            <w:r>
              <w:br/>
            </w:r>
            <w:r>
              <w:rPr>
                <w:rFonts w:ascii="DejaVu Sans Mono" w:hAnsi="DejaVu Sans Mono"/>
                <w:b w:val="0"/>
                <w:i w:val="0"/>
                <w:color w:val="19232D"/>
                <w:sz w:val="16"/>
              </w:rPr>
              <w:t xml:space="preserve">  "actor_ref": "session_...",</w:t>
            </w:r>
            <w:r>
              <w:br/>
            </w:r>
            <w:r>
              <w:rPr>
                <w:rFonts w:ascii="DejaVu Sans Mono" w:hAnsi="DejaVu Sans Mono"/>
                <w:b w:val="0"/>
                <w:i w:val="0"/>
                <w:color w:val="19232D"/>
                <w:sz w:val="16"/>
              </w:rPr>
              <w:t xml:space="preserve">  "work_item_ref": "sprintctl://actionq/2142",</w:t>
            </w:r>
            <w:r>
              <w:br/>
            </w:r>
            <w:r>
              <w:rPr>
                <w:rFonts w:ascii="DejaVu Sans Mono" w:hAnsi="DejaVu Sans Mono"/>
                <w:b w:val="0"/>
                <w:i w:val="0"/>
                <w:color w:val="19232D"/>
                <w:sz w:val="16"/>
              </w:rPr>
              <w:t xml:space="preserve">  "session_ref": "session_...",</w:t>
            </w:r>
            <w:r>
              <w:br/>
            </w:r>
            <w:r>
              <w:rPr>
                <w:rFonts w:ascii="DejaVu Sans Mono" w:hAnsi="DejaVu Sans Mono"/>
                <w:b w:val="0"/>
                <w:i w:val="0"/>
                <w:color w:val="19232D"/>
                <w:sz w:val="16"/>
              </w:rPr>
              <w:t xml:space="preserve">  "host_ref": "devbox",</w:t>
            </w:r>
            <w:r>
              <w:br/>
            </w:r>
            <w:r>
              <w:rPr>
                <w:rFonts w:ascii="DejaVu Sans Mono" w:hAnsi="DejaVu Sans Mono"/>
                <w:b w:val="0"/>
                <w:i w:val="0"/>
                <w:color w:val="19232D"/>
                <w:sz w:val="16"/>
              </w:rPr>
              <w:t xml:space="preserve">  "runner_instance_ref": "boot_...",</w:t>
            </w:r>
            <w:r>
              <w:br/>
            </w:r>
            <w:r>
              <w:rPr>
                <w:rFonts w:ascii="DejaVu Sans Mono" w:hAnsi="DejaVu Sans Mono"/>
                <w:b w:val="0"/>
                <w:i w:val="0"/>
                <w:color w:val="19232D"/>
                <w:sz w:val="16"/>
              </w:rPr>
              <w:t xml:space="preserve">  "effect_digest": "sha256:...",</w:t>
            </w:r>
            <w:r>
              <w:br/>
            </w:r>
            <w:r>
              <w:rPr>
                <w:rFonts w:ascii="DejaVu Sans Mono" w:hAnsi="DejaVu Sans Mono"/>
                <w:b w:val="0"/>
                <w:i w:val="0"/>
                <w:color w:val="19232D"/>
                <w:sz w:val="16"/>
              </w:rPr>
              <w:t xml:space="preserve">  "expires_at": "2026-08-15T11:30:00Z",</w:t>
            </w:r>
            <w:r>
              <w:br/>
            </w:r>
            <w:r>
              <w:rPr>
                <w:rFonts w:ascii="DejaVu Sans Mono" w:hAnsi="DejaVu Sans Mono"/>
                <w:b w:val="0"/>
                <w:i w:val="0"/>
                <w:color w:val="19232D"/>
                <w:sz w:val="16"/>
              </w:rPr>
              <w:t xml:space="preserve">  "max_uses": 1,</w:t>
            </w:r>
            <w:r>
              <w:br/>
            </w:r>
            <w:r>
              <w:rPr>
                <w:rFonts w:ascii="DejaVu Sans Mono" w:hAnsi="DejaVu Sans Mono"/>
                <w:b w:val="0"/>
                <w:i w:val="0"/>
                <w:color w:val="19232D"/>
                <w:sz w:val="16"/>
              </w:rPr>
              <w:t xml:space="preserve">  "signature": "..."</w:t>
            </w:r>
            <w:r>
              <w:br/>
            </w:r>
            <w:r>
              <w:rPr>
                <w:rFonts w:ascii="DejaVu Sans Mono" w:hAnsi="DejaVu Sans Mono"/>
                <w:b w:val="0"/>
                <w:i w:val="0"/>
                <w:color w:val="19232D"/>
                <w:sz w:val="16"/>
              </w:rPr>
              <w:t>}</w:t>
            </w:r>
          </w:p>
        </w:tc>
      </w:tr>
    </w:tbl>
    <w:p>
      <w:pPr>
        <w:spacing w:after="0"/>
      </w:pPr>
    </w:p>
    <w:p>
      <w:pPr>
        <w:pStyle w:val="Heading2"/>
      </w:pPr>
      <w:r>
        <w:t>B.2 CredentialLeaseRef/v1</w:t>
      </w:r>
    </w:p>
    <w:tbl>
      <w:tblPr>
        <w:tblW w:type="auto" w:w="0"/>
        <w:jc w:val="center"/>
        <w:tblLook w:firstColumn="1" w:firstRow="1" w:lastColumn="0" w:lastRow="0" w:noHBand="0" w:noVBand="1" w:val="04A0"/>
      </w:tblPr>
      <w:tblGrid>
        <w:gridCol w:w="9866"/>
      </w:tblGrid>
      <w:tr>
        <w:trPr>
          <w:cantSplit/>
        </w:trPr>
        <w:tc>
          <w:tcPr>
            <w:tcW w:type="dxa" w:w="9866"/>
            <w:shd w:fill="F1F4F6"/>
            <w:tcBorders>
              <w:top w:val="single" w:sz="4" w:color="CDD6DC"/>
              <w:left w:val="single" w:sz="4" w:color="CDD6DC"/>
              <w:bottom w:val="single" w:sz="4" w:color="CDD6DC"/>
              <w:right w:val="single" w:sz="4" w:color="CDD6DC"/>
            </w:tcBorders>
          </w:tcPr>
          <w:p>
            <w:pPr>
              <w:spacing w:after="0"/>
            </w:pPr>
            <w:r>
              <w:rPr>
                <w:rFonts w:ascii="DejaVu Sans Mono" w:hAnsi="DejaVu Sans Mono"/>
                <w:b w:val="0"/>
                <w:i w:val="0"/>
                <w:color w:val="19232D"/>
                <w:sz w:val="16"/>
              </w:rPr>
              <w:t>{</w:t>
            </w:r>
            <w:r>
              <w:br/>
            </w:r>
            <w:r>
              <w:rPr>
                <w:rFonts w:ascii="DejaVu Sans Mono" w:hAnsi="DejaVu Sans Mono"/>
                <w:b w:val="0"/>
                <w:i w:val="0"/>
                <w:color w:val="19232D"/>
                <w:sz w:val="16"/>
              </w:rPr>
              <w:t xml:space="preserve">  "credential_lease_ref": "lease_...",</w:t>
            </w:r>
            <w:r>
              <w:br/>
            </w:r>
            <w:r>
              <w:rPr>
                <w:rFonts w:ascii="DejaVu Sans Mono" w:hAnsi="DejaVu Sans Mono"/>
                <w:b w:val="0"/>
                <w:i w:val="0"/>
                <w:color w:val="19232D"/>
                <w:sz w:val="16"/>
              </w:rPr>
              <w:t xml:space="preserve">  "credential_ref": "cred://kubernetes/appservice-maintainer",</w:t>
            </w:r>
            <w:r>
              <w:br/>
            </w:r>
            <w:r>
              <w:rPr>
                <w:rFonts w:ascii="DejaVu Sans Mono" w:hAnsi="DejaVu Sans Mono"/>
                <w:b w:val="0"/>
                <w:i w:val="0"/>
                <w:color w:val="19232D"/>
                <w:sz w:val="16"/>
              </w:rPr>
              <w:t xml:space="preserve">  "provider": "openbao",</w:t>
            </w:r>
            <w:r>
              <w:br/>
            </w:r>
            <w:r>
              <w:rPr>
                <w:rFonts w:ascii="DejaVu Sans Mono" w:hAnsi="DejaVu Sans Mono"/>
                <w:b w:val="0"/>
                <w:i w:val="0"/>
                <w:color w:val="19232D"/>
                <w:sz w:val="16"/>
              </w:rPr>
              <w:t xml:space="preserve">  "broker_ref": "cred-broker-main",</w:t>
            </w:r>
            <w:r>
              <w:br/>
            </w:r>
            <w:r>
              <w:rPr>
                <w:rFonts w:ascii="DejaVu Sans Mono" w:hAnsi="DejaVu Sans Mono"/>
                <w:b w:val="0"/>
                <w:i w:val="0"/>
                <w:color w:val="19232D"/>
                <w:sz w:val="16"/>
              </w:rPr>
              <w:t xml:space="preserve">  "provider_accessor_ref": "opaque-non-secret-reference",</w:t>
            </w:r>
            <w:r>
              <w:br/>
            </w:r>
            <w:r>
              <w:rPr>
                <w:rFonts w:ascii="DejaVu Sans Mono" w:hAnsi="DejaVu Sans Mono"/>
                <w:b w:val="0"/>
                <w:i w:val="0"/>
                <w:color w:val="19232D"/>
                <w:sz w:val="16"/>
              </w:rPr>
              <w:t xml:space="preserve">  "class": "effect-bound",</w:t>
            </w:r>
            <w:r>
              <w:br/>
            </w:r>
            <w:r>
              <w:rPr>
                <w:rFonts w:ascii="DejaVu Sans Mono" w:hAnsi="DejaVu Sans Mono"/>
                <w:b w:val="0"/>
                <w:i w:val="0"/>
                <w:color w:val="19232D"/>
                <w:sz w:val="16"/>
              </w:rPr>
              <w:t xml:space="preserve">  "expires_at": "2026-08-15T11:30:00Z",</w:t>
            </w:r>
            <w:r>
              <w:br/>
            </w:r>
            <w:r>
              <w:rPr>
                <w:rFonts w:ascii="DejaVu Sans Mono" w:hAnsi="DejaVu Sans Mono"/>
                <w:b w:val="0"/>
                <w:i w:val="0"/>
                <w:color w:val="19232D"/>
                <w:sz w:val="16"/>
              </w:rPr>
              <w:t xml:space="preserve">  "renewable": false,</w:t>
            </w:r>
            <w:r>
              <w:br/>
            </w:r>
            <w:r>
              <w:rPr>
                <w:rFonts w:ascii="DejaVu Sans Mono" w:hAnsi="DejaVu Sans Mono"/>
                <w:b w:val="0"/>
                <w:i w:val="0"/>
                <w:color w:val="19232D"/>
                <w:sz w:val="16"/>
              </w:rPr>
              <w:t xml:space="preserve">  "grant_id": "grant_..."</w:t>
            </w:r>
            <w:r>
              <w:br/>
            </w:r>
            <w:r>
              <w:rPr>
                <w:rFonts w:ascii="DejaVu Sans Mono" w:hAnsi="DejaVu Sans Mono"/>
                <w:b w:val="0"/>
                <w:i w:val="0"/>
                <w:color w:val="19232D"/>
                <w:sz w:val="16"/>
              </w:rPr>
              <w:t>}</w:t>
            </w:r>
          </w:p>
        </w:tc>
      </w:tr>
    </w:tbl>
    <w:p>
      <w:pPr>
        <w:spacing w:after="0"/>
      </w:pPr>
    </w:p>
    <w:p>
      <w:pPr>
        <w:pStyle w:val="Heading2"/>
      </w:pPr>
      <w:r>
        <w:t>B.3 Payload-bound effect</w:t>
      </w:r>
    </w:p>
    <w:tbl>
      <w:tblPr>
        <w:tblW w:type="auto" w:w="0"/>
        <w:jc w:val="center"/>
        <w:tblLook w:firstColumn="1" w:firstRow="1" w:lastColumn="0" w:lastRow="0" w:noHBand="0" w:noVBand="1" w:val="04A0"/>
      </w:tblPr>
      <w:tblGrid>
        <w:gridCol w:w="9866"/>
      </w:tblGrid>
      <w:tr>
        <w:trPr>
          <w:cantSplit/>
        </w:trPr>
        <w:tc>
          <w:tcPr>
            <w:tcW w:type="dxa" w:w="9866"/>
            <w:shd w:fill="F1F4F6"/>
            <w:tcBorders>
              <w:top w:val="single" w:sz="4" w:color="CDD6DC"/>
              <w:left w:val="single" w:sz="4" w:color="CDD6DC"/>
              <w:bottom w:val="single" w:sz="4" w:color="CDD6DC"/>
              <w:right w:val="single" w:sz="4" w:color="CDD6DC"/>
            </w:tcBorders>
          </w:tcPr>
          <w:p>
            <w:pPr>
              <w:spacing w:after="0"/>
            </w:pPr>
            <w:r>
              <w:rPr>
                <w:rFonts w:ascii="DejaVu Sans Mono" w:hAnsi="DejaVu Sans Mono"/>
                <w:b w:val="0"/>
                <w:i w:val="0"/>
                <w:color w:val="19232D"/>
                <w:sz w:val="16"/>
              </w:rPr>
              <w:t>effect_digest = SHA256(canonical EffectDescriptor/v1)</w:t>
            </w:r>
            <w:r>
              <w:br/>
            </w:r>
            <w:r>
              <w:rPr>
                <w:rFonts w:ascii="DejaVu Sans Mono" w:hAnsi="DejaVu Sans Mono"/>
                <w:b w:val="0"/>
                <w:i w:val="0"/>
                <w:color w:val="19232D"/>
                <w:sz w:val="16"/>
              </w:rPr>
            </w:r>
            <w:r>
              <w:br/>
            </w:r>
            <w:r>
              <w:rPr>
                <w:rFonts w:ascii="DejaVu Sans Mono" w:hAnsi="DejaVu Sans Mono"/>
                <w:b w:val="0"/>
                <w:i w:val="0"/>
                <w:color w:val="19232D"/>
                <w:sz w:val="16"/>
              </w:rPr>
              <w:t>EffectDescriptor includes:</w:t>
            </w:r>
            <w:r>
              <w:br/>
            </w:r>
            <w:r>
              <w:rPr>
                <w:rFonts w:ascii="DejaVu Sans Mono" w:hAnsi="DejaVu Sans Mono"/>
                <w:b w:val="0"/>
                <w:i w:val="0"/>
                <w:color w:val="19232D"/>
                <w:sz w:val="16"/>
              </w:rPr>
              <w:t xml:space="preserve">  action kind and target identity</w:t>
            </w:r>
            <w:r>
              <w:br/>
            </w:r>
            <w:r>
              <w:rPr>
                <w:rFonts w:ascii="DejaVu Sans Mono" w:hAnsi="DejaVu Sans Mono"/>
                <w:b w:val="0"/>
                <w:i w:val="0"/>
                <w:color w:val="19232D"/>
                <w:sz w:val="16"/>
              </w:rPr>
              <w:t xml:space="preserve">  exact manifest / stdin / patch / script hashes</w:t>
            </w:r>
            <w:r>
              <w:br/>
            </w:r>
            <w:r>
              <w:rPr>
                <w:rFonts w:ascii="DejaVu Sans Mono" w:hAnsi="DejaVu Sans Mono"/>
                <w:b w:val="0"/>
                <w:i w:val="0"/>
                <w:color w:val="19232D"/>
                <w:sz w:val="16"/>
              </w:rPr>
              <w:t xml:space="preserve">  resolved executable or interpreter</w:t>
            </w:r>
            <w:r>
              <w:br/>
            </w:r>
            <w:r>
              <w:rPr>
                <w:rFonts w:ascii="DejaVu Sans Mono" w:hAnsi="DejaVu Sans Mono"/>
                <w:b w:val="0"/>
                <w:i w:val="0"/>
                <w:color w:val="19232D"/>
                <w:sz w:val="16"/>
              </w:rPr>
              <w:t xml:space="preserve">  Git remote/ref and expected previous SHA where relevant</w:t>
            </w:r>
            <w:r>
              <w:br/>
            </w:r>
            <w:r>
              <w:rPr>
                <w:rFonts w:ascii="DejaVu Sans Mono" w:hAnsi="DejaVu Sans Mono"/>
                <w:b w:val="0"/>
                <w:i w:val="0"/>
                <w:color w:val="19232D"/>
                <w:sz w:val="16"/>
              </w:rPr>
              <w:t xml:space="preserve">  workspace head/diff snapshot</w:t>
            </w:r>
            <w:r>
              <w:br/>
            </w:r>
            <w:r>
              <w:rPr>
                <w:rFonts w:ascii="DejaVu Sans Mono" w:hAnsi="DejaVu Sans Mono"/>
                <w:b w:val="0"/>
                <w:i w:val="0"/>
                <w:color w:val="19232D"/>
                <w:sz w:val="16"/>
              </w:rPr>
              <w:t xml:space="preserve">  effect-relevant environment references</w:t>
            </w:r>
            <w:r>
              <w:br/>
            </w:r>
            <w:r>
              <w:rPr>
                <w:rFonts w:ascii="DejaVu Sans Mono" w:hAnsi="DejaVu Sans Mono"/>
                <w:b w:val="0"/>
                <w:i w:val="0"/>
                <w:color w:val="19232D"/>
                <w:sz w:val="16"/>
              </w:rPr>
            </w:r>
            <w:r>
              <w:br/>
            </w:r>
            <w:r>
              <w:rPr>
                <w:rFonts w:ascii="DejaVu Sans Mono" w:hAnsi="DejaVu Sans Mono"/>
                <w:b w:val="0"/>
                <w:i w:val="0"/>
                <w:color w:val="19232D"/>
                <w:sz w:val="16"/>
              </w:rPr>
              <w:t>Digest mismatch between prepare and commit blocks consumption.</w:t>
            </w:r>
          </w:p>
        </w:tc>
      </w:tr>
    </w:tbl>
    <w:p>
      <w:pPr>
        <w:spacing w:after="0"/>
      </w:pPr>
    </w:p>
    <w:p>
      <w:pPr>
        <w:pStyle w:val="Heading2"/>
      </w:pPr>
      <w:r>
        <w:t>B.4 PolicyInput/v1 summary</w:t>
      </w:r>
    </w:p>
    <w:tbl>
      <w:tblPr>
        <w:tblW w:type="auto" w:w="0"/>
        <w:jc w:val="center"/>
        <w:tblLook w:firstColumn="1" w:firstRow="1" w:lastColumn="0" w:lastRow="0" w:noHBand="0" w:noVBand="1" w:val="04A0"/>
      </w:tblPr>
      <w:tblGrid>
        <w:gridCol w:w="9866"/>
      </w:tblGrid>
      <w:tr>
        <w:trPr>
          <w:cantSplit/>
        </w:trPr>
        <w:tc>
          <w:tcPr>
            <w:tcW w:type="dxa" w:w="9866"/>
            <w:shd w:fill="F1F4F6"/>
            <w:tcBorders>
              <w:top w:val="single" w:sz="4" w:color="CDD6DC"/>
              <w:left w:val="single" w:sz="4" w:color="CDD6DC"/>
              <w:bottom w:val="single" w:sz="4" w:color="CDD6DC"/>
              <w:right w:val="single" w:sz="4" w:color="CDD6DC"/>
            </w:tcBorders>
          </w:tcPr>
          <w:p>
            <w:pPr>
              <w:spacing w:after="0"/>
            </w:pPr>
            <w:r>
              <w:rPr>
                <w:rFonts w:ascii="DejaVu Sans Mono" w:hAnsi="DejaVu Sans Mono"/>
                <w:b w:val="0"/>
                <w:i w:val="0"/>
                <w:color w:val="19232D"/>
                <w:sz w:val="16"/>
              </w:rPr>
              <w:t>Includes:</w:t>
            </w:r>
            <w:r>
              <w:br/>
            </w:r>
            <w:r>
              <w:rPr>
                <w:rFonts w:ascii="DejaVu Sans Mono" w:hAnsi="DejaVu Sans Mono"/>
                <w:b w:val="0"/>
                <w:i w:val="0"/>
                <w:color w:val="19232D"/>
                <w:sz w:val="16"/>
              </w:rPr>
              <w:t xml:space="preserve">  actor and human sponsor</w:t>
            </w:r>
            <w:r>
              <w:br/>
            </w:r>
            <w:r>
              <w:rPr>
                <w:rFonts w:ascii="DejaVu Sans Mono" w:hAnsi="DejaVu Sans Mono"/>
                <w:b w:val="0"/>
                <w:i w:val="0"/>
                <w:color w:val="19232D"/>
                <w:sz w:val="16"/>
              </w:rPr>
              <w:t xml:space="preserve">  work path, work item, session, incarnation, run lineage</w:t>
            </w:r>
            <w:r>
              <w:br/>
            </w:r>
            <w:r>
              <w:rPr>
                <w:rFonts w:ascii="DejaVu Sans Mono" w:hAnsi="DejaVu Sans Mono"/>
                <w:b w:val="0"/>
                <w:i w:val="0"/>
                <w:color w:val="19232D"/>
                <w:sz w:val="16"/>
              </w:rPr>
              <w:t xml:space="preserve">  work authority and delegation</w:t>
            </w:r>
            <w:r>
              <w:br/>
            </w:r>
            <w:r>
              <w:rPr>
                <w:rFonts w:ascii="DejaVu Sans Mono" w:hAnsi="DejaVu Sans Mono"/>
                <w:b w:val="0"/>
                <w:i w:val="0"/>
                <w:color w:val="19232D"/>
                <w:sz w:val="16"/>
              </w:rPr>
              <w:t xml:space="preserve">  host, runner boot, profile, harness/provider binding</w:t>
            </w:r>
            <w:r>
              <w:br/>
            </w:r>
            <w:r>
              <w:rPr>
                <w:rFonts w:ascii="DejaVu Sans Mono" w:hAnsi="DejaVu Sans Mono"/>
                <w:b w:val="0"/>
                <w:i w:val="0"/>
                <w:color w:val="19232D"/>
                <w:sz w:val="16"/>
              </w:rPr>
              <w:t xml:space="preserve">  workspace fingerprints</w:t>
            </w:r>
            <w:r>
              <w:br/>
            </w:r>
            <w:r>
              <w:rPr>
                <w:rFonts w:ascii="DejaVu Sans Mono" w:hAnsi="DejaVu Sans Mono"/>
                <w:b w:val="0"/>
                <w:i w:val="0"/>
                <w:color w:val="19232D"/>
                <w:sz w:val="16"/>
              </w:rPr>
              <w:t xml:space="preserve">  effect kind, channel, target, payload hashes</w:t>
            </w:r>
            <w:r>
              <w:br/>
            </w:r>
            <w:r>
              <w:rPr>
                <w:rFonts w:ascii="DejaVu Sans Mono" w:hAnsi="DejaVu Sans Mono"/>
                <w:b w:val="0"/>
                <w:i w:val="0"/>
                <w:color w:val="19232D"/>
                <w:sz w:val="16"/>
              </w:rPr>
              <w:t xml:space="preserve">  requested credential class and prior grants/leases</w:t>
            </w:r>
            <w:r>
              <w:br/>
            </w:r>
            <w:r>
              <w:rPr>
                <w:rFonts w:ascii="DejaVu Sans Mono" w:hAnsi="DejaVu Sans Mono"/>
                <w:b w:val="0"/>
                <w:i w:val="0"/>
                <w:color w:val="19232D"/>
                <w:sz w:val="16"/>
              </w:rPr>
            </w:r>
            <w:r>
              <w:br/>
            </w:r>
            <w:r>
              <w:rPr>
                <w:rFonts w:ascii="DejaVu Sans Mono" w:hAnsi="DejaVu Sans Mono"/>
                <w:b w:val="0"/>
                <w:i w:val="0"/>
                <w:color w:val="19232D"/>
                <w:sz w:val="16"/>
              </w:rPr>
              <w:t>Excludes:</w:t>
            </w:r>
            <w:r>
              <w:br/>
            </w:r>
            <w:r>
              <w:rPr>
                <w:rFonts w:ascii="DejaVu Sans Mono" w:hAnsi="DejaVu Sans Mono"/>
                <w:b w:val="0"/>
                <w:i w:val="0"/>
                <w:color w:val="19232D"/>
                <w:sz w:val="16"/>
              </w:rPr>
              <w:t xml:space="preserve">  secret values</w:t>
            </w:r>
            <w:r>
              <w:br/>
            </w:r>
            <w:r>
              <w:rPr>
                <w:rFonts w:ascii="DejaVu Sans Mono" w:hAnsi="DejaVu Sans Mono"/>
                <w:b w:val="0"/>
                <w:i w:val="0"/>
                <w:color w:val="19232D"/>
                <w:sz w:val="16"/>
              </w:rPr>
              <w:t xml:space="preserve">  raw environment</w:t>
            </w:r>
            <w:r>
              <w:br/>
            </w:r>
            <w:r>
              <w:rPr>
                <w:rFonts w:ascii="DejaVu Sans Mono" w:hAnsi="DejaVu Sans Mono"/>
                <w:b w:val="0"/>
                <w:i w:val="0"/>
                <w:color w:val="19232D"/>
                <w:sz w:val="16"/>
              </w:rPr>
              <w:t xml:space="preserve">  manifest bodies when hash + stable artifact reference suffice</w:t>
            </w:r>
          </w:p>
        </w:tc>
      </w:tr>
    </w:tbl>
    <w:p>
      <w:pPr>
        <w:spacing w:after="0"/>
      </w:pPr>
    </w:p>
    <w:p>
      <w:pPr>
        <w:pStyle w:val="Heading1"/>
      </w:pPr>
      <w:r>
        <w:t>Appendix C. Failure-injection matrix</w:t>
      </w:r>
    </w:p>
    <w:tbl>
      <w:tblPr>
        <w:tblW w:type="auto" w:w="0"/>
        <w:jc w:val="center"/>
        <w:tblLayout w:type="fixed"/>
        <w:tblLook w:firstColumn="1" w:firstRow="1" w:lastColumn="0" w:lastRow="0" w:noHBand="0" w:noVBand="1" w:val="04A0"/>
      </w:tblPr>
      <w:tblGrid>
        <w:gridCol w:w="4933"/>
        <w:gridCol w:w="4933"/>
      </w:tblGrid>
      <w:tr>
        <w:trPr>
          <w:tblHeader w:val="true"/>
          <w:cantSplit/>
        </w:trPr>
        <w:tc>
          <w:tcPr>
            <w:tcW w:type="dxa" w:w="3741"/>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6"/>
              </w:rPr>
              <w:t>Scenario</w:t>
            </w:r>
          </w:p>
        </w:tc>
        <w:tc>
          <w:tcPr>
            <w:tcW w:type="dxa" w:w="6009"/>
            <w:shd w:fill="265F78"/>
            <w:vAlign w:val="center"/>
            <w:tcBorders>
              <w:top w:val="single" w:sz="4" w:color="CDD6DC"/>
              <w:left w:val="single" w:sz="4" w:color="CDD6DC"/>
              <w:bottom w:val="single" w:sz="4" w:color="CDD6DC"/>
              <w:right w:val="single" w:sz="4" w:color="CDD6DC"/>
            </w:tcBorders>
          </w:tcPr>
          <w:p>
            <w:pPr>
              <w:spacing w:after="0"/>
            </w:pPr>
            <w:r>
              <w:rPr>
                <w:rFonts w:ascii="Inter" w:hAnsi="Inter"/>
                <w:b/>
                <w:i w:val="0"/>
                <w:color w:val="FFFFFF"/>
                <w:sz w:val="16"/>
              </w:rPr>
              <w:t>Expected outcome</w:t>
            </w:r>
          </w:p>
        </w:tc>
      </w:tr>
      <w:tr>
        <w:trPr>
          <w:cantSplit/>
        </w:trPr>
        <w:tc>
          <w:tcPr>
            <w:tcW w:type="dxa" w:w="374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Control API restart during active ACP turn</w:t>
            </w:r>
          </w:p>
        </w:tc>
        <w:tc>
          <w:tcPr>
            <w:tcW w:type="dxa" w:w="6009"/>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Runner replays updates from watermark; no duplicate prompt; run remains recoverable.</w:t>
            </w:r>
          </w:p>
        </w:tc>
      </w:tr>
      <w:tr>
        <w:trPr>
          <w:cantSplit/>
        </w:trPr>
        <w:tc>
          <w:tcPr>
            <w:tcW w:type="dxa" w:w="374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Runner loses cluster connectivity</w:t>
            </w:r>
          </w:p>
        </w:tc>
        <w:tc>
          <w:tcPr>
            <w:tcW w:type="dxa" w:w="6009"/>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Existing allowed local work continues; no new claims or elevated credentials; events spool.</w:t>
            </w:r>
          </w:p>
        </w:tc>
      </w:tr>
      <w:tr>
        <w:trPr>
          <w:cantSplit/>
        </w:trPr>
        <w:tc>
          <w:tcPr>
            <w:tcW w:type="dxa" w:w="374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Runner restarts with unacknowledged events</w:t>
            </w:r>
          </w:p>
        </w:tc>
        <w:tc>
          <w:tcPr>
            <w:tcW w:type="dxa" w:w="6009"/>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New runner_instance_ref; WAL replays; stale boot cannot settle.</w:t>
            </w:r>
          </w:p>
        </w:tc>
      </w:tr>
      <w:tr>
        <w:trPr>
          <w:cantSplit/>
        </w:trPr>
        <w:tc>
          <w:tcPr>
            <w:tcW w:type="dxa" w:w="374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Old runner reconnects after replacement</w:t>
            </w:r>
          </w:p>
        </w:tc>
        <w:tc>
          <w:tcPr>
            <w:tcW w:type="dxa" w:w="6009"/>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Lease epoch rejects writes, credential tickets, grants, and child creation.</w:t>
            </w:r>
          </w:p>
        </w:tc>
      </w:tr>
      <w:tr>
        <w:trPr>
          <w:cantSplit/>
        </w:trPr>
        <w:tc>
          <w:tcPr>
            <w:tcW w:type="dxa" w:w="374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Harness dies after external effect</w:t>
            </w:r>
          </w:p>
        </w:tc>
        <w:tc>
          <w:tcPr>
            <w:tcW w:type="dxa" w:w="6009"/>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Run becomes uncertain/interrupted; Outctl evidence is available; no automatic replay.</w:t>
            </w:r>
          </w:p>
        </w:tc>
      </w:tr>
      <w:tr>
        <w:trPr>
          <w:cantSplit/>
        </w:trPr>
        <w:tc>
          <w:tcPr>
            <w:tcW w:type="dxa" w:w="374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Duplicate event and settle requests</w:t>
            </w:r>
          </w:p>
        </w:tc>
        <w:tc>
          <w:tcPr>
            <w:tcW w:type="dxa" w:w="6009"/>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Idempotency produces one event sequence and one final result.</w:t>
            </w:r>
          </w:p>
        </w:tc>
      </w:tr>
      <w:tr>
        <w:trPr>
          <w:cantSplit/>
        </w:trPr>
        <w:tc>
          <w:tcPr>
            <w:tcW w:type="dxa" w:w="374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cred-broker unavailable</w:t>
            </w:r>
          </w:p>
        </w:tc>
        <w:tc>
          <w:tcPr>
            <w:tcW w:type="dxa" w:w="6009"/>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No new credentials; grant state remains intact; unrelated work continues.</w:t>
            </w:r>
          </w:p>
        </w:tc>
      </w:tr>
      <w:tr>
        <w:trPr>
          <w:cantSplit/>
        </w:trPr>
        <w:tc>
          <w:tcPr>
            <w:tcW w:type="dxa" w:w="374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OpenBao unavailable behind broker</w:t>
            </w:r>
          </w:p>
        </w:tc>
        <w:tc>
          <w:tcPr>
            <w:tcW w:type="dxa" w:w="6009"/>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Broker reports provider failure; no secret fallback; unrelated work continues.</w:t>
            </w:r>
          </w:p>
        </w:tc>
      </w:tr>
      <w:tr>
        <w:trPr>
          <w:cantSplit/>
        </w:trPr>
        <w:tc>
          <w:tcPr>
            <w:tcW w:type="dxa" w:w="374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Credential expires mid-run</w:t>
            </w:r>
          </w:p>
        </w:tc>
        <w:tc>
          <w:tcPr>
            <w:tcW w:type="dxa" w:w="6009"/>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Renewal follows class policy; failure is explicit; material is removed.</w:t>
            </w:r>
          </w:p>
        </w:tc>
      </w:tr>
      <w:tr>
        <w:trPr>
          <w:cantSplit/>
        </w:trPr>
        <w:tc>
          <w:tcPr>
            <w:tcW w:type="dxa" w:w="374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OPA unavailable in observe mode</w:t>
            </w:r>
          </w:p>
        </w:tc>
        <w:tc>
          <w:tcPr>
            <w:tcW w:type="dxa" w:w="6009"/>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Evaluation failure recorded; work continues.</w:t>
            </w:r>
          </w:p>
        </w:tc>
      </w:tr>
      <w:tr>
        <w:trPr>
          <w:cantSplit/>
        </w:trPr>
        <w:tc>
          <w:tcPr>
            <w:tcW w:type="dxa" w:w="374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OPA unavailable in enforcement mode</w:t>
            </w:r>
          </w:p>
        </w:tc>
        <w:tc>
          <w:tcPr>
            <w:tcW w:type="dxa" w:w="6009"/>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Declared consequential effects fail closed; local-safe work follows policy.</w:t>
            </w:r>
          </w:p>
        </w:tc>
      </w:tr>
      <w:tr>
        <w:trPr>
          <w:cantSplit/>
        </w:trPr>
        <w:tc>
          <w:tcPr>
            <w:tcW w:type="dxa" w:w="374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200 MB output contains synthetic secrets</w:t>
            </w:r>
          </w:p>
        </w:tc>
        <w:tc>
          <w:tcPr>
            <w:tcW w:type="dxa" w:w="6009"/>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No plaintext central retention; manifest records redaction and raw expiry.</w:t>
            </w:r>
          </w:p>
        </w:tc>
      </w:tr>
      <w:tr>
        <w:trPr>
          <w:cantSplit/>
        </w:trPr>
        <w:tc>
          <w:tcPr>
            <w:tcW w:type="dxa" w:w="374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N-1 runner/broker during upgrade</w:t>
            </w:r>
          </w:p>
        </w:tc>
        <w:tc>
          <w:tcPr>
            <w:tcW w:type="dxa" w:w="6009"/>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Compatible work drains; incompatible claims/tickets are rejected before effect.</w:t>
            </w:r>
          </w:p>
        </w:tc>
      </w:tr>
      <w:tr>
        <w:trPr>
          <w:cantSplit/>
        </w:trPr>
        <w:tc>
          <w:tcPr>
            <w:tcW w:type="dxa" w:w="3741"/>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Cross-host handoff</w:t>
            </w:r>
          </w:p>
        </w:tc>
        <w:tc>
          <w:tcPr>
            <w:tcW w:type="dxa" w:w="6009"/>
            <w:vAlign w:val="top"/>
            <w:tcBorders>
              <w:top w:val="single" w:sz="4" w:color="CDD6DC"/>
              <w:left w:val="single" w:sz="4" w:color="CDD6DC"/>
              <w:bottom w:val="single" w:sz="4" w:color="CDD6DC"/>
              <w:right w:val="single" w:sz="4" w:color="CDD6DC"/>
            </w:tcBorders>
            <w:shd w:fill="F7F9FA"/>
          </w:tcPr>
          <w:p>
            <w:pPr>
              <w:spacing w:after="0" w:line="240" w:lineRule="auto"/>
            </w:pPr>
            <w:r>
              <w:rPr>
                <w:rFonts w:ascii="Inter" w:hAnsi="Inter"/>
                <w:b w:val="0"/>
                <w:i w:val="0"/>
                <w:color w:val="19232D"/>
                <w:sz w:val="16"/>
              </w:rPr>
              <w:t>Successor receives Git/evidence/plan state; opaque provider session is not assumed portable.</w:t>
            </w:r>
          </w:p>
        </w:tc>
      </w:tr>
      <w:tr>
        <w:trPr>
          <w:cantSplit/>
        </w:trPr>
        <w:tc>
          <w:tcPr>
            <w:tcW w:type="dxa" w:w="3741"/>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Capacity pool exhausted</w:t>
            </w:r>
          </w:p>
        </w:tc>
        <w:tc>
          <w:tcPr>
            <w:tcW w:type="dxa" w:w="6009"/>
            <w:vAlign w:val="top"/>
            <w:tcBorders>
              <w:top w:val="single" w:sz="4" w:color="CDD6DC"/>
              <w:left w:val="single" w:sz="4" w:color="CDD6DC"/>
              <w:bottom w:val="single" w:sz="4" w:color="CDD6DC"/>
              <w:right w:val="single" w:sz="4" w:color="CDD6DC"/>
            </w:tcBorders>
          </w:tcPr>
          <w:p>
            <w:pPr>
              <w:spacing w:after="0" w:line="240" w:lineRule="auto"/>
            </w:pPr>
            <w:r>
              <w:rPr>
                <w:rFonts w:ascii="Inter" w:hAnsi="Inter"/>
                <w:b w:val="0"/>
                <w:i w:val="0"/>
                <w:color w:val="19232D"/>
                <w:sz w:val="16"/>
              </w:rPr>
              <w:t>Path enters blocked_capacity and resumes after slot release.</w:t>
            </w:r>
          </w:p>
        </w:tc>
      </w:tr>
    </w:tbl>
    <w:p>
      <w:pPr>
        <w:spacing w:after="0"/>
      </w:pPr>
    </w:p>
    <w:sectPr w:rsidR="00FC693F" w:rsidRPr="0006063C" w:rsidSect="00034616">
      <w:headerReference w:type="default" r:id="rId15"/>
      <w:footerReference w:type="default" r:id="rId16"/>
      <w:pgSz w:w="11906" w:h="16838"/>
      <w:pgMar w:top="964" w:right="1020" w:bottom="907" w:left="1020"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3289"/>
      <w:gridCol w:w="3289"/>
      <w:gridCol w:w="3289"/>
    </w:tblGrid>
    <w:tr>
      <w:tc>
        <w:tcPr>
          <w:tcW w:type="dxa" w:w="3289"/>
          <w:tcBorders>
            <w:top w:val="nil"/>
            <w:left w:val="nil"/>
            <w:bottom w:val="nil"/>
            <w:right w:val="nil"/>
          </w:tcBorders>
        </w:tcPr>
        <w:p>
          <w:pPr>
            <w:jc w:val="left"/>
          </w:pPr>
          <w:r>
            <w:rPr>
              <w:rFonts w:ascii="Inter" w:hAnsi="Inter"/>
              <w:b w:val="0"/>
              <w:i w:val="0"/>
              <w:color w:val="5B6874"/>
              <w:sz w:val="15"/>
            </w:rPr>
            <w:t>VUORO-CP-2026-01</w:t>
          </w:r>
        </w:p>
      </w:tc>
      <w:tc>
        <w:tcPr>
          <w:tcW w:type="dxa" w:w="3289"/>
          <w:tcBorders>
            <w:top w:val="nil"/>
            <w:left w:val="nil"/>
            <w:bottom w:val="nil"/>
            <w:right w:val="nil"/>
          </w:tcBorders>
        </w:tcPr>
        <w:p>
          <w:pPr>
            <w:jc w:val="center"/>
          </w:pPr>
          <w:r>
            <w:rPr>
              <w:rFonts w:ascii="Inter" w:hAnsi="Inter"/>
              <w:b w:val="0"/>
              <w:i w:val="0"/>
              <w:color w:val="5B6874"/>
              <w:sz w:val="15"/>
            </w:rPr>
            <w:t>Implementation planner</w:t>
          </w:r>
        </w:p>
      </w:tc>
      <w:tc>
        <w:tcPr>
          <w:tcW w:type="dxa" w:w="3289"/>
          <w:tcBorders>
            <w:top w:val="nil"/>
            <w:left w:val="nil"/>
            <w:bottom w:val="nil"/>
            <w:right w:val="nil"/>
          </w:tcBorders>
        </w:tcPr>
        <w:p>
          <w:pPr>
            <w:jc w:val="right"/>
          </w:pPr>
          <w:r>
            <w:rPr>
              <w:rFonts w:ascii="Inter" w:hAnsi="Inter"/>
              <w:b w:val="0"/>
              <w:i w:val="0"/>
              <w:color w:val="5B6874"/>
              <w:sz w:val="15"/>
            </w:rPr>
            <w:t xml:space="preserve">Page </w:t>
          </w:r>
          <w:r>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5121"/>
      <w:gridCol w:w="5121"/>
      <w:gridCol w:w="5121"/>
    </w:tblGrid>
    <w:tr>
      <w:tc>
        <w:tcPr>
          <w:tcW w:type="dxa" w:w="5121"/>
          <w:tcBorders>
            <w:top w:val="nil"/>
            <w:left w:val="nil"/>
            <w:bottom w:val="nil"/>
            <w:right w:val="nil"/>
          </w:tcBorders>
        </w:tcPr>
        <w:p>
          <w:pPr>
            <w:jc w:val="left"/>
          </w:pPr>
          <w:r>
            <w:rPr>
              <w:rFonts w:ascii="Inter" w:hAnsi="Inter"/>
              <w:b w:val="0"/>
              <w:i w:val="0"/>
              <w:color w:val="5B6874"/>
              <w:sz w:val="15"/>
            </w:rPr>
            <w:t>VUORO-CP-2026-01</w:t>
          </w:r>
        </w:p>
      </w:tc>
      <w:tc>
        <w:tcPr>
          <w:tcW w:type="dxa" w:w="5121"/>
          <w:tcBorders>
            <w:top w:val="nil"/>
            <w:left w:val="nil"/>
            <w:bottom w:val="nil"/>
            <w:right w:val="nil"/>
          </w:tcBorders>
        </w:tcPr>
        <w:p>
          <w:pPr>
            <w:jc w:val="center"/>
          </w:pPr>
          <w:r>
            <w:rPr>
              <w:rFonts w:ascii="Inter" w:hAnsi="Inter"/>
              <w:b w:val="0"/>
              <w:i w:val="0"/>
              <w:color w:val="5B6874"/>
              <w:sz w:val="15"/>
            </w:rPr>
            <w:t>Implementation planner</w:t>
          </w:r>
        </w:p>
      </w:tc>
      <w:tc>
        <w:tcPr>
          <w:tcW w:type="dxa" w:w="5121"/>
          <w:tcBorders>
            <w:top w:val="nil"/>
            <w:left w:val="nil"/>
            <w:bottom w:val="nil"/>
            <w:right w:val="nil"/>
          </w:tcBorders>
        </w:tcPr>
        <w:p>
          <w:pPr>
            <w:jc w:val="right"/>
          </w:pPr>
          <w:r>
            <w:rPr>
              <w:rFonts w:ascii="Inter" w:hAnsi="Inter"/>
              <w:b w:val="0"/>
              <w:i w:val="0"/>
              <w:color w:val="5B6874"/>
              <w:sz w:val="15"/>
            </w:rPr>
            <w:t xml:space="preserve">Page </w:t>
          </w:r>
          <w:r>
            <w:fldChar w:fldCharType="begin"/>
            <w:instrText xml:space="preserve">PAGE</w:instrText>
            <w:fldChar w:fldCharType="end"/>
          </w:r>
        </w:p>
      </w:tc>
    </w:tr>
  </w:tbl>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Pr>
    <w:tblGrid>
      <w:gridCol w:w="3289"/>
      <w:gridCol w:w="3289"/>
      <w:gridCol w:w="3289"/>
    </w:tblGrid>
    <w:tr>
      <w:tc>
        <w:tcPr>
          <w:tcW w:type="dxa" w:w="3289"/>
          <w:tcBorders>
            <w:top w:val="nil"/>
            <w:left w:val="nil"/>
            <w:bottom w:val="nil"/>
            <w:right w:val="nil"/>
          </w:tcBorders>
        </w:tcPr>
        <w:p>
          <w:pPr>
            <w:jc w:val="left"/>
          </w:pPr>
          <w:r>
            <w:rPr>
              <w:rFonts w:ascii="Inter" w:hAnsi="Inter"/>
              <w:b w:val="0"/>
              <w:i w:val="0"/>
              <w:color w:val="5B6874"/>
              <w:sz w:val="15"/>
            </w:rPr>
            <w:t>VUORO-CP-2026-01</w:t>
          </w:r>
        </w:p>
      </w:tc>
      <w:tc>
        <w:tcPr>
          <w:tcW w:type="dxa" w:w="3289"/>
          <w:tcBorders>
            <w:top w:val="nil"/>
            <w:left w:val="nil"/>
            <w:bottom w:val="nil"/>
            <w:right w:val="nil"/>
          </w:tcBorders>
        </w:tcPr>
        <w:p>
          <w:pPr>
            <w:jc w:val="center"/>
          </w:pPr>
          <w:r>
            <w:rPr>
              <w:rFonts w:ascii="Inter" w:hAnsi="Inter"/>
              <w:b w:val="0"/>
              <w:i w:val="0"/>
              <w:color w:val="5B6874"/>
              <w:sz w:val="15"/>
            </w:rPr>
            <w:t>Implementation planner</w:t>
          </w:r>
        </w:p>
      </w:tc>
      <w:tc>
        <w:tcPr>
          <w:tcW w:type="dxa" w:w="3289"/>
          <w:tcBorders>
            <w:top w:val="nil"/>
            <w:left w:val="nil"/>
            <w:bottom w:val="nil"/>
            <w:right w:val="nil"/>
          </w:tcBorders>
        </w:tcPr>
        <w:p>
          <w:pPr>
            <w:jc w:val="right"/>
          </w:pPr>
          <w:r>
            <w:rPr>
              <w:rFonts w:ascii="Inter" w:hAnsi="Inter"/>
              <w:b w:val="0"/>
              <w:i w:val="0"/>
              <w:color w:val="5B6874"/>
              <w:sz w:val="15"/>
            </w:rPr>
            <w:t xml:space="preserve">Page </w:t>
          </w: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Inter" w:hAnsi="Inter"/>
        <w:b w:val="0"/>
        <w:i w:val="0"/>
        <w:color w:val="5B6874"/>
        <w:sz w:val="15"/>
      </w:rPr>
      <w:t>Vuoro implementation planner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Inter" w:hAnsi="Inter"/>
        <w:b w:val="0"/>
        <w:i w:val="0"/>
        <w:color w:val="5B6874"/>
        <w:sz w:val="15"/>
      </w:rPr>
      <w:t>Vuoro implementation planner — detailed backlog</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Inter" w:hAnsi="Inter"/>
        <w:b w:val="0"/>
        <w:i w:val="0"/>
        <w:color w:val="5B6874"/>
        <w:sz w:val="15"/>
      </w:rPr>
      <w:t>Vuoro implementation planner — contract sketches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Inter" w:hAnsi="Inter"/>
      <w:color w:val="1923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Inter Display" w:hAnsi="Inter Display"/>
      <w:b/>
      <w:bCs/>
      <w:color w:val="265F78"/>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Inter Display" w:hAnsi="Inter Display"/>
      <w:b/>
      <w:bCs/>
      <w:color w:val="19232D"/>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Inter" w:hAnsi="Inter"/>
      <w:b/>
      <w:bCs/>
      <w:color w:val="265F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Inter Display" w:hAnsi="Inter Display"/>
      <w:b/>
      <w:color w:val="19232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00"/>
    </w:pPr>
    <w:rPr>
      <w:rFonts w:asciiTheme="majorHAnsi" w:eastAsiaTheme="majorEastAsia" w:hAnsiTheme="majorHAnsi" w:cstheme="majorBidi" w:ascii="Inter" w:hAnsi="Inter"/>
      <w:b w:val="0"/>
      <w:i/>
      <w:iCs/>
      <w:color w:val="5B68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Inter" w:hAnsi="Inter"/>
      <w:sz w:val="18"/>
    </w:rPr>
  </w:style>
  <w:style w:type="paragraph" w:styleId="ListBullet2">
    <w:name w:val="List Bullet 2"/>
    <w:basedOn w:val="Normal"/>
    <w:uiPriority w:val="99"/>
    <w:unhideWhenUsed/>
    <w:rsid w:val="00326F90"/>
    <w:pPr>
      <w:numPr>
        <w:numId w:val="2"/>
      </w:numPr>
      <w:spacing w:after="40"/>
      <w:contextualSpacing/>
    </w:pPr>
    <w:rPr>
      <w:rFonts w:ascii="Inter" w:hAnsi="Inter"/>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Inter" w:hAnsi="Inter"/>
      <w:sz w:val="18"/>
    </w:rPr>
  </w:style>
  <w:style w:type="paragraph" w:styleId="ListNumber2">
    <w:name w:val="List Number 2"/>
    <w:basedOn w:val="Normal"/>
    <w:uiPriority w:val="99"/>
    <w:unhideWhenUsed/>
    <w:rsid w:val="0029639D"/>
    <w:pPr>
      <w:numPr>
        <w:numId w:val="6"/>
      </w:numPr>
      <w:spacing w:after="40"/>
      <w:contextualSpacing/>
    </w:pPr>
    <w:rPr>
      <w:rFonts w:ascii="Inter" w:hAnsi="Inter"/>
      <w:sz w:val="18"/>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