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3900E6CA"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r w:rsidR="00CF169D" w:rsidRPr="00CF169D">
        <w:rPr>
          <w:rFonts w:ascii="Arial" w:hAnsi="Arial" w:cs="Arial"/>
        </w:rPr>
        <w:t>Peiter Dorrestein</w:t>
      </w:r>
      <w:r w:rsidR="007022A4">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67B8D">
        <w:rPr>
          <w:rFonts w:ascii="Arial" w:hAnsi="Arial" w:cs="Arial"/>
          <w:vertAlign w:val="superscript"/>
        </w:rPr>
        <w:t>8</w:t>
      </w:r>
      <w:r w:rsidR="00CF169D" w:rsidRPr="00CF169D">
        <w:rPr>
          <w:rFonts w:ascii="Arial" w:hAnsi="Arial" w:cs="Arial"/>
        </w:rPr>
        <w:t>, Warren Rose</w:t>
      </w:r>
      <w:r w:rsidR="00C67B8D">
        <w:rPr>
          <w:rFonts w:ascii="Arial" w:hAnsi="Arial" w:cs="Arial"/>
          <w:vertAlign w:val="superscript"/>
        </w:rPr>
        <w:t>5</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 xml:space="preserve">Sharp Rees </w:t>
      </w:r>
      <w:proofErr w:type="spellStart"/>
      <w:r w:rsidR="00CF169D" w:rsidRPr="00CF169D">
        <w:rPr>
          <w:rFonts w:ascii="Arial" w:hAnsi="Arial" w:cs="Arial"/>
        </w:rPr>
        <w:t>Stealy</w:t>
      </w:r>
      <w:proofErr w:type="spellEnd"/>
      <w:r w:rsidR="00CF169D" w:rsidRPr="00CF169D">
        <w:rPr>
          <w:rFonts w:ascii="Arial" w:hAnsi="Arial" w:cs="Arial"/>
        </w:rPr>
        <w:t xml:space="preserve"> Medical</w:t>
      </w:r>
      <w:r w:rsidR="00AF378D">
        <w:rPr>
          <w:rFonts w:ascii="Arial" w:hAnsi="Arial" w:cs="Arial"/>
        </w:rPr>
        <w:t xml:space="preserve"> Group</w:t>
      </w:r>
      <w:r w:rsidR="00CF169D" w:rsidRPr="00CF169D">
        <w:rPr>
          <w:rFonts w:ascii="Arial" w:hAnsi="Arial" w:cs="Arial"/>
        </w:rPr>
        <w:t>, San Diego, CA</w:t>
      </w:r>
    </w:p>
    <w:p w14:paraId="7047EDBF" w14:textId="621AB587" w:rsidR="00CF169D" w:rsidRPr="00CF169D"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318FDA23" w14:textId="446009E0" w:rsidR="00E56505" w:rsidRPr="00E56505" w:rsidRDefault="00E56505" w:rsidP="00BC40EE">
      <w:pPr>
        <w:spacing w:line="480" w:lineRule="auto"/>
        <w:ind w:firstLine="720"/>
        <w:rPr>
          <w:rFonts w:ascii="Arial" w:hAnsi="Arial" w:cs="Arial"/>
          <w:iCs/>
        </w:rPr>
      </w:pPr>
      <w:r w:rsidRPr="00E56505">
        <w:rPr>
          <w:rFonts w:ascii="Arial" w:hAnsi="Arial" w:cs="Arial"/>
          <w:iCs/>
        </w:rPr>
        <w:t xml:space="preserve">Despite the prevalence and severity of Enterococcal bacteremia (EcB), </w:t>
      </w:r>
      <w:r>
        <w:rPr>
          <w:rFonts w:ascii="Arial" w:hAnsi="Arial" w:cs="Arial"/>
          <w:iCs/>
        </w:rPr>
        <w:t>detailed</w:t>
      </w:r>
      <w:r w:rsidRPr="00E56505">
        <w:rPr>
          <w:rFonts w:ascii="Arial" w:hAnsi="Arial" w:cs="Arial"/>
          <w:iCs/>
        </w:rPr>
        <w:t xml:space="preserve"> systemic host responses to EcB </w:t>
      </w:r>
      <w:r>
        <w:rPr>
          <w:rFonts w:ascii="Arial" w:hAnsi="Arial" w:cs="Arial"/>
          <w:iCs/>
        </w:rPr>
        <w:t>remain unclear</w:t>
      </w:r>
      <w:r w:rsidRPr="00E56505">
        <w:rPr>
          <w:rFonts w:ascii="Arial" w:hAnsi="Arial" w:cs="Arial"/>
          <w:iCs/>
        </w:rPr>
        <w:t xml:space="preserve">. </w:t>
      </w:r>
      <w:r>
        <w:rPr>
          <w:rFonts w:ascii="Arial" w:hAnsi="Arial" w:cs="Arial"/>
          <w:iCs/>
        </w:rPr>
        <w:t>Here w</w:t>
      </w:r>
      <w:r w:rsidRPr="00E56505">
        <w:rPr>
          <w:rFonts w:ascii="Arial" w:hAnsi="Arial" w:cs="Arial"/>
          <w:iCs/>
        </w:rPr>
        <w:t xml:space="preserve">e present an extensive study profiling molecular differences in EcB patient plasma using </w:t>
      </w:r>
      <w:r>
        <w:rPr>
          <w:rFonts w:ascii="Arial" w:hAnsi="Arial" w:cs="Arial"/>
          <w:iCs/>
        </w:rPr>
        <w:t>a</w:t>
      </w:r>
      <w:r w:rsidR="00BC40EE">
        <w:rPr>
          <w:rFonts w:ascii="Arial" w:hAnsi="Arial" w:cs="Arial"/>
          <w:iCs/>
        </w:rPr>
        <w:t xml:space="preserve">n </w:t>
      </w:r>
      <w:r w:rsidRPr="00E56505">
        <w:rPr>
          <w:rFonts w:ascii="Arial" w:hAnsi="Arial" w:cs="Arial"/>
          <w:iCs/>
        </w:rPr>
        <w:t>unbiased multi-omics</w:t>
      </w:r>
      <w:r>
        <w:rPr>
          <w:rFonts w:ascii="Arial" w:hAnsi="Arial" w:cs="Arial"/>
          <w:iCs/>
        </w:rPr>
        <w:t xml:space="preserve"> approach</w:t>
      </w:r>
      <w:r w:rsidRPr="00E56505">
        <w:rPr>
          <w:rFonts w:ascii="Arial" w:hAnsi="Arial" w:cs="Arial"/>
          <w:iCs/>
        </w:rPr>
        <w:t xml:space="preserve">. Shotgun proteomics and metabolomics were performed on 105 plasma samples, including EcB patients and healthy volunteers. </w:t>
      </w:r>
      <w:r>
        <w:rPr>
          <w:rFonts w:ascii="Arial" w:hAnsi="Arial" w:cs="Arial"/>
        </w:rPr>
        <w:t xml:space="preserve">Comparison between healthy volunteer and EcB-infected patient samples revealed significant disparities in proteins and metabolites involved in the acute phase response, inflammatory processes, and cholestasis, with </w:t>
      </w:r>
      <w:r w:rsidR="00DE65B5">
        <w:rPr>
          <w:rFonts w:ascii="Arial" w:hAnsi="Arial" w:cs="Arial"/>
        </w:rPr>
        <w:t>several</w:t>
      </w:r>
      <w:r>
        <w:rPr>
          <w:rFonts w:ascii="Arial" w:hAnsi="Arial" w:cs="Arial"/>
        </w:rPr>
        <w:t xml:space="preserve"> features distinguishing these two classes with remarkable accuracy. </w:t>
      </w:r>
      <w:r w:rsidRPr="00E56505">
        <w:rPr>
          <w:rFonts w:ascii="Arial" w:hAnsi="Arial" w:cs="Arial"/>
          <w:iCs/>
        </w:rPr>
        <w:t xml:space="preserve">Cross-referencing EcB signatures with those of </w:t>
      </w:r>
      <w:r w:rsidRPr="00E56505">
        <w:rPr>
          <w:rFonts w:ascii="Arial" w:hAnsi="Arial" w:cs="Arial"/>
          <w:i/>
        </w:rPr>
        <w:t>Staphylococcus aureus</w:t>
      </w:r>
      <w:r w:rsidRPr="00E56505">
        <w:rPr>
          <w:rFonts w:ascii="Arial" w:hAnsi="Arial" w:cs="Arial"/>
          <w:iCs/>
        </w:rPr>
        <w:t xml:space="preserve"> </w:t>
      </w:r>
      <w:r w:rsidR="00C63904">
        <w:rPr>
          <w:rFonts w:ascii="Arial" w:hAnsi="Arial" w:cs="Arial"/>
          <w:iCs/>
        </w:rPr>
        <w:t xml:space="preserve">bacteremia </w:t>
      </w:r>
      <w:r w:rsidRPr="00E56505">
        <w:rPr>
          <w:rFonts w:ascii="Arial" w:hAnsi="Arial" w:cs="Arial"/>
          <w:iCs/>
        </w:rPr>
        <w:t xml:space="preserve">showed shared reductions in cholesterol metabolism proteins, with </w:t>
      </w:r>
      <w:r>
        <w:rPr>
          <w:rFonts w:ascii="Arial" w:hAnsi="Arial" w:cs="Arial"/>
          <w:iCs/>
        </w:rPr>
        <w:t xml:space="preserve">deviating responses </w:t>
      </w:r>
      <w:r w:rsidRPr="00E56505">
        <w:rPr>
          <w:rFonts w:ascii="Arial" w:hAnsi="Arial" w:cs="Arial"/>
          <w:iCs/>
        </w:rPr>
        <w:t xml:space="preserve">in platelet alpha granule and neutrophil-associated proteins. Profiling Enterococcus isolates </w:t>
      </w:r>
      <w:r w:rsidR="00BC40EE">
        <w:rPr>
          <w:rFonts w:ascii="Arial" w:hAnsi="Arial" w:cs="Arial"/>
          <w:iCs/>
        </w:rPr>
        <w:t xml:space="preserve">derived from patients </w:t>
      </w:r>
      <w:r w:rsidRPr="00E56505">
        <w:rPr>
          <w:rFonts w:ascii="Arial" w:hAnsi="Arial" w:cs="Arial"/>
          <w:iCs/>
        </w:rPr>
        <w:t xml:space="preserve">allowed </w:t>
      </w:r>
      <w:r w:rsidR="00BC40EE">
        <w:rPr>
          <w:rFonts w:ascii="Arial" w:hAnsi="Arial" w:cs="Arial"/>
          <w:iCs/>
        </w:rPr>
        <w:t xml:space="preserve">for </w:t>
      </w:r>
      <w:r w:rsidRPr="00E56505">
        <w:rPr>
          <w:rFonts w:ascii="Arial" w:hAnsi="Arial" w:cs="Arial"/>
          <w:iCs/>
        </w:rPr>
        <w:t xml:space="preserve">a nuanced comparison between EcB caused by </w:t>
      </w:r>
      <w:r w:rsidRPr="00E56505">
        <w:rPr>
          <w:rFonts w:ascii="Arial" w:hAnsi="Arial" w:cs="Arial"/>
          <w:i/>
        </w:rPr>
        <w:t>E. faecalis</w:t>
      </w:r>
      <w:r w:rsidRPr="00E56505">
        <w:rPr>
          <w:rFonts w:ascii="Arial" w:hAnsi="Arial" w:cs="Arial"/>
          <w:iCs/>
        </w:rPr>
        <w:t xml:space="preserve"> and E</w:t>
      </w:r>
      <w:r w:rsidRPr="00E56505">
        <w:rPr>
          <w:rFonts w:ascii="Arial" w:hAnsi="Arial" w:cs="Arial"/>
          <w:i/>
        </w:rPr>
        <w:t>. faecium,</w:t>
      </w:r>
      <w:r w:rsidRPr="00E56505">
        <w:rPr>
          <w:rFonts w:ascii="Arial" w:hAnsi="Arial" w:cs="Arial"/>
          <w:iCs/>
        </w:rPr>
        <w:t xml:space="preserve"> </w:t>
      </w:r>
      <w:r>
        <w:rPr>
          <w:rFonts w:ascii="Arial" w:hAnsi="Arial" w:cs="Arial"/>
          <w:iCs/>
        </w:rPr>
        <w:t>uncovering</w:t>
      </w:r>
      <w:r w:rsidRPr="00E56505">
        <w:rPr>
          <w:rFonts w:ascii="Arial" w:hAnsi="Arial" w:cs="Arial"/>
          <w:iCs/>
        </w:rPr>
        <w:t xml:space="preserve"> reduced immunoglobulin abundances in </w:t>
      </w:r>
      <w:r w:rsidRPr="00E56505">
        <w:rPr>
          <w:rFonts w:ascii="Arial" w:hAnsi="Arial" w:cs="Arial"/>
          <w:i/>
        </w:rPr>
        <w:t>E. faecium</w:t>
      </w:r>
      <w:r w:rsidRPr="00E56505">
        <w:rPr>
          <w:rFonts w:ascii="Arial" w:hAnsi="Arial" w:cs="Arial"/>
          <w:iCs/>
        </w:rPr>
        <w:t xml:space="preserve"> cases</w:t>
      </w:r>
      <w:r>
        <w:rPr>
          <w:rFonts w:ascii="Arial" w:hAnsi="Arial" w:cs="Arial"/>
          <w:iCs/>
        </w:rPr>
        <w:t xml:space="preserve"> and features capable of distinguishing the underlying microbe behind infection with moderate accuracy</w:t>
      </w:r>
      <w:r w:rsidRPr="00E56505">
        <w:rPr>
          <w:rFonts w:ascii="Arial" w:hAnsi="Arial" w:cs="Arial"/>
          <w:iCs/>
        </w:rPr>
        <w:t>. Leveraging</w:t>
      </w:r>
      <w:r w:rsidR="00BC40EE">
        <w:rPr>
          <w:rFonts w:ascii="Arial" w:hAnsi="Arial" w:cs="Arial"/>
          <w:iCs/>
        </w:rPr>
        <w:t xml:space="preserve"> extensive</w:t>
      </w:r>
      <w:r w:rsidRPr="00E56505">
        <w:rPr>
          <w:rFonts w:ascii="Arial" w:hAnsi="Arial" w:cs="Arial"/>
          <w:iCs/>
        </w:rPr>
        <w:t xml:space="preserve"> patient metadata</w:t>
      </w:r>
      <w:r w:rsidR="00BC40EE">
        <w:rPr>
          <w:rFonts w:ascii="Arial" w:hAnsi="Arial" w:cs="Arial"/>
          <w:iCs/>
        </w:rPr>
        <w:t xml:space="preserve"> allowed us to identify</w:t>
      </w:r>
      <w:r w:rsidRPr="00E56505">
        <w:rPr>
          <w:rFonts w:ascii="Arial" w:hAnsi="Arial" w:cs="Arial"/>
          <w:iCs/>
        </w:rPr>
        <w:t xml:space="preserve"> features associated with mortality or survival, revealing significant multi-omic differences and pinpointing HRG and FETUB as </w:t>
      </w:r>
      <w:r>
        <w:rPr>
          <w:rFonts w:ascii="Arial" w:hAnsi="Arial" w:cs="Arial"/>
          <w:iCs/>
        </w:rPr>
        <w:t>features capable of distinguishing</w:t>
      </w:r>
      <w:r w:rsidRPr="00E56505">
        <w:rPr>
          <w:rFonts w:ascii="Arial" w:hAnsi="Arial" w:cs="Arial"/>
          <w:iCs/>
        </w:rPr>
        <w:t xml:space="preserve"> survival </w:t>
      </w:r>
      <w:r>
        <w:rPr>
          <w:rFonts w:ascii="Arial" w:hAnsi="Arial" w:cs="Arial"/>
          <w:iCs/>
        </w:rPr>
        <w:t xml:space="preserve">status </w:t>
      </w:r>
      <w:r w:rsidR="00BC40EE">
        <w:rPr>
          <w:rFonts w:ascii="Arial" w:hAnsi="Arial" w:cs="Arial"/>
          <w:iCs/>
        </w:rPr>
        <w:t>with excellent accuracy</w:t>
      </w:r>
      <w:r w:rsidRPr="00E56505">
        <w:rPr>
          <w:rFonts w:ascii="Arial" w:hAnsi="Arial" w:cs="Arial"/>
          <w:iCs/>
        </w:rPr>
        <w:t xml:space="preserve">. </w:t>
      </w:r>
      <w:r>
        <w:rPr>
          <w:rFonts w:ascii="Arial" w:hAnsi="Arial" w:cs="Arial"/>
        </w:rPr>
        <w:t>Altogether, this</w:t>
      </w:r>
      <w:r w:rsidRPr="003411CE">
        <w:rPr>
          <w:rFonts w:ascii="Arial" w:hAnsi="Arial" w:cs="Arial"/>
        </w:rPr>
        <w:t xml:space="preserve"> endeavor </w:t>
      </w:r>
      <w:r>
        <w:rPr>
          <w:rFonts w:ascii="Arial" w:hAnsi="Arial" w:cs="Arial"/>
        </w:rPr>
        <w:t>aspires</w:t>
      </w:r>
      <w:r w:rsidRPr="003411CE">
        <w:rPr>
          <w:rFonts w:ascii="Arial" w:hAnsi="Arial" w:cs="Arial"/>
        </w:rPr>
        <w:t xml:space="preserve"> to culminate in the creation of objective risk stratification algorithm</w:t>
      </w:r>
      <w:r>
        <w:rPr>
          <w:rFonts w:ascii="Arial" w:hAnsi="Arial" w:cs="Arial"/>
        </w:rPr>
        <w:t xml:space="preserve">s </w:t>
      </w:r>
      <w:r w:rsidRPr="003411CE">
        <w:rPr>
          <w:rFonts w:ascii="Arial" w:hAnsi="Arial" w:cs="Arial"/>
        </w:rPr>
        <w:t>—a pivotal step toward enhancing patient management and care.</w:t>
      </w:r>
      <w:r w:rsidRPr="001C28B5">
        <w:rPr>
          <w:rFonts w:ascii="Arial" w:hAnsi="Arial" w:cs="Arial"/>
        </w:rPr>
        <w:t xml:space="preserve"> </w:t>
      </w:r>
      <w:r w:rsidRPr="00E56505">
        <w:rPr>
          <w:rFonts w:ascii="Arial" w:hAnsi="Arial" w:cs="Arial"/>
          <w:iCs/>
        </w:rPr>
        <w:t>To aid exploration</w:t>
      </w:r>
      <w:r>
        <w:rPr>
          <w:rFonts w:ascii="Arial" w:hAnsi="Arial" w:cs="Arial"/>
          <w:iCs/>
        </w:rPr>
        <w:t xml:space="preserve"> of this rich data source</w:t>
      </w:r>
      <w:r w:rsidRPr="00E56505">
        <w:rPr>
          <w:rFonts w:ascii="Arial" w:hAnsi="Arial" w:cs="Arial"/>
          <w:iCs/>
        </w:rPr>
        <w:t xml:space="preserve">, we </w:t>
      </w:r>
      <w:r>
        <w:rPr>
          <w:rFonts w:ascii="Arial" w:hAnsi="Arial" w:cs="Arial"/>
          <w:iCs/>
        </w:rPr>
        <w:t>provide</w:t>
      </w:r>
      <w:r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4DE34E5C" w:rsidR="008728FA" w:rsidRDefault="002E2AD9" w:rsidP="002247E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disparities in the metabolome and proteome associated with infection presence, </w:t>
      </w:r>
      <w:r w:rsidR="00CB5F26">
        <w:rPr>
          <w:rFonts w:ascii="Arial" w:hAnsi="Arial" w:cs="Arial"/>
        </w:rPr>
        <w:t>species</w:t>
      </w:r>
      <w:r w:rsidRPr="002E2AD9">
        <w:rPr>
          <w:rFonts w:ascii="Arial" w:hAnsi="Arial" w:cs="Arial"/>
        </w:rPr>
        <w:t xml:space="preserve">, and survival outcome. </w:t>
      </w:r>
      <w:r w:rsidR="00DE65B5">
        <w:rPr>
          <w:rFonts w:ascii="Arial" w:hAnsi="Arial" w:cs="Arial"/>
        </w:rPr>
        <w:t>We also</w:t>
      </w:r>
      <w:r>
        <w:rPr>
          <w:rFonts w:ascii="Arial" w:hAnsi="Arial" w:cs="Arial"/>
        </w:rPr>
        <w:t xml:space="preserve"> </w:t>
      </w:r>
      <w:r w:rsidRPr="002E2AD9">
        <w:rPr>
          <w:rFonts w:ascii="Arial" w:hAnsi="Arial" w:cs="Arial"/>
        </w:rPr>
        <w:t>identif</w:t>
      </w:r>
      <w:r>
        <w:rPr>
          <w:rFonts w:ascii="Arial" w:hAnsi="Arial" w:cs="Arial"/>
        </w:rPr>
        <w:t>y</w:t>
      </w:r>
      <w:r w:rsidRPr="002E2AD9">
        <w:rPr>
          <w:rFonts w:ascii="Arial" w:hAnsi="Arial" w:cs="Arial"/>
        </w:rPr>
        <w:t xml:space="preserve"> features capable of discriminating EcB infection from healthy states and survival from mortality with excellent accuracy, </w:t>
      </w:r>
      <w:r w:rsidR="00DE65B5">
        <w:rPr>
          <w:rFonts w:ascii="Arial" w:hAnsi="Arial" w:cs="Arial"/>
        </w:rPr>
        <w:t xml:space="preserve">suggesting the </w:t>
      </w:r>
      <w:r w:rsidRPr="002E2AD9">
        <w:rPr>
          <w:rFonts w:ascii="Arial" w:hAnsi="Arial" w:cs="Arial"/>
        </w:rPr>
        <w:t xml:space="preserve">potential </w:t>
      </w:r>
      <w:r w:rsidR="002247E0">
        <w:rPr>
          <w:rFonts w:ascii="Arial" w:hAnsi="Arial" w:cs="Arial"/>
        </w:rPr>
        <w:t xml:space="preserve">for </w:t>
      </w:r>
      <w:r w:rsidRPr="002E2AD9">
        <w:rPr>
          <w:rFonts w:ascii="Arial" w:hAnsi="Arial" w:cs="Arial"/>
        </w:rPr>
        <w:t>practical clinical utility.</w:t>
      </w:r>
      <w:r w:rsidR="00DE65B5">
        <w:rPr>
          <w:rFonts w:ascii="Arial" w:hAnsi="Arial" w:cs="Arial"/>
        </w:rPr>
        <w:t xml:space="preserve"> </w:t>
      </w:r>
      <w:r w:rsidR="00077760">
        <w:rPr>
          <w:rFonts w:ascii="Arial" w:hAnsi="Arial" w:cs="Arial"/>
        </w:rPr>
        <w:t>We additionally establish</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EcB show 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DE65B5">
        <w:rPr>
          <w:rFonts w:ascii="Arial" w:hAnsi="Arial" w:cs="Arial"/>
        </w:rPr>
        <w:t xml:space="preserve"> that </w:t>
      </w:r>
      <w:r w:rsidR="00077760">
        <w:rPr>
          <w:rFonts w:ascii="Arial" w:hAnsi="Arial" w:cs="Arial"/>
        </w:rPr>
        <w:t>is</w:t>
      </w:r>
      <w:r w:rsidR="00DE65B5">
        <w:rPr>
          <w:rFonts w:ascii="Arial" w:hAnsi="Arial" w:cs="Arial"/>
        </w:rPr>
        <w:t xml:space="preserve"> </w:t>
      </w:r>
      <w:r w:rsidR="002247E0" w:rsidRPr="002247E0">
        <w:rPr>
          <w:rFonts w:ascii="Arial" w:hAnsi="Arial" w:cs="Arial"/>
        </w:rPr>
        <w:t xml:space="preserve">unlikely 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ly used</w:t>
      </w:r>
      <w:r w:rsidR="002247E0" w:rsidRPr="002247E0">
        <w:rPr>
          <w:rFonts w:ascii="Arial" w:hAnsi="Arial" w:cs="Arial"/>
        </w:rPr>
        <w:t xml:space="preserve"> clinical diagnostic</w:t>
      </w:r>
      <w:r w:rsidR="002247E0">
        <w:rPr>
          <w:rFonts w:ascii="Arial" w:hAnsi="Arial" w:cs="Arial"/>
        </w:rPr>
        <w:t xml:space="preserve"> methods.</w:t>
      </w:r>
      <w:r w:rsidR="00077760" w:rsidRPr="00077760">
        <w:t xml:space="preserve"> </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 xml:space="preserve">have </w:t>
      </w:r>
      <w:r w:rsidR="00D93400">
        <w:rPr>
          <w:rFonts w:ascii="Arial" w:hAnsi="Arial" w:cs="Arial"/>
        </w:rPr>
        <w:lastRenderedPageBreak/>
        <w:t>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7D706B52" w:rsidR="006002D7" w:rsidRDefault="00A47296" w:rsidP="00B67950">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54622D">
        <w:rPr>
          <w:rFonts w:ascii="Arial" w:hAnsi="Arial" w:cs="Arial"/>
        </w:rPr>
        <w:t>therefore 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Even more pressing is that newly developed antibiotics targeting gram-positive pathogens are either inactive against Enterococci or have rapid resistance emergence develop</w:t>
      </w:r>
      <w:r w:rsidR="00360311">
        <w:rPr>
          <w:rFonts w:ascii="Arial" w:hAnsi="Arial" w:cs="Arial"/>
        </w:rPr>
        <w:t xml:space="preserve"> </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F378D">
        <w:rPr>
          <w:rFonts w:ascii="Arial" w:hAnsi="Arial" w:cs="Arial"/>
        </w:rPr>
        <w:t xml:space="preserve">Finally, antibiotics with activity against enterococci, including beta-lactams in the case of </w:t>
      </w:r>
      <w:r w:rsidR="00AF378D" w:rsidRPr="00B67950">
        <w:rPr>
          <w:rFonts w:ascii="Arial" w:hAnsi="Arial" w:cs="Arial"/>
          <w:i/>
        </w:rPr>
        <w:t>E. faecalis</w:t>
      </w:r>
      <w:r w:rsidR="00AF378D">
        <w:rPr>
          <w:rFonts w:ascii="Arial" w:hAnsi="Arial" w:cs="Arial"/>
        </w:rPr>
        <w:t xml:space="preserve">, are bacteriostatic and therefore require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 combined with inadequate antibiotic stewardship and increases in aggressive</w:t>
      </w:r>
      <w:r w:rsidR="00F11B63" w:rsidRPr="00CF169D">
        <w:rPr>
          <w:rFonts w:ascii="Arial" w:hAnsi="Arial" w:cs="Arial"/>
        </w:rPr>
        <w:t xml:space="preserve"> medical </w:t>
      </w:r>
      <w:r w:rsidR="00B154B7">
        <w:rPr>
          <w:rFonts w:ascii="Arial" w:hAnsi="Arial" w:cs="Arial"/>
        </w:rPr>
        <w:t>treatment undertaken by increasingly 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EcB</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0402DAE4" w14:textId="77777777" w:rsidR="00B67950" w:rsidRDefault="00B67950" w:rsidP="00B67950">
      <w:pPr>
        <w:spacing w:line="480" w:lineRule="auto"/>
        <w:ind w:firstLine="720"/>
        <w:rPr>
          <w:rFonts w:ascii="Arial" w:hAnsi="Arial" w:cs="Arial"/>
        </w:rPr>
      </w:pPr>
    </w:p>
    <w:p w14:paraId="389BA5F9" w14:textId="2F4488C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w:t>
      </w:r>
      <w:r w:rsidR="006D0731">
        <w:rPr>
          <w:rFonts w:ascii="Arial" w:hAnsi="Arial" w:cs="Arial"/>
          <w:color w:val="000000" w:themeColor="text1"/>
        </w:rPr>
        <w:lastRenderedPageBreak/>
        <w:t>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791612">
        <w:rPr>
          <w:rFonts w:ascii="Arial" w:hAnsi="Arial" w:cs="Arial"/>
          <w:color w:val="000000" w:themeColor="text1"/>
        </w:rPr>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r w:rsidR="00F6573C">
        <w:rPr>
          <w:rFonts w:ascii="Arial" w:hAnsi="Arial" w:cs="Arial"/>
          <w:color w:val="000000" w:themeColor="text1"/>
        </w:rPr>
        <w:t xml:space="preserve"> prediction of mortality has thus 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 xml:space="preserve">any 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37F8BD5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proofErr w:type="spellStart"/>
      <w:proofErr w:type="gramStart"/>
      <w:r w:rsidR="00A44FEB">
        <w:rPr>
          <w:rFonts w:ascii="Arial" w:hAnsi="Arial" w:cs="Arial"/>
        </w:rPr>
        <w:t>bacteremia.</w:t>
      </w:r>
      <w:r w:rsidR="0015068E">
        <w:rPr>
          <w:rFonts w:ascii="Arial" w:hAnsi="Arial" w:cs="Arial"/>
        </w:rPr>
        <w:t>T</w:t>
      </w:r>
      <w:r>
        <w:rPr>
          <w:rFonts w:ascii="Arial" w:hAnsi="Arial" w:cs="Arial"/>
        </w:rPr>
        <w:t>his</w:t>
      </w:r>
      <w:proofErr w:type="spellEnd"/>
      <w:proofErr w:type="gramEnd"/>
      <w:r>
        <w:rPr>
          <w:rFonts w:ascii="Arial" w:hAnsi="Arial" w:cs="Arial"/>
        </w:rPr>
        <w:t xml:space="preserve"> data 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088D4A71"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54622D">
        <w:rPr>
          <w:rFonts w:ascii="Arial" w:hAnsi="Arial" w:cs="Arial"/>
        </w:rPr>
        <w:t xml:space="preserve">from 2018-2021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Sample size was selected </w:t>
      </w:r>
      <w:r w:rsidRPr="00CF169D">
        <w:rPr>
          <w:rFonts w:ascii="Arial" w:hAnsi="Arial" w:cs="Arial"/>
        </w:rPr>
        <w:lastRenderedPageBreak/>
        <w:t>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69767F86"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r w:rsidR="00065726">
        <w:rPr>
          <w:rFonts w:ascii="Arial" w:hAnsi="Arial" w:cs="Arial"/>
        </w:rPr>
        <w:t xml:space="preserve">29 </w:t>
      </w:r>
      <w:r w:rsidR="008858C5">
        <w:rPr>
          <w:rFonts w:ascii="Arial" w:hAnsi="Arial" w:cs="Arial"/>
        </w:rPr>
        <w:t xml:space="preserve">healthy controls was collected from blood bank volunteers. </w:t>
      </w:r>
    </w:p>
    <w:p w14:paraId="5F9E0FBE" w14:textId="3F0679DA" w:rsidR="00133FD2" w:rsidRDefault="00B60B5D" w:rsidP="00CF169D">
      <w:pPr>
        <w:spacing w:line="480" w:lineRule="auto"/>
        <w:rPr>
          <w:rFonts w:ascii="Arial" w:hAnsi="Arial" w:cs="Arial"/>
          <w:color w:val="FF0000"/>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 xml:space="preserve">Patient electronic medical records were reviewed to collect basic demographics including age, gender, and comorbidities. The infection and treatment </w:t>
      </w:r>
      <w:r w:rsidR="00CE4201" w:rsidRPr="006816A5">
        <w:rPr>
          <w:rFonts w:ascii="Arial" w:hAnsi="Arial" w:cs="Arial"/>
        </w:rPr>
        <w:t xml:space="preserve">(antibiotic and source control methods) </w:t>
      </w:r>
      <w:r w:rsidRPr="006816A5">
        <w:rPr>
          <w:rFonts w:ascii="Arial" w:hAnsi="Arial" w:cs="Arial"/>
        </w:rPr>
        <w:t>and clinical course data collected included 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xml:space="preserve">), source of bloodstream infection (endovascular, urine, abdominal fluid, </w:t>
      </w:r>
      <w:r w:rsidR="00CE4201" w:rsidRPr="00CE4201">
        <w:rPr>
          <w:rFonts w:ascii="Arial" w:hAnsi="Arial" w:cs="Arial"/>
        </w:rPr>
        <w:t>etc.</w:t>
      </w:r>
      <w:r w:rsidRPr="006816A5">
        <w:rPr>
          <w:rFonts w:ascii="Arial" w:hAnsi="Arial" w:cs="Arial"/>
        </w:rPr>
        <w:t>) 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 was 5</w:t>
      </w:r>
      <w:r w:rsidR="00BC3277">
        <w:rPr>
          <w:rFonts w:ascii="Arial" w:hAnsi="Arial" w:cs="Arial"/>
        </w:rPr>
        <w:t>9</w:t>
      </w:r>
      <w:r w:rsidRPr="006816A5">
        <w:rPr>
          <w:rFonts w:ascii="Arial" w:hAnsi="Arial" w:cs="Arial"/>
        </w:rPr>
        <w:t>.</w:t>
      </w:r>
      <w:r w:rsidR="00BC3277">
        <w:rPr>
          <w:rFonts w:ascii="Arial" w:hAnsi="Arial" w:cs="Arial"/>
        </w:rPr>
        <w:t>6</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 and </w:t>
      </w:r>
      <w:r w:rsidR="00BC3277">
        <w:rPr>
          <w:rFonts w:ascii="Arial" w:hAnsi="Arial" w:cs="Arial"/>
        </w:rPr>
        <w:t>59</w:t>
      </w:r>
      <w:r w:rsidRPr="006816A5">
        <w:rPr>
          <w:rFonts w:ascii="Arial" w:hAnsi="Arial" w:cs="Arial"/>
        </w:rPr>
        <w:t>% of patients were male. In 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2182F" w:rsidRPr="0002182F">
        <w:rPr>
          <w:rFonts w:ascii="Arial" w:hAnsi="Arial" w:cs="Arial"/>
        </w:rPr>
        <w:t xml:space="preserve">VRE, </w:t>
      </w:r>
      <w:r w:rsidR="00F2536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Total duration of bacteremia included cases of persistent bacteremia (consecutive days of positive blood cultures) and in-hospital microbiologic relapse defined as recurrence of a positive blood culture after the </w:t>
      </w:r>
      <w:r w:rsidRPr="006816A5">
        <w:rPr>
          <w:rFonts w:ascii="Arial" w:hAnsi="Arial" w:cs="Arial"/>
        </w:rPr>
        <w:lastRenderedPageBreak/>
        <w:t xml:space="preserve">first negative culture while receiving appropriate antibiotic. The </w:t>
      </w:r>
      <w:r w:rsidR="0002182F">
        <w:rPr>
          <w:rFonts w:ascii="Arial" w:hAnsi="Arial" w:cs="Arial"/>
        </w:rPr>
        <w:t>mean</w:t>
      </w:r>
      <w:r w:rsidRPr="006816A5">
        <w:rPr>
          <w:rFonts w:ascii="Arial" w:hAnsi="Arial" w:cs="Arial"/>
        </w:rPr>
        <w:t xml:space="preserve"> duration of bacteremia duration was 2</w:t>
      </w:r>
      <w:r w:rsidR="0002182F">
        <w:rPr>
          <w:rFonts w:ascii="Arial" w:hAnsi="Arial" w:cs="Arial"/>
        </w:rPr>
        <w:t>.7</w:t>
      </w:r>
      <w:r w:rsidR="0002182F" w:rsidRPr="000129D0">
        <w:rPr>
          <w:rFonts w:ascii="Arial" w:hAnsi="Arial" w:cs="Arial"/>
        </w:rPr>
        <w:t>±</w:t>
      </w:r>
      <w:r w:rsidR="0002182F">
        <w:rPr>
          <w:rFonts w:ascii="Arial" w:hAnsi="Arial" w:cs="Arial"/>
        </w:rPr>
        <w:t>1.9</w:t>
      </w:r>
      <w:r w:rsidRPr="006816A5">
        <w:rPr>
          <w:rFonts w:ascii="Arial" w:hAnsi="Arial" w:cs="Arial"/>
        </w:rPr>
        <w:t xml:space="preserve"> days </w:t>
      </w:r>
      <w:r w:rsidR="0002182F">
        <w:rPr>
          <w:rFonts w:ascii="Arial" w:hAnsi="Arial" w:cs="Arial"/>
        </w:rPr>
        <w:t xml:space="preserve">(median 2 days) with </w:t>
      </w:r>
      <w:proofErr w:type="gramStart"/>
      <w:r w:rsidR="0002182F">
        <w:rPr>
          <w:rFonts w:ascii="Arial" w:hAnsi="Arial" w:cs="Arial"/>
        </w:rPr>
        <w:t>an</w:t>
      </w:r>
      <w:proofErr w:type="gramEnd"/>
      <w:r w:rsidR="0002182F">
        <w:rPr>
          <w:rFonts w:ascii="Arial" w:hAnsi="Arial" w:cs="Arial"/>
        </w:rPr>
        <w:t xml:space="preserve">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Pr>
          <w:rFonts w:ascii="Arial" w:hAnsi="Arial" w:cs="Arial"/>
          <w:i/>
          <w:iCs/>
        </w:rPr>
        <w:t xml:space="preserve">The mortality rate during hospitalization and within 1 year of infection onset was 21.7% and 38.6% respectively.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w:t>
      </w:r>
      <w:proofErr w:type="gramStart"/>
      <w:r w:rsidR="0000153B">
        <w:rPr>
          <w:rFonts w:ascii="Arial" w:hAnsi="Arial" w:cs="Arial"/>
        </w:rPr>
        <w:t xml:space="preserve">#  </w:t>
      </w:r>
      <w:r w:rsidR="00734304">
        <w:rPr>
          <w:rFonts w:ascii="Arial" w:hAnsi="Arial" w:cs="Arial"/>
        </w:rPr>
        <w:t>04906845001</w:t>
      </w:r>
      <w:proofErr w:type="gramEnd"/>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and vortexed for 5 minutes each. Disulfide bonds were reduced with 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cooled 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7F8E3AC6"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lastRenderedPageBreak/>
        <w:t>was set to include static modifications of</w:t>
      </w:r>
      <w:r w:rsidR="006241FC" w:rsidRPr="006256FD">
        <w:rPr>
          <w:rFonts w:ascii="Arial" w:hAnsi="Arial" w:cs="Arial"/>
          <w:color w:val="000000" w:themeColor="text1"/>
        </w:rPr>
        <w:t xml:space="preserve"> </w:t>
      </w:r>
      <w:proofErr w:type="spellStart"/>
      <w:r w:rsidR="00734304" w:rsidRPr="00734304">
        <w:rPr>
          <w:rFonts w:ascii="Arial" w:hAnsi="Arial" w:cs="Arial"/>
          <w:color w:val="000000" w:themeColor="text1"/>
        </w:rPr>
        <w:t>carbamidomethylation</w:t>
      </w:r>
      <w:proofErr w:type="spellEnd"/>
      <w:r w:rsidR="00734304">
        <w:rPr>
          <w:rFonts w:ascii="Arial" w:hAnsi="Arial" w:cs="Arial"/>
          <w:color w:val="000000" w:themeColor="text1"/>
        </w:rPr>
        <w:t xml:space="preserve"> </w:t>
      </w:r>
      <w:r w:rsidR="006241FC" w:rsidRPr="006256FD">
        <w:rPr>
          <w:rFonts w:ascii="Arial" w:hAnsi="Arial" w:cs="Arial"/>
          <w:color w:val="000000" w:themeColor="text1"/>
        </w:rPr>
        <w:t xml:space="preserve">of cystines, TMTpro on </w:t>
      </w:r>
      <w:proofErr w:type="spellStart"/>
      <w:r w:rsidR="006241FC" w:rsidRPr="006256FD">
        <w:rPr>
          <w:rFonts w:ascii="Arial" w:hAnsi="Arial" w:cs="Arial"/>
          <w:color w:val="000000" w:themeColor="text1"/>
        </w:rPr>
        <w:t>lysine</w:t>
      </w:r>
      <w:r w:rsidR="00734304">
        <w:rPr>
          <w:rFonts w:ascii="Arial" w:hAnsi="Arial" w:cs="Arial"/>
          <w:color w:val="000000" w:themeColor="text1"/>
        </w:rPr>
        <w:t>s</w:t>
      </w:r>
      <w:proofErr w:type="spellEnd"/>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w:t>
      </w:r>
      <w:r w:rsidR="00EA48A2">
        <w:rPr>
          <w:rFonts w:ascii="Arial" w:hAnsi="Arial" w:cs="Arial"/>
        </w:rPr>
        <w:lastRenderedPageBreak/>
        <w:t xml:space="preserve">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w:t>
      </w:r>
      <w:r w:rsidRPr="00CF169D">
        <w:rPr>
          <w:rFonts w:ascii="Arial" w:hAnsi="Arial" w:cs="Arial"/>
        </w:rPr>
        <w:lastRenderedPageBreak/>
        <w:t xml:space="preserve">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w:t>
      </w:r>
      <w:r w:rsidRPr="00AA7ACC">
        <w:rPr>
          <w:rFonts w:ascii="Arial" w:hAnsi="Arial" w:cs="Arial"/>
          <w:color w:val="000000"/>
        </w:rPr>
        <w:lastRenderedPageBreak/>
        <w:t>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B9CF6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1FC43A38"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 xml:space="preserve">of BHI. These cultures were </w:t>
      </w:r>
      <w:r w:rsidRPr="00FA4CB1">
        <w:rPr>
          <w:rFonts w:ascii="Arial" w:hAnsi="Arial" w:cs="Arial"/>
        </w:rPr>
        <w:lastRenderedPageBreak/>
        <w:t>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proofErr w:type="spellStart"/>
      <w:r w:rsidR="00734304"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lastRenderedPageBreak/>
        <w:t>dried for 10 minutes before being resuspended in 50</w:t>
      </w:r>
      <w:r w:rsidR="00817302">
        <w:rPr>
          <w:rFonts w:ascii="Arial" w:hAnsi="Arial" w:cs="Arial"/>
        </w:rPr>
        <w:t xml:space="preserve">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lastRenderedPageBreak/>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 xml:space="preserve">Streptomyces </w:t>
      </w:r>
      <w:proofErr w:type="spellStart"/>
      <w:r w:rsidR="00817302" w:rsidRPr="004909BA">
        <w:rPr>
          <w:rFonts w:ascii="Arial" w:hAnsi="Arial" w:cs="Arial"/>
          <w:i/>
          <w:iCs/>
        </w:rPr>
        <w:t>fulvissimus</w:t>
      </w:r>
      <w:proofErr w:type="spellEnd"/>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 xml:space="preserve">reads were then used as input into the Epi2me labs graphic interface which was used to run the </w:t>
      </w:r>
      <w:proofErr w:type="spellStart"/>
      <w:r w:rsidR="00FA4CB1" w:rsidRPr="00FA4CB1">
        <w:rPr>
          <w:rFonts w:ascii="Arial" w:hAnsi="Arial" w:cs="Arial"/>
        </w:rPr>
        <w:t>wf</w:t>
      </w:r>
      <w:proofErr w:type="spellEnd"/>
      <w:r w:rsidR="00FA4CB1" w:rsidRPr="00FA4CB1">
        <w:rPr>
          <w:rFonts w:ascii="Arial" w:hAnsi="Arial" w:cs="Arial"/>
        </w:rPr>
        <w:t>-bacterial-genomes</w:t>
      </w:r>
      <w:r w:rsidR="00872CC3">
        <w:rPr>
          <w:rFonts w:ascii="Arial" w:hAnsi="Arial" w:cs="Arial"/>
        </w:rPr>
        <w:t xml:space="preserve"> </w:t>
      </w:r>
      <w:proofErr w:type="spellStart"/>
      <w:r w:rsidR="00FA4CB1" w:rsidRPr="00FA4CB1">
        <w:rPr>
          <w:rFonts w:ascii="Arial" w:hAnsi="Arial" w:cs="Arial"/>
        </w:rPr>
        <w:t>nextflow</w:t>
      </w:r>
      <w:proofErr w:type="spellEnd"/>
      <w:r w:rsidR="00FA4CB1" w:rsidRPr="00FA4CB1">
        <w:rPr>
          <w:rFonts w:ascii="Arial" w:hAnsi="Arial" w:cs="Arial"/>
        </w:rPr>
        <w:t xml:space="preserve">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proofErr w:type="spellStart"/>
      <w:r w:rsidR="00FA4CB1" w:rsidRPr="00A22C66">
        <w:rPr>
          <w:rFonts w:ascii="Arial" w:hAnsi="Arial" w:cs="Arial"/>
          <w:i/>
          <w:iCs/>
        </w:rPr>
        <w:t>denovo</w:t>
      </w:r>
      <w:proofErr w:type="spellEnd"/>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 xml:space="preserve">ntimicrobial resistance (AMR) calling via </w:t>
      </w:r>
      <w:proofErr w:type="spellStart"/>
      <w:r w:rsidR="00FA4CB1"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 xml:space="preserve">The resulting FASTA assemblies were then used as input to </w:t>
      </w:r>
      <w:proofErr w:type="spellStart"/>
      <w:r w:rsidR="00FA4CB1" w:rsidRPr="00FA4CB1">
        <w:rPr>
          <w:rFonts w:ascii="Arial" w:hAnsi="Arial" w:cs="Arial"/>
        </w:rPr>
        <w:t>Roary</w:t>
      </w:r>
      <w:proofErr w:type="spellEnd"/>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50C0C1E1"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was collected,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 xml:space="preserve">(Figure </w:t>
      </w:r>
      <w:r w:rsidR="0099243B">
        <w:rPr>
          <w:rFonts w:ascii="Arial" w:hAnsi="Arial" w:cs="Arial"/>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lastRenderedPageBreak/>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02F33D9"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w:t>
      </w:r>
      <w:proofErr w:type="spellStart"/>
      <w:r w:rsidR="00A22C66">
        <w:rPr>
          <w:rFonts w:ascii="Arial" w:hAnsi="Arial" w:cs="Arial"/>
          <w:color w:val="000000" w:themeColor="text1"/>
        </w:rPr>
        <w:t>Enterococcous</w:t>
      </w:r>
      <w:proofErr w:type="spellEnd"/>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4485F44A"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(Figure </w:t>
      </w:r>
      <w:r w:rsidR="007E38F8">
        <w:rPr>
          <w:rFonts w:ascii="Arial" w:hAnsi="Arial" w:cs="Arial"/>
        </w:rPr>
        <w:t>4</w:t>
      </w:r>
      <w:r w:rsidR="00FF0577">
        <w:rPr>
          <w:rFonts w:ascii="Arial" w:hAnsi="Arial" w:cs="Arial"/>
        </w:rPr>
        <w:t xml:space="preserve">A) (Figure </w:t>
      </w:r>
      <w:r w:rsidR="007E38F8">
        <w:rPr>
          <w:rFonts w:ascii="Arial" w:hAnsi="Arial" w:cs="Arial"/>
        </w:rPr>
        <w:t>5</w:t>
      </w:r>
      <w:r w:rsidR="00FF0577">
        <w:rPr>
          <w:rFonts w:ascii="Arial" w:hAnsi="Arial" w:cs="Arial"/>
        </w:rPr>
        <w:t>A)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 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07C9B269" w:rsidR="008D715D" w:rsidRDefault="00243500" w:rsidP="00243500">
      <w:pPr>
        <w:spacing w:line="480" w:lineRule="auto"/>
        <w:rPr>
          <w:rFonts w:ascii="Arial" w:hAnsi="Arial" w:cs="Arial"/>
        </w:rPr>
      </w:pPr>
      <w:r>
        <w:rPr>
          <w:rFonts w:ascii="Arial" w:hAnsi="Arial" w:cs="Arial"/>
        </w:rPr>
        <w:lastRenderedPageBreak/>
        <w:tab/>
        <w:t xml:space="preserve">We first </w:t>
      </w:r>
      <w:r w:rsidR="001C28B5">
        <w:rPr>
          <w:rFonts w:ascii="Arial" w:hAnsi="Arial" w:cs="Arial"/>
        </w:rPr>
        <w:t>examined</w:t>
      </w:r>
      <w:r>
        <w:rPr>
          <w:rFonts w:ascii="Arial" w:hAnsi="Arial" w:cs="Arial"/>
        </w:rPr>
        <w:t xml:space="preserv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proofErr w:type="spellStart"/>
      <w:r w:rsidR="004A0FA7" w:rsidRPr="004A0FA7">
        <w:rPr>
          <w:rFonts w:ascii="Arial" w:hAnsi="Arial" w:cs="Arial"/>
        </w:rPr>
        <w:t>Benjamini</w:t>
      </w:r>
      <w:proofErr w:type="spellEnd"/>
      <w:r w:rsidR="004A0FA7" w:rsidRPr="004A0FA7">
        <w:rPr>
          <w:rFonts w:ascii="Arial" w:hAnsi="Arial" w:cs="Arial"/>
        </w:rPr>
        <w:t>-Hochberg</w:t>
      </w:r>
      <w:r w:rsidR="004A0FA7">
        <w:rPr>
          <w:rFonts w:ascii="Arial" w:hAnsi="Arial" w:cs="Arial"/>
        </w:rPr>
        <w:t xml:space="preserve"> adjusted </w:t>
      </w:r>
      <w:r w:rsidR="00BA6990">
        <w:rPr>
          <w:rFonts w:ascii="Arial" w:hAnsi="Arial" w:cs="Arial"/>
        </w:rPr>
        <w:t xml:space="preserve">p 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w:t>
      </w:r>
      <w:r w:rsidR="004A0FA7">
        <w:rPr>
          <w:rFonts w:ascii="Arial" w:hAnsi="Arial" w:cs="Arial"/>
        </w:rPr>
        <w:t>-</w:t>
      </w:r>
      <w:r w:rsidR="00DB5868">
        <w:rPr>
          <w:rFonts w:ascii="Arial" w:hAnsi="Arial" w:cs="Arial"/>
        </w:rPr>
        <w:t>adjusted p values 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(Figure 3B).</w:t>
      </w:r>
      <w:r w:rsidR="004A0FA7">
        <w:rPr>
          <w:rFonts w:ascii="Arial" w:hAnsi="Arial" w:cs="Arial"/>
        </w:rPr>
        <w:t xml:space="preserve"> 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7891043A"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B67950">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B67950" w:rsidRPr="00B67950">
        <w:rPr>
          <w:rFonts w:ascii="Arial" w:hAnsi="Arial" w:cs="Arial"/>
          <w:vertAlign w:val="superscript"/>
        </w:rPr>
        <w:t>18</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 xml:space="preserve">(30) </w:t>
      </w:r>
      <w:r w:rsidR="003D55DD">
        <w:rPr>
          <w:rFonts w:ascii="Arial" w:hAnsi="Arial" w:cs="Arial"/>
        </w:rPr>
        <w:t xml:space="preserve">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w:t>
      </w:r>
      <w:r w:rsidR="003D55DD">
        <w:rPr>
          <w:rFonts w:ascii="Arial" w:hAnsi="Arial" w:cs="Arial"/>
        </w:rPr>
        <w:lastRenderedPageBreak/>
        <w:t>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7E38F8">
        <w:rPr>
          <w:rFonts w:ascii="Arial" w:hAnsi="Arial" w:cs="Arial"/>
        </w:rPr>
        <w:t>2</w:t>
      </w:r>
      <w:r w:rsidR="002B6605">
        <w:rPr>
          <w:rFonts w:ascii="Arial" w:hAnsi="Arial" w:cs="Arial"/>
        </w:rPr>
        <w:t>%</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were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were specific to E. faecalis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w:t>
      </w:r>
      <w:r w:rsidR="003A5C57">
        <w:rPr>
          <w:rFonts w:ascii="Arial" w:hAnsi="Arial" w:cs="Arial"/>
        </w:rPr>
        <w:lastRenderedPageBreak/>
        <w:t>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02A7C827" w:rsidR="009D636B" w:rsidRPr="005402F8" w:rsidRDefault="005402F8" w:rsidP="00A26A1F">
      <w:pPr>
        <w:spacing w:line="480" w:lineRule="auto"/>
        <w:ind w:firstLine="720"/>
        <w:rPr>
          <w:rFonts w:ascii="Arial" w:hAnsi="Arial" w:cs="Arial"/>
        </w:rPr>
      </w:pPr>
      <w:r>
        <w:rPr>
          <w:rFonts w:ascii="Arial" w:hAnsi="Arial" w:cs="Arial"/>
        </w:rPr>
        <w:lastRenderedPageBreak/>
        <w:t xml:space="preserve">We next set out to evaluate the potential utility of features collected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w:t>
      </w:r>
      <w:r w:rsidR="009B0986">
        <w:rPr>
          <w:rFonts w:ascii="Arial" w:hAnsi="Arial" w:cs="Arial"/>
          <w:color w:val="000000"/>
        </w:rPr>
        <w:t>can reduce</w:t>
      </w:r>
      <w:r w:rsidR="00226A9B">
        <w:rPr>
          <w:rFonts w:ascii="Arial" w:hAnsi="Arial" w:cs="Arial"/>
          <w:color w:val="000000"/>
        </w:rPr>
        <w:t xml:space="preserve"> redundant measurements by removing features that are highly correlated with each other. Here, we opted to set the correlation threshold to 0,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w:t>
      </w:r>
      <w:r w:rsidR="009C459B">
        <w:rPr>
          <w:rFonts w:ascii="Arial" w:hAnsi="Arial" w:cs="Arial"/>
        </w:rPr>
        <w:t>nearly</w:t>
      </w:r>
      <w:r w:rsidR="00074487">
        <w:rPr>
          <w:rFonts w:ascii="Arial" w:hAnsi="Arial" w:cs="Arial"/>
        </w:rPr>
        <w:t xml:space="preserve">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0B642A77"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036C92">
        <w:rPr>
          <w:rFonts w:ascii="Arial" w:hAnsi="Arial" w:cs="Arial"/>
        </w:rPr>
        <w:t xml:space="preserve">inflammation </w:t>
      </w:r>
      <w:r w:rsidR="001E4207">
        <w:rPr>
          <w:rFonts w:ascii="Arial" w:hAnsi="Arial" w:cs="Arial"/>
        </w:rPr>
        <w:t>commonly used in the clinic</w:t>
      </w:r>
      <w:r w:rsidR="00036C92">
        <w:rPr>
          <w:rFonts w:ascii="Arial" w:hAnsi="Arial" w:cs="Arial"/>
        </w:rPr>
        <w:t xml:space="preserve"> for infection progression</w:t>
      </w:r>
      <w:r w:rsidR="006776B5">
        <w:rPr>
          <w:rFonts w:ascii="Arial" w:hAnsi="Arial" w:cs="Arial"/>
        </w:rPr>
        <w:t xml:space="preserve">, </w:t>
      </w:r>
      <w:r w:rsidR="00036C92">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w:t>
      </w:r>
      <w:r w:rsidR="00096F1E">
        <w:rPr>
          <w:rFonts w:ascii="Arial" w:hAnsi="Arial" w:cs="Arial"/>
        </w:rPr>
        <w:lastRenderedPageBreak/>
        <w:t xml:space="preserve">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0C8C074F"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 xml:space="preserve">E. </w:t>
      </w:r>
      <w:proofErr w:type="gramStart"/>
      <w:r w:rsidR="004A7C5A" w:rsidRPr="004A7C5A">
        <w:rPr>
          <w:rFonts w:ascii="Arial" w:hAnsi="Arial" w:cs="Arial"/>
          <w:b/>
          <w:bCs/>
          <w:i/>
          <w:iCs/>
        </w:rPr>
        <w:t>faeciu</w:t>
      </w:r>
      <w:r w:rsidR="00AB3D7C">
        <w:rPr>
          <w:rFonts w:ascii="Arial" w:hAnsi="Arial" w:cs="Arial"/>
          <w:b/>
          <w:bCs/>
          <w:i/>
          <w:iCs/>
        </w:rPr>
        <w:t>m</w:t>
      </w:r>
      <w:proofErr w:type="gramEnd"/>
    </w:p>
    <w:p w14:paraId="04400EA3" w14:textId="1C87249A" w:rsidR="004A69A7" w:rsidRDefault="00BF551F" w:rsidP="00AB3D7C">
      <w:pPr>
        <w:spacing w:line="480" w:lineRule="auto"/>
        <w:ind w:firstLine="720"/>
        <w:rPr>
          <w:rFonts w:ascii="Arial" w:hAnsi="Arial" w:cs="Arial"/>
        </w:rPr>
      </w:pPr>
      <w:r>
        <w:rPr>
          <w:rFonts w:ascii="Arial" w:hAnsi="Arial" w:cs="Arial"/>
        </w:rPr>
        <w:lastRenderedPageBreak/>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r w:rsidR="00AB3D7C">
        <w:rPr>
          <w:rFonts w:ascii="Arial" w:hAnsi="Arial" w:cs="Arial"/>
        </w:rPr>
        <w:t>11</w:t>
      </w:r>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7F4A4C6A"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w:t>
      </w:r>
      <w:r w:rsidR="008B5FB9">
        <w:rPr>
          <w:rFonts w:ascii="Arial" w:hAnsi="Arial" w:cs="Arial"/>
        </w:rPr>
        <w:lastRenderedPageBreak/>
        <w:t xml:space="preserve">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0.82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6).</w:t>
      </w:r>
    </w:p>
    <w:p w14:paraId="2A591FA0" w14:textId="77777777" w:rsidR="001828B2" w:rsidRPr="001828B2" w:rsidRDefault="001828B2" w:rsidP="00AF77FA">
      <w:pPr>
        <w:spacing w:line="480" w:lineRule="auto"/>
        <w:rPr>
          <w:rFonts w:ascii="Arial" w:hAnsi="Arial" w:cs="Arial"/>
          <w:color w:val="000000" w:themeColor="text1"/>
        </w:rPr>
      </w:pPr>
    </w:p>
    <w:p w14:paraId="2597AC7E" w14:textId="2CF414E3" w:rsidR="00E144D3" w:rsidRDefault="0041437E" w:rsidP="009134FC">
      <w:pPr>
        <w:spacing w:line="480" w:lineRule="auto"/>
        <w:ind w:firstLine="720"/>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We </w:t>
      </w:r>
      <w:r w:rsidR="009134FC">
        <w:rPr>
          <w:rFonts w:ascii="Arial" w:hAnsi="Arial" w:cs="Arial"/>
        </w:rPr>
        <w:lastRenderedPageBreak/>
        <w:t>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our threshold for statistical significance with p values of 0.098, and 0.064 respectively.</w:t>
      </w:r>
      <w:r w:rsidR="00764BD3">
        <w:rPr>
          <w:rFonts w:ascii="Arial" w:hAnsi="Arial" w:cs="Arial"/>
        </w:rPr>
        <w:t xml:space="preserve"> 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w:t>
      </w:r>
      <w:proofErr w:type="spellStart"/>
      <w:r w:rsidR="009134FC">
        <w:rPr>
          <w:rFonts w:ascii="Arial" w:hAnsi="Arial" w:cs="Arial"/>
        </w:rPr>
        <w:t>lyso</w:t>
      </w:r>
      <w:proofErr w:type="spellEnd"/>
      <w:r w:rsidR="009134FC">
        <w:rPr>
          <w:rFonts w:ascii="Arial" w:hAnsi="Arial" w:cs="Arial"/>
        </w:rPr>
        <w:t xml:space="preserve">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that the significance observed may have been driven by transplant type</w:t>
      </w:r>
      <w:r w:rsidR="003C0895">
        <w:rPr>
          <w:rFonts w:ascii="Arial" w:hAnsi="Arial" w:cs="Arial"/>
        </w:rPr>
        <w:t xml:space="preserve"> for these features as 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lastRenderedPageBreak/>
        <w:t xml:space="preserve">Prediction of </w:t>
      </w:r>
      <w:r w:rsidR="00440D57">
        <w:rPr>
          <w:rFonts w:ascii="Arial" w:hAnsi="Arial" w:cs="Arial"/>
          <w:b/>
          <w:bCs/>
        </w:rPr>
        <w:t>Clinical Outcome</w:t>
      </w:r>
    </w:p>
    <w:p w14:paraId="45057326" w14:textId="7104A37A"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6E5C1E60" w:rsidR="002836BD" w:rsidRDefault="002E6B24" w:rsidP="00A26A1F">
      <w:pPr>
        <w:spacing w:line="480" w:lineRule="auto"/>
        <w:ind w:firstLine="720"/>
        <w:rPr>
          <w:rFonts w:ascii="Arial" w:hAnsi="Arial" w:cs="Arial"/>
        </w:rPr>
      </w:pPr>
      <w:proofErr w:type="gramStart"/>
      <w:r>
        <w:rPr>
          <w:rFonts w:ascii="Arial" w:hAnsi="Arial" w:cs="Arial"/>
        </w:rPr>
        <w:t>Eighty seven</w:t>
      </w:r>
      <w:proofErr w:type="gramEnd"/>
      <w:r>
        <w:rPr>
          <w:rFonts w:ascii="Arial" w:hAnsi="Arial" w:cs="Arial"/>
        </w:rPr>
        <w:t xml:space="preserve"> </w:t>
      </w:r>
      <w:r w:rsidR="0000642F">
        <w:rPr>
          <w:rFonts w:ascii="Arial" w:hAnsi="Arial" w:cs="Arial"/>
        </w:rPr>
        <w:t xml:space="preserve">proteins were found to be significantly enriched in patients </w:t>
      </w:r>
      <w:r w:rsidR="00F66C9E">
        <w:rPr>
          <w:rFonts w:ascii="Arial" w:hAnsi="Arial" w:cs="Arial"/>
        </w:rPr>
        <w:t xml:space="preserve">who </w:t>
      </w:r>
      <w:r w:rsidR="00DF4C9E">
        <w:rPr>
          <w:rFonts w:ascii="Arial" w:hAnsi="Arial" w:cs="Arial"/>
        </w:rPr>
        <w:t>succumbed</w:t>
      </w:r>
      <w:r w:rsidR="0000642F">
        <w:rPr>
          <w:rFonts w:ascii="Arial" w:hAnsi="Arial" w:cs="Arial"/>
        </w:rPr>
        <w:t xml:space="preserve"> to mortality, while 29 proteins were found to be significantly enriched in patients </w:t>
      </w:r>
      <w:r w:rsidR="002C71B1">
        <w:rPr>
          <w:rFonts w:ascii="Arial" w:hAnsi="Arial" w:cs="Arial"/>
        </w:rPr>
        <w:t>who</w:t>
      </w:r>
      <w:r w:rsidR="0000642F">
        <w:rPr>
          <w:rFonts w:ascii="Arial" w:hAnsi="Arial" w:cs="Arial"/>
        </w:rPr>
        <w:t xml:space="preserve"> survived (Figure 6</w:t>
      </w:r>
      <w:r w:rsidR="005F5B63">
        <w:rPr>
          <w:rFonts w:ascii="Arial" w:hAnsi="Arial" w:cs="Arial"/>
        </w:rPr>
        <w:t>A</w:t>
      </w:r>
      <w:r w:rsidR="0000642F">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t>
      </w:r>
      <w:r>
        <w:rPr>
          <w:rFonts w:ascii="Arial" w:hAnsi="Arial" w:cs="Arial"/>
        </w:rPr>
        <w:lastRenderedPageBreak/>
        <w:t xml:space="preserve">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6 were found to be significantly increased in mortality, while only 3 were found to be significantly increased in patients that survived (Figure 6E). </w:t>
      </w:r>
      <w:r w:rsidR="00F74C3B">
        <w:rPr>
          <w:rFonts w:ascii="Arial" w:hAnsi="Arial" w:cs="Arial"/>
        </w:rPr>
        <w:t xml:space="preserve">The top 2 identified metabolite biomarkers, </w:t>
      </w:r>
      <w:proofErr w:type="spellStart"/>
      <w:r w:rsidR="00BD7AD7">
        <w:rPr>
          <w:rFonts w:ascii="Arial" w:hAnsi="Arial" w:cs="Arial"/>
        </w:rPr>
        <w:t>d</w:t>
      </w:r>
      <w:r w:rsidR="00F74C3B">
        <w:rPr>
          <w:rFonts w:ascii="Arial" w:hAnsi="Arial" w:cs="Arial"/>
        </w:rPr>
        <w:t>ecanoylcarninine</w:t>
      </w:r>
      <w:proofErr w:type="spellEnd"/>
      <w:r w:rsidR="00F74C3B">
        <w:rPr>
          <w:rFonts w:ascii="Arial" w:hAnsi="Arial" w:cs="Arial"/>
        </w:rPr>
        <w:t xml:space="preserve"> and 1</w:t>
      </w:r>
      <w:r w:rsidR="00F74C3B" w:rsidRPr="00F74C3B">
        <w:rPr>
          <w:rFonts w:ascii="Arial" w:hAnsi="Arial" w:cs="Arial"/>
        </w:rPr>
        <w:t>−hexadecyl−sn−glycero−3−phosphocholine</w:t>
      </w:r>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r>
        <w:rPr>
          <w:rFonts w:ascii="Arial" w:hAnsi="Arial" w:cs="Arial"/>
        </w:rPr>
        <w:t xml:space="preserve">10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We observed different gene content across the clinical strains assessed, but we observed no correlations with mortality 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6ECDC41F" w:rsidR="00BE5BE3" w:rsidRDefault="00CF169D" w:rsidP="00930AB0">
      <w:pPr>
        <w:spacing w:line="480" w:lineRule="auto"/>
        <w:ind w:firstLine="720"/>
        <w:rPr>
          <w:rFonts w:ascii="Arial" w:hAnsi="Arial" w:cs="Arial"/>
        </w:rPr>
      </w:pPr>
      <w:r w:rsidRPr="00CF169D">
        <w:rPr>
          <w:rFonts w:ascii="Arial" w:hAnsi="Arial" w:cs="Arial"/>
        </w:rPr>
        <w:lastRenderedPageBreak/>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6C2AA7CD"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w:t>
      </w:r>
      <w:r w:rsidR="002E6B24">
        <w:rPr>
          <w:rFonts w:ascii="Arial" w:hAnsi="Arial" w:cs="Arial"/>
        </w:rPr>
        <w:t>inflammation/</w:t>
      </w:r>
      <w:r w:rsidR="00930AB0" w:rsidRPr="00CF169D">
        <w:rPr>
          <w:rFonts w:ascii="Arial" w:hAnsi="Arial" w:cs="Arial"/>
        </w:rPr>
        <w:t xml:space="preserve">pain. Instead, </w:t>
      </w:r>
      <w:r w:rsidR="00930AB0">
        <w:rPr>
          <w:rFonts w:ascii="Arial" w:hAnsi="Arial" w:cs="Arial"/>
        </w:rPr>
        <w:t xml:space="preserve">they often </w:t>
      </w:r>
      <w:r w:rsidR="00463E5A">
        <w:rPr>
          <w:rFonts w:ascii="Arial" w:hAnsi="Arial" w:cs="Arial"/>
        </w:rPr>
        <w:t>manifest</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55392C3"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5C8E2518"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lastRenderedPageBreak/>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Notably, we observed</w:t>
      </w:r>
      <w:r>
        <w:rPr>
          <w:rFonts w:ascii="Arial" w:hAnsi="Arial" w:cs="Arial"/>
        </w:rPr>
        <w:t xml:space="preserve">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Enterococcal 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0C37D4E8" w:rsidR="0016161F" w:rsidRDefault="00D26B4D" w:rsidP="007C5E19">
      <w:pPr>
        <w:spacing w:line="480" w:lineRule="auto"/>
        <w:ind w:firstLine="720"/>
        <w:rPr>
          <w:rFonts w:ascii="Arial" w:hAnsi="Arial" w:cs="Arial"/>
          <w:color w:val="000000" w:themeColor="text1"/>
        </w:rPr>
      </w:pPr>
      <w:r>
        <w:rPr>
          <w:rFonts w:ascii="Arial" w:hAnsi="Arial" w:cs="Arial"/>
        </w:rPr>
        <w:lastRenderedPageBreak/>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2247A3F"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3EFB769A"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0D7821D2" w:rsidR="007A2946" w:rsidRDefault="002A126A" w:rsidP="00272006">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w:t>
      </w:r>
      <w:r w:rsidR="00B2466A">
        <w:rPr>
          <w:rFonts w:ascii="Arial" w:hAnsi="Arial" w:cs="Arial"/>
          <w:color w:val="000000" w:themeColor="text1"/>
        </w:rPr>
        <w:lastRenderedPageBreak/>
        <w:t xml:space="preserve">been demonstrated to possess strong antibiotic activity against </w:t>
      </w:r>
      <w:r w:rsidR="00B2466A" w:rsidRPr="00E213BF">
        <w:rPr>
          <w:rFonts w:ascii="Arial" w:hAnsi="Arial" w:cs="Arial"/>
          <w:i/>
          <w:iCs/>
          <w:color w:val="000000" w:themeColor="text1"/>
        </w:rPr>
        <w:t xml:space="preserve">Vibrio </w:t>
      </w:r>
      <w:proofErr w:type="spellStart"/>
      <w:r w:rsidR="007A2946">
        <w:rPr>
          <w:rFonts w:ascii="Arial" w:hAnsi="Arial" w:cs="Arial"/>
          <w:i/>
          <w:iCs/>
          <w:color w:val="000000" w:themeColor="text1"/>
        </w:rPr>
        <w:t>a</w:t>
      </w:r>
      <w:r w:rsidR="00B2466A" w:rsidRPr="00E213BF">
        <w:rPr>
          <w:rFonts w:ascii="Arial" w:hAnsi="Arial" w:cs="Arial"/>
          <w:i/>
          <w:iCs/>
          <w:color w:val="000000" w:themeColor="text1"/>
        </w:rPr>
        <w:t>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4448AF" w:rsidRPr="004448AF">
        <w:rPr>
          <w:rFonts w:ascii="Arial" w:hAnsi="Arial" w:cs="Arial"/>
          <w:vertAlign w:val="superscript"/>
        </w:rPr>
        <w:t>74</w:t>
      </w:r>
      <w:r w:rsidR="006679E3">
        <w:rPr>
          <w:rFonts w:ascii="Arial" w:hAnsi="Arial" w:cs="Arial"/>
        </w:rPr>
        <w:fldChar w:fldCharType="end"/>
      </w:r>
      <w:r w:rsidR="00AF055C">
        <w:rPr>
          <w:rFonts w:ascii="Arial" w:hAnsi="Arial" w:cs="Arial"/>
        </w:rPr>
        <w:t>.</w:t>
      </w:r>
      <w:r>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6C7D3FE9"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w:t>
      </w:r>
      <w:r w:rsidR="00B30DC6">
        <w:rPr>
          <w:rFonts w:ascii="Arial" w:hAnsi="Arial" w:cs="Arial"/>
        </w:rPr>
        <w:lastRenderedPageBreak/>
        <w:t>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w:t>
      </w:r>
      <w:r w:rsidR="00D13E0C">
        <w:rPr>
          <w:rFonts w:ascii="Arial" w:hAnsi="Arial" w:cs="Arial"/>
        </w:rPr>
        <w:t>improve</w:t>
      </w:r>
      <w:r w:rsidR="00BB281C">
        <w:rPr>
          <w:rFonts w:ascii="Arial" w:hAnsi="Arial" w:cs="Arial"/>
        </w:rPr>
        <w:t xml:space="preser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1BB10660"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w:t>
      </w:r>
      <w:r w:rsidR="000C6EAC">
        <w:rPr>
          <w:rFonts w:ascii="Arial" w:hAnsi="Arial" w:cs="Arial"/>
        </w:rPr>
        <w:lastRenderedPageBreak/>
        <w:t xml:space="preserve">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proofErr w:type="gramStart"/>
      <w:r w:rsidR="00B33B24">
        <w:rPr>
          <w:rFonts w:ascii="Arial" w:hAnsi="Arial" w:cs="Arial"/>
        </w:rPr>
        <w:t>More</w:t>
      </w:r>
      <w:proofErr w:type="gramEnd"/>
      <w:r w:rsidR="00B33B24">
        <w:rPr>
          <w:rFonts w:ascii="Arial" w:hAnsi="Arial" w:cs="Arial"/>
        </w:rPr>
        <w:t xml:space="preserv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0A620FD6"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w:t>
      </w:r>
      <w:proofErr w:type="gramStart"/>
      <w:r w:rsidR="0054376B">
        <w:rPr>
          <w:rFonts w:ascii="Arial" w:hAnsi="Arial" w:cs="Arial"/>
        </w:rPr>
        <w:t>these retinol</w:t>
      </w:r>
      <w:proofErr w:type="gramEnd"/>
      <w:r w:rsidR="0054376B">
        <w:rPr>
          <w:rFonts w:ascii="Arial" w:hAnsi="Arial" w:cs="Arial"/>
        </w:rPr>
        <w:t xml:space="preserve">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lastRenderedPageBreak/>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F6A2A86"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a number of important differences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3F5D6F">
        <w:rPr>
          <w:rFonts w:ascii="Arial" w:hAnsi="Arial" w:cs="Arial"/>
        </w:rPr>
        <w:t xml:space="preserve">mortality </w:t>
      </w:r>
      <w:r w:rsidR="009C459B">
        <w:rPr>
          <w:rFonts w:ascii="Arial" w:hAnsi="Arial" w:cs="Arial"/>
        </w:rPr>
        <w:t xml:space="preserve">patients </w:t>
      </w:r>
      <w:r w:rsidR="003F5D6F">
        <w:rPr>
          <w:rFonts w:ascii="Arial" w:hAnsi="Arial" w:cs="Arial"/>
        </w:rPr>
        <w:t>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19064B0D" w:rsidR="00E25688" w:rsidRDefault="00E25688" w:rsidP="009D4814">
      <w:pPr>
        <w:spacing w:line="480" w:lineRule="auto"/>
        <w:ind w:firstLine="720"/>
        <w:rPr>
          <w:rFonts w:ascii="Arial" w:hAnsi="Arial" w:cs="Arial"/>
        </w:rPr>
      </w:pPr>
      <w:r>
        <w:rPr>
          <w:rFonts w:ascii="Arial" w:hAnsi="Arial" w:cs="Arial"/>
        </w:rPr>
        <w:lastRenderedPageBreak/>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w:t>
      </w:r>
      <w:proofErr w:type="spellStart"/>
      <w:r w:rsidR="004138C9" w:rsidRPr="00F87959">
        <w:rPr>
          <w:rFonts w:ascii="Arial" w:hAnsi="Arial" w:cs="Arial"/>
          <w:lang w:val="fr-FR"/>
        </w:rPr>
        <w:t>bacteremia</w:t>
      </w:r>
      <w:proofErr w:type="spellEnd"/>
      <w:r w:rsidR="00FC3DD5" w:rsidRPr="00F87959">
        <w:rPr>
          <w:rFonts w:ascii="Arial" w:hAnsi="Arial" w:cs="Arial"/>
          <w:lang w:val="fr-FR"/>
        </w:rPr>
        <w:t xml:space="preserve"> </w:t>
      </w:r>
      <w:r w:rsidR="009D4814" w:rsidRPr="005A7929">
        <w:rPr>
          <w:rFonts w:ascii="Arial" w:hAnsi="Arial" w:cs="Arial"/>
        </w:rPr>
        <w:fldChar w:fldCharType="begin"/>
      </w:r>
      <w:r w:rsidR="00B67950">
        <w:rPr>
          <w:rFonts w:ascii="Arial" w:hAnsi="Arial" w:cs="Arial"/>
          <w:lang w:val="fr-FR"/>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B67950" w:rsidRPr="00B67950">
        <w:rPr>
          <w:rFonts w:ascii="Arial" w:hAnsi="Arial" w:cs="Arial"/>
          <w:vertAlign w:val="superscript"/>
        </w:rPr>
        <w:t>18</w:t>
      </w:r>
      <w:r w:rsidR="009D4814" w:rsidRPr="005A7929">
        <w:rPr>
          <w:rFonts w:ascii="Arial" w:hAnsi="Arial" w:cs="Arial"/>
        </w:rPr>
        <w:fldChar w:fldCharType="end"/>
      </w:r>
      <w:r w:rsidR="004138C9" w:rsidRPr="00F87959">
        <w:rPr>
          <w:rFonts w:ascii="Arial" w:hAnsi="Arial" w:cs="Arial"/>
          <w:lang w:val="fr-FR"/>
        </w:rPr>
        <w:t xml:space="preserve">, as </w:t>
      </w:r>
      <w:proofErr w:type="spellStart"/>
      <w:r w:rsidR="004138C9" w:rsidRPr="00F87959">
        <w:rPr>
          <w:rFonts w:ascii="Arial" w:hAnsi="Arial" w:cs="Arial"/>
          <w:lang w:val="fr-FR"/>
        </w:rPr>
        <w:t>well</w:t>
      </w:r>
      <w:proofErr w:type="spellEnd"/>
      <w:r w:rsidR="004138C9" w:rsidRPr="00F87959">
        <w:rPr>
          <w:rFonts w:ascii="Arial" w:hAnsi="Arial" w:cs="Arial"/>
          <w:lang w:val="fr-FR"/>
        </w:rPr>
        <w:t xml:space="preserve"> as mouse </w:t>
      </w:r>
      <w:proofErr w:type="spellStart"/>
      <w:r w:rsidR="004138C9" w:rsidRPr="00F87959">
        <w:rPr>
          <w:rFonts w:ascii="Arial" w:hAnsi="Arial" w:cs="Arial"/>
          <w:lang w:val="fr-FR"/>
        </w:rPr>
        <w:t>models</w:t>
      </w:r>
      <w:proofErr w:type="spellEnd"/>
      <w:r w:rsidR="004138C9" w:rsidRPr="00F87959">
        <w:rPr>
          <w:rFonts w:ascii="Arial" w:hAnsi="Arial" w:cs="Arial"/>
          <w:lang w:val="fr-FR"/>
        </w:rPr>
        <w:t xml:space="preserve"> of sepsis- </w:t>
      </w:r>
      <w:proofErr w:type="spellStart"/>
      <w:r w:rsidR="004138C9" w:rsidRPr="00F87959">
        <w:rPr>
          <w:rFonts w:ascii="Arial" w:hAnsi="Arial" w:cs="Arial"/>
          <w:lang w:val="fr-FR"/>
        </w:rPr>
        <w:t>where</w:t>
      </w:r>
      <w:proofErr w:type="spellEnd"/>
      <w:r w:rsidR="004138C9" w:rsidRPr="00F87959">
        <w:rPr>
          <w:rFonts w:ascii="Arial" w:hAnsi="Arial" w:cs="Arial"/>
          <w:lang w:val="fr-FR"/>
        </w:rPr>
        <w:t xml:space="preserve"> </w:t>
      </w:r>
      <w:proofErr w:type="spellStart"/>
      <w:r w:rsidR="004138C9" w:rsidRPr="00F87959">
        <w:rPr>
          <w:rFonts w:ascii="Arial" w:hAnsi="Arial" w:cs="Arial"/>
          <w:lang w:val="fr-FR"/>
        </w:rPr>
        <w:t>delivery</w:t>
      </w:r>
      <w:proofErr w:type="spellEnd"/>
      <w:r w:rsidR="004138C9" w:rsidRPr="00F87959">
        <w:rPr>
          <w:rFonts w:ascii="Arial" w:hAnsi="Arial" w:cs="Arial"/>
          <w:lang w:val="fr-FR"/>
        </w:rPr>
        <w:t xml:space="preserve"> of </w:t>
      </w:r>
      <w:proofErr w:type="spellStart"/>
      <w:r w:rsidR="004138C9" w:rsidRPr="00F87959">
        <w:rPr>
          <w:rFonts w:ascii="Arial" w:hAnsi="Arial" w:cs="Arial"/>
          <w:lang w:val="fr-FR"/>
        </w:rPr>
        <w:t>external</w:t>
      </w:r>
      <w:proofErr w:type="spellEnd"/>
      <w:r w:rsidR="004138C9" w:rsidRPr="00F87959">
        <w:rPr>
          <w:rFonts w:ascii="Arial" w:hAnsi="Arial" w:cs="Arial"/>
          <w:lang w:val="fr-FR"/>
        </w:rPr>
        <w:t xml:space="preserve"> HRG </w:t>
      </w:r>
      <w:proofErr w:type="spellStart"/>
      <w:r w:rsidR="004138C9" w:rsidRPr="00F87959">
        <w:rPr>
          <w:rFonts w:ascii="Arial" w:hAnsi="Arial" w:cs="Arial"/>
          <w:lang w:val="fr-FR"/>
        </w:rPr>
        <w:t>was</w:t>
      </w:r>
      <w:proofErr w:type="spellEnd"/>
      <w:r w:rsidR="009D4814" w:rsidRPr="00F87959">
        <w:rPr>
          <w:rFonts w:ascii="Arial" w:hAnsi="Arial" w:cs="Arial"/>
          <w:lang w:val="fr-FR"/>
        </w:rPr>
        <w:t xml:space="preserve"> </w:t>
      </w:r>
      <w:proofErr w:type="spellStart"/>
      <w:r w:rsidR="009D4814" w:rsidRPr="00F87959">
        <w:rPr>
          <w:rFonts w:ascii="Arial" w:hAnsi="Arial" w:cs="Arial"/>
          <w:lang w:val="fr-FR"/>
        </w:rPr>
        <w:t>even</w:t>
      </w:r>
      <w:proofErr w:type="spellEnd"/>
      <w:r w:rsidR="004138C9" w:rsidRPr="00F87959">
        <w:rPr>
          <w:rFonts w:ascii="Arial" w:hAnsi="Arial" w:cs="Arial"/>
          <w:lang w:val="fr-FR"/>
        </w:rPr>
        <w:t xml:space="preserve"> able to </w:t>
      </w:r>
      <w:proofErr w:type="spellStart"/>
      <w:r w:rsidR="004138C9" w:rsidRPr="00F87959">
        <w:rPr>
          <w:rFonts w:ascii="Arial" w:hAnsi="Arial" w:cs="Arial"/>
          <w:lang w:val="fr-FR"/>
        </w:rPr>
        <w:t>improve</w:t>
      </w:r>
      <w:proofErr w:type="spellEnd"/>
      <w:r w:rsidR="004138C9" w:rsidRPr="00F87959">
        <w:rPr>
          <w:rFonts w:ascii="Arial" w:hAnsi="Arial" w:cs="Arial"/>
          <w:lang w:val="fr-FR"/>
        </w:rPr>
        <w:t xml:space="preserve"> </w:t>
      </w:r>
      <w:proofErr w:type="spellStart"/>
      <w:r w:rsidR="004138C9" w:rsidRPr="00F87959">
        <w:rPr>
          <w:rFonts w:ascii="Arial" w:hAnsi="Arial" w:cs="Arial"/>
          <w:lang w:val="fr-FR"/>
        </w:rPr>
        <w:t>outcome</w:t>
      </w:r>
      <w:proofErr w:type="spellEnd"/>
      <w:r w:rsidR="004138C9" w:rsidRPr="00F87959">
        <w:rPr>
          <w:rFonts w:ascii="Arial" w:hAnsi="Arial" w:cs="Arial"/>
          <w:lang w:val="fr-FR"/>
        </w:rPr>
        <w:t xml:space="preserve"> </w:t>
      </w:r>
      <w:r w:rsidR="004138C9" w:rsidRPr="005A7929">
        <w:rPr>
          <w:rFonts w:ascii="Arial" w:hAnsi="Arial" w:cs="Arial"/>
        </w:rPr>
        <w:fldChar w:fldCharType="begin"/>
      </w:r>
      <w:r w:rsidR="00D441F9">
        <w:rPr>
          <w:rFonts w:ascii="Arial" w:hAnsi="Arial" w:cs="Arial"/>
          <w:lang w:val="fr-FR"/>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85</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19F1B385"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4CC7AED9"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B67950">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B67950" w:rsidRPr="00B67950">
        <w:rPr>
          <w:rFonts w:ascii="Arial" w:hAnsi="Arial" w:cs="Arial"/>
          <w:vertAlign w:val="superscript"/>
        </w:rPr>
        <w:t>18</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w:t>
      </w:r>
      <w:r w:rsidR="00162F50">
        <w:rPr>
          <w:rFonts w:ascii="Arial" w:hAnsi="Arial" w:cs="Arial"/>
        </w:rPr>
        <w:lastRenderedPageBreak/>
        <w:t xml:space="preserve">to healthy volunteers, bacteremia driven by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8"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9"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 xml:space="preserve">code to build the shiny </w:t>
      </w:r>
      <w:r w:rsidR="004C6409">
        <w:rPr>
          <w:rFonts w:ascii="Arial" w:hAnsi="Arial" w:cs="Arial"/>
        </w:rPr>
        <w:lastRenderedPageBreak/>
        <w:t>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r>
      <w:proofErr w:type="spellStart"/>
      <w:r w:rsidR="00D441F9" w:rsidRPr="00D441F9">
        <w:t>Lebreton</w:t>
      </w:r>
      <w:proofErr w:type="spellEnd"/>
      <w:r w:rsidR="00D441F9" w:rsidRPr="00D441F9">
        <w:t>,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t>
      </w:r>
      <w:proofErr w:type="spellStart"/>
      <w:r w:rsidRPr="00D441F9">
        <w:t>Wityk</w:t>
      </w:r>
      <w:proofErr w:type="spellEnd"/>
      <w:r w:rsidRPr="00D441F9">
        <w:t xml:space="preserve">, P., </w:t>
      </w:r>
      <w:proofErr w:type="spellStart"/>
      <w:r w:rsidRPr="00D441F9">
        <w:t>Gałęcka</w:t>
      </w:r>
      <w:proofErr w:type="spellEnd"/>
      <w:r w:rsidRPr="00D441F9">
        <w:t xml:space="preserve">, M. &amp; </w:t>
      </w:r>
      <w:proofErr w:type="spellStart"/>
      <w:r w:rsidRPr="00D441F9">
        <w:t>Michalik</w:t>
      </w:r>
      <w:proofErr w:type="spellEnd"/>
      <w:r w:rsidRPr="00D441F9">
        <w:t xml:space="preserve">,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r>
      <w:proofErr w:type="spellStart"/>
      <w:r w:rsidRPr="00D441F9">
        <w:t>Schloissnig</w:t>
      </w:r>
      <w:proofErr w:type="spellEnd"/>
      <w:r w:rsidRPr="00D441F9">
        <w:t xml:space="preserve">,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r>
      <w:proofErr w:type="spellStart"/>
      <w:r w:rsidRPr="00D441F9">
        <w:t>Lebreton</w:t>
      </w:r>
      <w:proofErr w:type="spellEnd"/>
      <w:r w:rsidRPr="00D441F9">
        <w:t xml:space="preserve">,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t>6.</w:t>
      </w:r>
      <w:r w:rsidRPr="00D441F9">
        <w:tab/>
        <w:t xml:space="preserve">Fiore, E., Van Tyne, D. &amp; Gilmore, M. S. Pathogenicity of Enterococci. </w:t>
      </w:r>
      <w:proofErr w:type="spellStart"/>
      <w:r w:rsidRPr="00D441F9">
        <w:rPr>
          <w:i/>
          <w:iCs/>
        </w:rPr>
        <w:t>Microbiol</w:t>
      </w:r>
      <w:proofErr w:type="spellEnd"/>
      <w:r w:rsidRPr="00D441F9">
        <w:rPr>
          <w:i/>
          <w:iCs/>
        </w:rPr>
        <w:t xml:space="preserve"> </w:t>
      </w:r>
      <w:proofErr w:type="spellStart"/>
      <w:r w:rsidRPr="00D441F9">
        <w:rPr>
          <w:i/>
          <w:iCs/>
        </w:rPr>
        <w:t>Spectr</w:t>
      </w:r>
      <w:proofErr w:type="spellEnd"/>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t>7.</w:t>
      </w:r>
      <w:r w:rsidRPr="00D441F9">
        <w:tab/>
      </w:r>
      <w:proofErr w:type="spellStart"/>
      <w:r w:rsidRPr="00D441F9">
        <w:t>Higuita</w:t>
      </w:r>
      <w:proofErr w:type="spellEnd"/>
      <w:r w:rsidRPr="00D441F9">
        <w:t xml:space="preserve">, N. I. A. &amp; </w:t>
      </w:r>
      <w:proofErr w:type="spellStart"/>
      <w:r w:rsidRPr="00D441F9">
        <w:t>Huycke</w:t>
      </w:r>
      <w:proofErr w:type="spellEnd"/>
      <w:r w:rsidRPr="00D441F9">
        <w:t>, M. M. Enterococcal Disease, Epidemiology, and Implications for Treatment.</w:t>
      </w:r>
    </w:p>
    <w:p w14:paraId="561F4D7A" w14:textId="77777777" w:rsidR="00D441F9" w:rsidRPr="00D441F9" w:rsidRDefault="00D441F9" w:rsidP="00D441F9">
      <w:pPr>
        <w:pStyle w:val="Bibliography"/>
      </w:pPr>
      <w:r w:rsidRPr="00D441F9">
        <w:t>8.</w:t>
      </w:r>
      <w:r w:rsidRPr="00D441F9">
        <w:tab/>
        <w:t>García-</w:t>
      </w:r>
      <w:proofErr w:type="spellStart"/>
      <w:r w:rsidRPr="00D441F9">
        <w:t>Solache</w:t>
      </w:r>
      <w:proofErr w:type="spellEnd"/>
      <w:r w:rsidRPr="00D441F9">
        <w:t xml:space="preserve">, M. &amp; Rice, L. B. The Enterococcus: </w:t>
      </w:r>
      <w:proofErr w:type="gramStart"/>
      <w:r w:rsidRPr="00D441F9">
        <w:t>a</w:t>
      </w:r>
      <w:proofErr w:type="gramEnd"/>
      <w:r w:rsidRPr="00D441F9">
        <w:t xml:space="preserve"> Model of Adaptability to Its Environment. </w:t>
      </w:r>
      <w:r w:rsidRPr="00D441F9">
        <w:rPr>
          <w:i/>
          <w:iCs/>
        </w:rPr>
        <w:t xml:space="preserve">Clin </w:t>
      </w:r>
      <w:proofErr w:type="spellStart"/>
      <w:r w:rsidRPr="00D441F9">
        <w:rPr>
          <w:i/>
          <w:iCs/>
        </w:rPr>
        <w:t>Microbiol</w:t>
      </w:r>
      <w:proofErr w:type="spellEnd"/>
      <w:r w:rsidRPr="00D441F9">
        <w:rPr>
          <w:i/>
          <w:iCs/>
        </w:rPr>
        <w:t xml:space="preserve">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lastRenderedPageBreak/>
        <w:t>9.</w:t>
      </w:r>
      <w:r w:rsidRPr="00D441F9">
        <w:tab/>
        <w:t xml:space="preserve">Herrero, I. A., Issa, N. C. &amp; Patel, R. Nosocomial Spread of Linezolid-Resistant, Vancomycin-Resistant Enterococcus faecium. </w:t>
      </w:r>
      <w:r w:rsidRPr="00D441F9">
        <w:rPr>
          <w:i/>
          <w:iCs/>
        </w:rPr>
        <w:t xml:space="preserve">N </w:t>
      </w:r>
      <w:proofErr w:type="spellStart"/>
      <w:r w:rsidRPr="00D441F9">
        <w:rPr>
          <w:i/>
          <w:iCs/>
        </w:rPr>
        <w:t>Engl</w:t>
      </w:r>
      <w:proofErr w:type="spellEnd"/>
      <w:r w:rsidRPr="00D441F9">
        <w:rPr>
          <w:i/>
          <w:iCs/>
        </w:rPr>
        <w:t xml:space="preserve">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t>10.</w:t>
      </w:r>
      <w:r w:rsidRPr="00D441F9">
        <w:tab/>
        <w:t xml:space="preserve">Chow, J. W., Davidson, A., Sanford, E. &amp; </w:t>
      </w:r>
      <w:proofErr w:type="spellStart"/>
      <w:r w:rsidRPr="00D441F9">
        <w:t>Zervos</w:t>
      </w:r>
      <w:proofErr w:type="spellEnd"/>
      <w:r w:rsidRPr="00D441F9">
        <w:t xml:space="preserve">, M. J. Superinfection with Enterococcus faecalis During </w:t>
      </w:r>
      <w:proofErr w:type="spellStart"/>
      <w:r w:rsidRPr="00D441F9">
        <w:t>Quinupristin</w:t>
      </w:r>
      <w:proofErr w:type="spellEnd"/>
      <w:r w:rsidRPr="00D441F9">
        <w:t>/</w:t>
      </w:r>
      <w:proofErr w:type="spellStart"/>
      <w:r w:rsidRPr="00D441F9">
        <w:t>Dalfopristin</w:t>
      </w:r>
      <w:proofErr w:type="spellEnd"/>
      <w:r w:rsidRPr="00D441F9">
        <w:t xml:space="preserve">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 xml:space="preserve">Nat Rev </w:t>
      </w:r>
      <w:proofErr w:type="spellStart"/>
      <w:r w:rsidRPr="00D441F9">
        <w:rPr>
          <w:i/>
          <w:iCs/>
        </w:rPr>
        <w:t>Microbiol</w:t>
      </w:r>
      <w:proofErr w:type="spellEnd"/>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w:t>
      </w:r>
      <w:proofErr w:type="spellStart"/>
      <w:r w:rsidRPr="00D441F9">
        <w:t>cid</w:t>
      </w:r>
      <w:proofErr w:type="spellEnd"/>
      <w:r w:rsidRPr="00D441F9">
        <w:t>/ciad612.</w:t>
      </w:r>
    </w:p>
    <w:p w14:paraId="1526F4F9" w14:textId="77777777" w:rsidR="00D441F9" w:rsidRPr="00D441F9" w:rsidRDefault="00D441F9" w:rsidP="00D441F9">
      <w:pPr>
        <w:pStyle w:val="Bibliography"/>
      </w:pPr>
      <w:r w:rsidRPr="00D441F9">
        <w:t>14.</w:t>
      </w:r>
      <w:r w:rsidRPr="00D441F9">
        <w:tab/>
      </w:r>
      <w:proofErr w:type="spellStart"/>
      <w:r w:rsidRPr="00D441F9">
        <w:t>Elizaga</w:t>
      </w:r>
      <w:proofErr w:type="spellEnd"/>
      <w:r w:rsidRPr="00D441F9">
        <w:t xml:space="preserve">,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w:t>
      </w:r>
      <w:proofErr w:type="spellStart"/>
      <w:r w:rsidRPr="00D441F9">
        <w:t>Pirofski</w:t>
      </w:r>
      <w:proofErr w:type="spellEnd"/>
      <w:r w:rsidRPr="00D441F9">
        <w:t xml:space="preserve">,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t>16.</w:t>
      </w:r>
      <w:r w:rsidRPr="00D441F9">
        <w:tab/>
      </w:r>
      <w:proofErr w:type="spellStart"/>
      <w:r w:rsidRPr="00D441F9">
        <w:t>Bivona</w:t>
      </w:r>
      <w:proofErr w:type="spellEnd"/>
      <w:r w:rsidRPr="00D441F9">
        <w:t xml:space="preserve">, G., </w:t>
      </w:r>
      <w:proofErr w:type="spellStart"/>
      <w:r w:rsidRPr="00D441F9">
        <w:t>Agnello</w:t>
      </w:r>
      <w:proofErr w:type="spellEnd"/>
      <w:r w:rsidRPr="00D441F9">
        <w:t xml:space="preserve">, L. &amp; </w:t>
      </w:r>
      <w:proofErr w:type="spellStart"/>
      <w:r w:rsidRPr="00D441F9">
        <w:t>Ciaccio</w:t>
      </w:r>
      <w:proofErr w:type="spellEnd"/>
      <w:r w:rsidRPr="00D441F9">
        <w:t xml:space="preserve">,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t>17.</w:t>
      </w:r>
      <w:r w:rsidRPr="00D441F9">
        <w:tab/>
      </w:r>
      <w:proofErr w:type="spellStart"/>
      <w:r w:rsidRPr="00D441F9">
        <w:t>Dhanasekaran</w:t>
      </w:r>
      <w:proofErr w:type="spellEnd"/>
      <w:r w:rsidRPr="00D441F9">
        <w:t xml:space="preserve">,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lastRenderedPageBreak/>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r>
      <w:proofErr w:type="spellStart"/>
      <w:r w:rsidRPr="00D441F9">
        <w:t>Frantzi</w:t>
      </w:r>
      <w:proofErr w:type="spellEnd"/>
      <w:r w:rsidRPr="00D441F9">
        <w:t xml:space="preserve">, M., Bhat, A. &amp; </w:t>
      </w:r>
      <w:proofErr w:type="spellStart"/>
      <w:r w:rsidRPr="00D441F9">
        <w:t>Latosinska</w:t>
      </w:r>
      <w:proofErr w:type="spellEnd"/>
      <w:r w:rsidRPr="00D441F9">
        <w:t xml:space="preserve">,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r>
      <w:proofErr w:type="spellStart"/>
      <w:r w:rsidRPr="00D441F9">
        <w:t>Lapek</w:t>
      </w:r>
      <w:proofErr w:type="spellEnd"/>
      <w:r w:rsidRPr="00D441F9">
        <w:t xml:space="preserve">,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r>
      <w:proofErr w:type="spellStart"/>
      <w:r w:rsidRPr="00D441F9">
        <w:t>Wierzbicki</w:t>
      </w:r>
      <w:proofErr w:type="spellEnd"/>
      <w:r w:rsidRPr="00D441F9">
        <w:t xml:space="preserve">,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t>25.</w:t>
      </w:r>
      <w:r w:rsidRPr="00D441F9">
        <w:tab/>
        <w:t xml:space="preserve">Wu, T. </w:t>
      </w:r>
      <w:r w:rsidRPr="00D441F9">
        <w:rPr>
          <w:i/>
          <w:iCs/>
        </w:rPr>
        <w:t>et al.</w:t>
      </w:r>
      <w:r w:rsidRPr="00D441F9">
        <w:t xml:space="preserve"> </w:t>
      </w:r>
      <w:proofErr w:type="spellStart"/>
      <w:r w:rsidRPr="00D441F9">
        <w:t>clusterProfiler</w:t>
      </w:r>
      <w:proofErr w:type="spellEnd"/>
      <w:r w:rsidRPr="00D441F9">
        <w:t xml:space="preserve">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t>26.</w:t>
      </w:r>
      <w:r w:rsidRPr="00D441F9">
        <w:tab/>
        <w:t xml:space="preserve">Holman, J. D., Tabb, D. L. &amp; Mallick, P. Employing </w:t>
      </w:r>
      <w:proofErr w:type="spellStart"/>
      <w:r w:rsidRPr="00D441F9">
        <w:t>ProteoWizard</w:t>
      </w:r>
      <w:proofErr w:type="spellEnd"/>
      <w:r w:rsidRPr="00D441F9">
        <w:t xml:space="preserve">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w:t>
      </w:r>
      <w:proofErr w:type="spellStart"/>
      <w:r w:rsidRPr="00D441F9">
        <w:t>MZmine</w:t>
      </w:r>
      <w:proofErr w:type="spellEnd"/>
      <w:r w:rsidRPr="00D441F9">
        <w:t xml:space="preserve"> 3. </w:t>
      </w:r>
      <w:r w:rsidRPr="00D441F9">
        <w:rPr>
          <w:i/>
          <w:iCs/>
        </w:rPr>
        <w:t xml:space="preserve">Nat </w:t>
      </w:r>
      <w:proofErr w:type="spellStart"/>
      <w:r w:rsidRPr="00D441F9">
        <w:rPr>
          <w:i/>
          <w:iCs/>
        </w:rPr>
        <w:t>Biotechnol</w:t>
      </w:r>
      <w:proofErr w:type="spellEnd"/>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 xml:space="preserve">Nat </w:t>
      </w:r>
      <w:proofErr w:type="spellStart"/>
      <w:r w:rsidRPr="00D441F9">
        <w:rPr>
          <w:i/>
          <w:iCs/>
        </w:rPr>
        <w:t>Biotechnol</w:t>
      </w:r>
      <w:proofErr w:type="spellEnd"/>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lastRenderedPageBreak/>
        <w:t>29.</w:t>
      </w:r>
      <w:r w:rsidRPr="00D441F9">
        <w:tab/>
        <w:t xml:space="preserve">Campeau, A. </w:t>
      </w:r>
      <w:r w:rsidRPr="00D441F9">
        <w:rPr>
          <w:i/>
          <w:iCs/>
        </w:rPr>
        <w:t>et al.</w:t>
      </w:r>
      <w:r w:rsidRPr="00D441F9">
        <w:t xml:space="preserve"> </w:t>
      </w:r>
      <w:proofErr w:type="gramStart"/>
      <w:r w:rsidRPr="00D441F9">
        <w:t>Multi-omics</w:t>
      </w:r>
      <w:proofErr w:type="gramEnd"/>
      <w:r w:rsidRPr="00D441F9">
        <w:t xml:space="preserve">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w:t>
      </w:r>
      <w:proofErr w:type="spellStart"/>
      <w:r w:rsidRPr="00D441F9">
        <w:t>Genze</w:t>
      </w:r>
      <w:proofErr w:type="spellEnd"/>
      <w:r w:rsidRPr="00D441F9">
        <w:t xml:space="preserve">, N. &amp; Heider, D. EFS: an ensemble feature selection tool implemented as R-package and web-application. </w:t>
      </w:r>
      <w:proofErr w:type="spellStart"/>
      <w:r w:rsidRPr="00D441F9">
        <w:rPr>
          <w:i/>
          <w:iCs/>
        </w:rPr>
        <w:t>BioData</w:t>
      </w:r>
      <w:proofErr w:type="spellEnd"/>
      <w:r w:rsidRPr="00D441F9">
        <w:rPr>
          <w:i/>
          <w:iCs/>
        </w:rPr>
        <w:t xml:space="preserve">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w:t>
      </w:r>
      <w:proofErr w:type="spellStart"/>
      <w:r w:rsidRPr="00D441F9">
        <w:t>Breitwieser</w:t>
      </w:r>
      <w:proofErr w:type="spellEnd"/>
      <w:r w:rsidRPr="00D441F9">
        <w:t xml:space="preserve">, F. P. &amp; </w:t>
      </w:r>
      <w:proofErr w:type="spellStart"/>
      <w:r w:rsidRPr="00D441F9">
        <w:t>Salzberg</w:t>
      </w:r>
      <w:proofErr w:type="spellEnd"/>
      <w:r w:rsidRPr="00D441F9">
        <w:t xml:space="preserve">,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 xml:space="preserve">Li, H. </w:t>
      </w:r>
      <w:proofErr w:type="spellStart"/>
      <w:r w:rsidRPr="00D441F9">
        <w:t>seqtk</w:t>
      </w:r>
      <w:proofErr w:type="spellEnd"/>
      <w:r w:rsidRPr="00D441F9">
        <w:t>. (2023).</w:t>
      </w:r>
    </w:p>
    <w:p w14:paraId="2C47A2DB" w14:textId="77777777" w:rsidR="00D441F9" w:rsidRPr="00D441F9" w:rsidRDefault="00D441F9" w:rsidP="00D441F9">
      <w:pPr>
        <w:pStyle w:val="Bibliography"/>
      </w:pPr>
      <w:r w:rsidRPr="00D441F9">
        <w:t>33.</w:t>
      </w:r>
      <w:r w:rsidRPr="00D441F9">
        <w:tab/>
        <w:t xml:space="preserve">Wright, C., Griffiths, Sarah &amp; Parker, Matthew. </w:t>
      </w:r>
      <w:proofErr w:type="spellStart"/>
      <w:r w:rsidRPr="00D441F9">
        <w:t>wf</w:t>
      </w:r>
      <w:proofErr w:type="spellEnd"/>
      <w:r w:rsidRPr="00D441F9">
        <w:t>-bacterial-genomes.</w:t>
      </w:r>
    </w:p>
    <w:p w14:paraId="533F6481" w14:textId="77777777" w:rsidR="00D441F9" w:rsidRPr="00D441F9" w:rsidRDefault="00D441F9" w:rsidP="00D441F9">
      <w:pPr>
        <w:pStyle w:val="Bibliography"/>
      </w:pPr>
      <w:r w:rsidRPr="00D441F9">
        <w:t>34.</w:t>
      </w:r>
      <w:r w:rsidRPr="00D441F9">
        <w:tab/>
        <w:t xml:space="preserve">Palumbo, E. </w:t>
      </w:r>
      <w:proofErr w:type="spellStart"/>
      <w:r w:rsidRPr="00D441F9">
        <w:t>bamstats</w:t>
      </w:r>
      <w:proofErr w:type="spellEnd"/>
      <w:r w:rsidRPr="00D441F9">
        <w:t>.</w:t>
      </w:r>
    </w:p>
    <w:p w14:paraId="41FF8480" w14:textId="77777777" w:rsidR="00D441F9" w:rsidRPr="00D441F9" w:rsidRDefault="00D441F9" w:rsidP="00D441F9">
      <w:pPr>
        <w:pStyle w:val="Bibliography"/>
      </w:pPr>
      <w:r w:rsidRPr="00D441F9">
        <w:t>35.</w:t>
      </w:r>
      <w:r w:rsidRPr="00D441F9">
        <w:tab/>
        <w:t xml:space="preserve">Freire, B., </w:t>
      </w:r>
      <w:proofErr w:type="spellStart"/>
      <w:r w:rsidRPr="00D441F9">
        <w:t>Ladra</w:t>
      </w:r>
      <w:proofErr w:type="spellEnd"/>
      <w:r w:rsidRPr="00D441F9">
        <w:t xml:space="preserve">, S. &amp; </w:t>
      </w:r>
      <w:proofErr w:type="spellStart"/>
      <w:r w:rsidRPr="00D441F9">
        <w:t>Parama</w:t>
      </w:r>
      <w:proofErr w:type="spellEnd"/>
      <w:r w:rsidRPr="00D441F9">
        <w:t xml:space="preserve">, J. R. Memory-Efficient Assembly using </w:t>
      </w:r>
      <w:proofErr w:type="spellStart"/>
      <w:r w:rsidRPr="00D441F9">
        <w:t>Flye</w:t>
      </w:r>
      <w:proofErr w:type="spellEnd"/>
      <w:r w:rsidRPr="00D441F9">
        <w:t xml:space="preserve">. </w:t>
      </w:r>
      <w:r w:rsidRPr="00D441F9">
        <w:rPr>
          <w:i/>
          <w:iCs/>
        </w:rPr>
        <w:t xml:space="preserve">IEEE/ACM Trans. </w:t>
      </w:r>
      <w:proofErr w:type="spellStart"/>
      <w:r w:rsidRPr="00D441F9">
        <w:rPr>
          <w:i/>
          <w:iCs/>
        </w:rPr>
        <w:t>Comput</w:t>
      </w:r>
      <w:proofErr w:type="spellEnd"/>
      <w:r w:rsidRPr="00D441F9">
        <w:rPr>
          <w:i/>
          <w:iCs/>
        </w:rPr>
        <w:t xml:space="preserve">. Biol. and </w:t>
      </w:r>
      <w:proofErr w:type="spellStart"/>
      <w:r w:rsidRPr="00D441F9">
        <w:rPr>
          <w:i/>
          <w:iCs/>
        </w:rPr>
        <w:t>Bioinf</w:t>
      </w:r>
      <w:proofErr w:type="spellEnd"/>
      <w:r w:rsidRPr="00D441F9">
        <w:rPr>
          <w:i/>
          <w:iCs/>
        </w:rPr>
        <w:t>.</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 xml:space="preserve">Seeman, T. </w:t>
      </w:r>
      <w:proofErr w:type="spellStart"/>
      <w:r w:rsidRPr="00D441F9">
        <w:t>mlst</w:t>
      </w:r>
      <w:proofErr w:type="spellEnd"/>
      <w:r w:rsidRPr="00D441F9">
        <w:t>.</w:t>
      </w:r>
    </w:p>
    <w:p w14:paraId="37CAEDFC" w14:textId="77777777" w:rsidR="00D441F9" w:rsidRPr="00D441F9" w:rsidRDefault="00D441F9" w:rsidP="00D441F9">
      <w:pPr>
        <w:pStyle w:val="Bibliography"/>
      </w:pPr>
      <w:r w:rsidRPr="00D441F9">
        <w:t>38.</w:t>
      </w:r>
      <w:r w:rsidRPr="00D441F9">
        <w:tab/>
      </w:r>
      <w:proofErr w:type="spellStart"/>
      <w:r w:rsidRPr="00D441F9">
        <w:t>Florensa</w:t>
      </w:r>
      <w:proofErr w:type="spellEnd"/>
      <w:r w:rsidRPr="00D441F9">
        <w:t xml:space="preserve">, A. F., Kaas, R. S., Clausen, P. T. L. C., </w:t>
      </w:r>
      <w:proofErr w:type="spellStart"/>
      <w:r w:rsidRPr="00D441F9">
        <w:t>Aytan-Aktug</w:t>
      </w:r>
      <w:proofErr w:type="spellEnd"/>
      <w:r w:rsidRPr="00D441F9">
        <w:t xml:space="preserve">, D. &amp; </w:t>
      </w:r>
      <w:proofErr w:type="spellStart"/>
      <w:r w:rsidRPr="00D441F9">
        <w:t>Aarestrup</w:t>
      </w:r>
      <w:proofErr w:type="spellEnd"/>
      <w:r w:rsidRPr="00D441F9">
        <w:t xml:space="preserve">, F. M. </w:t>
      </w:r>
      <w:proofErr w:type="spellStart"/>
      <w:r w:rsidRPr="00D441F9">
        <w:t>ResFinder</w:t>
      </w:r>
      <w:proofErr w:type="spellEnd"/>
      <w:r w:rsidRPr="00D441F9">
        <w:t xml:space="preserve"> – an open online resource for identification of antimicrobial resistance genes in next-generation sequencing data and prediction of phenotypes from genotypes. </w:t>
      </w:r>
      <w:r w:rsidRPr="00D441F9">
        <w:rPr>
          <w:i/>
          <w:iCs/>
        </w:rPr>
        <w:t>Microbial Genomics</w:t>
      </w:r>
      <w:r w:rsidRPr="00D441F9">
        <w:t xml:space="preserve"> </w:t>
      </w:r>
      <w:r w:rsidRPr="00D441F9">
        <w:rPr>
          <w:b/>
          <w:bCs/>
        </w:rPr>
        <w:t>8</w:t>
      </w:r>
      <w:r w:rsidRPr="00D441F9">
        <w:t>, (2022).</w:t>
      </w:r>
    </w:p>
    <w:p w14:paraId="7F18B782" w14:textId="77777777" w:rsidR="00D441F9" w:rsidRPr="00D441F9" w:rsidRDefault="00D441F9" w:rsidP="00D441F9">
      <w:pPr>
        <w:pStyle w:val="Bibliography"/>
      </w:pPr>
      <w:r w:rsidRPr="00D441F9">
        <w:t>39.</w:t>
      </w:r>
      <w:r w:rsidRPr="00D441F9">
        <w:tab/>
      </w:r>
      <w:proofErr w:type="spellStart"/>
      <w:r w:rsidRPr="00D441F9">
        <w:t>Trizna</w:t>
      </w:r>
      <w:proofErr w:type="spellEnd"/>
      <w:r w:rsidRPr="00D441F9">
        <w:t xml:space="preserve">, M. </w:t>
      </w:r>
      <w:proofErr w:type="spellStart"/>
      <w:r w:rsidRPr="00D441F9">
        <w:t>assembly_stats</w:t>
      </w:r>
      <w:proofErr w:type="spellEnd"/>
      <w:r w:rsidRPr="00D441F9">
        <w:t>.</w:t>
      </w:r>
    </w:p>
    <w:p w14:paraId="7244E3B2" w14:textId="77777777" w:rsidR="00D441F9" w:rsidRPr="00D441F9" w:rsidRDefault="00D441F9" w:rsidP="00D441F9">
      <w:pPr>
        <w:pStyle w:val="Bibliography"/>
      </w:pPr>
      <w:r w:rsidRPr="00D441F9">
        <w:t>40.</w:t>
      </w:r>
      <w:r w:rsidRPr="00D441F9">
        <w:tab/>
        <w:t xml:space="preserve">Page, A. J. </w:t>
      </w:r>
      <w:r w:rsidRPr="00D441F9">
        <w:rPr>
          <w:i/>
          <w:iCs/>
        </w:rPr>
        <w:t>et al.</w:t>
      </w:r>
      <w:r w:rsidRPr="00D441F9">
        <w:t xml:space="preserve"> </w:t>
      </w:r>
      <w:proofErr w:type="spellStart"/>
      <w:r w:rsidRPr="00D441F9">
        <w:t>Roary</w:t>
      </w:r>
      <w:proofErr w:type="spellEnd"/>
      <w:r w:rsidRPr="00D441F9">
        <w:t xml:space="preserve">: rapid large-scale prokaryote </w:t>
      </w:r>
      <w:proofErr w:type="gramStart"/>
      <w:r w:rsidRPr="00D441F9">
        <w:t>pan</w:t>
      </w:r>
      <w:proofErr w:type="gramEnd"/>
      <w:r w:rsidRPr="00D441F9">
        <w:t xml:space="preserve">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r>
      <w:proofErr w:type="spellStart"/>
      <w:r w:rsidRPr="00D441F9">
        <w:t>Rosselli</w:t>
      </w:r>
      <w:proofErr w:type="spellEnd"/>
      <w:r w:rsidRPr="00D441F9">
        <w:t xml:space="preserve"> Del Turco, E., </w:t>
      </w:r>
      <w:proofErr w:type="spellStart"/>
      <w:r w:rsidRPr="00D441F9">
        <w:t>Bartoletti</w:t>
      </w:r>
      <w:proofErr w:type="spellEnd"/>
      <w:r w:rsidRPr="00D441F9">
        <w:t xml:space="preserve">, M., Dahl, A., </w:t>
      </w:r>
      <w:proofErr w:type="spellStart"/>
      <w:r w:rsidRPr="00D441F9">
        <w:t>Cervera</w:t>
      </w:r>
      <w:proofErr w:type="spellEnd"/>
      <w:r w:rsidRPr="00D441F9">
        <w:t xml:space="preserve">, C. &amp; </w:t>
      </w:r>
      <w:proofErr w:type="spellStart"/>
      <w:r w:rsidRPr="00D441F9">
        <w:t>Pericàs</w:t>
      </w:r>
      <w:proofErr w:type="spellEnd"/>
      <w:r w:rsidRPr="00D441F9">
        <w:t xml:space="preserve">, J. M. How do I manage a patient with enterococcal </w:t>
      </w:r>
      <w:proofErr w:type="spellStart"/>
      <w:r w:rsidRPr="00D441F9">
        <w:t>bacteraemia</w:t>
      </w:r>
      <w:proofErr w:type="spellEnd"/>
      <w:r w:rsidRPr="00D441F9">
        <w:t xml:space="preserve">?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lastRenderedPageBreak/>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proofErr w:type="spellStart"/>
      <w:r w:rsidRPr="00D441F9">
        <w:rPr>
          <w:i/>
          <w:iCs/>
        </w:rPr>
        <w:t>BioData</w:t>
      </w:r>
      <w:proofErr w:type="spellEnd"/>
      <w:r w:rsidRPr="00D441F9">
        <w:rPr>
          <w:i/>
          <w:iCs/>
        </w:rPr>
        <w:t xml:space="preserve">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r>
      <w:proofErr w:type="spellStart"/>
      <w:r w:rsidRPr="00D441F9">
        <w:t>Kupcova</w:t>
      </w:r>
      <w:proofErr w:type="spellEnd"/>
      <w:r w:rsidRPr="00D441F9">
        <w:t xml:space="preserve"> </w:t>
      </w:r>
      <w:proofErr w:type="spellStart"/>
      <w:r w:rsidRPr="00D441F9">
        <w:t>Skalnikova</w:t>
      </w:r>
      <w:proofErr w:type="spellEnd"/>
      <w:r w:rsidRPr="00D441F9">
        <w:t xml:space="preserve">, H., </w:t>
      </w:r>
      <w:proofErr w:type="spellStart"/>
      <w:r w:rsidRPr="00D441F9">
        <w:t>Cizkova</w:t>
      </w:r>
      <w:proofErr w:type="spellEnd"/>
      <w:r w:rsidRPr="00D441F9">
        <w:t xml:space="preserve">, J., </w:t>
      </w:r>
      <w:proofErr w:type="spellStart"/>
      <w:r w:rsidRPr="00D441F9">
        <w:t>Cervenka</w:t>
      </w:r>
      <w:proofErr w:type="spellEnd"/>
      <w:r w:rsidRPr="00D441F9">
        <w:t xml:space="preserve">, J. &amp; </w:t>
      </w:r>
      <w:proofErr w:type="spellStart"/>
      <w:r w:rsidRPr="00D441F9">
        <w:t>Vodicka</w:t>
      </w:r>
      <w:proofErr w:type="spellEnd"/>
      <w:r w:rsidRPr="00D441F9">
        <w:t xml:space="preserve">,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r>
      <w:proofErr w:type="spellStart"/>
      <w:r w:rsidRPr="00D441F9">
        <w:t>Pichet</w:t>
      </w:r>
      <w:proofErr w:type="spellEnd"/>
      <w:r w:rsidRPr="00D441F9">
        <w:t xml:space="preserve"> </w:t>
      </w:r>
      <w:proofErr w:type="spellStart"/>
      <w:r w:rsidRPr="00D441F9">
        <w:t>Binette</w:t>
      </w:r>
      <w:proofErr w:type="spellEnd"/>
      <w:r w:rsidRPr="00D441F9">
        <w:t xml:space="preserv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w:t>
      </w:r>
      <w:proofErr w:type="spellStart"/>
      <w:r w:rsidRPr="00D441F9">
        <w:t>Prasesti</w:t>
      </w:r>
      <w:proofErr w:type="spellEnd"/>
      <w:r w:rsidRPr="00D441F9">
        <w:t xml:space="preserve">, G. K., </w:t>
      </w:r>
      <w:proofErr w:type="spellStart"/>
      <w:r w:rsidRPr="00D441F9">
        <w:t>Dewi</w:t>
      </w:r>
      <w:proofErr w:type="spellEnd"/>
      <w:r w:rsidRPr="00D441F9">
        <w:t xml:space="preserve">, T. I. &amp; </w:t>
      </w:r>
      <w:proofErr w:type="spellStart"/>
      <w:r w:rsidRPr="00D441F9">
        <w:t>Kurniati</w:t>
      </w:r>
      <w:proofErr w:type="spellEnd"/>
      <w:r w:rsidRPr="00D441F9">
        <w:t xml:space="preserve">,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r>
      <w:proofErr w:type="spellStart"/>
      <w:r w:rsidRPr="00D441F9">
        <w:t>Vanni</w:t>
      </w:r>
      <w:proofErr w:type="spellEnd"/>
      <w:r w:rsidRPr="00D441F9">
        <w:t xml:space="preserve">,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r>
      <w:proofErr w:type="spellStart"/>
      <w:r w:rsidRPr="00D441F9">
        <w:t>Piktel</w:t>
      </w:r>
      <w:proofErr w:type="spellEnd"/>
      <w:r w:rsidRPr="00D441F9">
        <w:t xml:space="preserve">, E., </w:t>
      </w:r>
      <w:proofErr w:type="spellStart"/>
      <w:r w:rsidRPr="00D441F9">
        <w:t>Levental</w:t>
      </w:r>
      <w:proofErr w:type="spellEnd"/>
      <w:r w:rsidRPr="00D441F9">
        <w:t xml:space="preserve">, I., </w:t>
      </w:r>
      <w:proofErr w:type="spellStart"/>
      <w:r w:rsidRPr="00D441F9">
        <w:t>Durnaś</w:t>
      </w:r>
      <w:proofErr w:type="spellEnd"/>
      <w:r w:rsidRPr="00D441F9">
        <w:t xml:space="preserve">, B., </w:t>
      </w:r>
      <w:proofErr w:type="spellStart"/>
      <w:r w:rsidRPr="00D441F9">
        <w:t>Janmey</w:t>
      </w:r>
      <w:proofErr w:type="spellEnd"/>
      <w:r w:rsidRPr="00D441F9">
        <w:t xml:space="preserve">, P. &amp; </w:t>
      </w:r>
      <w:proofErr w:type="spellStart"/>
      <w:r w:rsidRPr="00D441F9">
        <w:t>Bucki</w:t>
      </w:r>
      <w:proofErr w:type="spellEnd"/>
      <w:r w:rsidRPr="00D441F9">
        <w:t xml:space="preserve">,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lastRenderedPageBreak/>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r>
      <w:proofErr w:type="spellStart"/>
      <w:r w:rsidRPr="00D441F9">
        <w:t>Hashida</w:t>
      </w:r>
      <w:proofErr w:type="spellEnd"/>
      <w:r w:rsidRPr="00D441F9">
        <w:t xml:space="preserve">, T. </w:t>
      </w:r>
      <w:r w:rsidRPr="00D441F9">
        <w:rPr>
          <w:i/>
          <w:iCs/>
        </w:rPr>
        <w:t>et al.</w:t>
      </w:r>
      <w:r w:rsidRPr="00D441F9">
        <w:t xml:space="preserve"> Proteome analysis of hemofilter adsorbates to identify novel substances of sepsis: a pilot study. </w:t>
      </w:r>
      <w:r w:rsidRPr="00D441F9">
        <w:rPr>
          <w:i/>
          <w:iCs/>
        </w:rPr>
        <w:t xml:space="preserve">J </w:t>
      </w:r>
      <w:proofErr w:type="spellStart"/>
      <w:r w:rsidRPr="00D441F9">
        <w:rPr>
          <w:i/>
          <w:iCs/>
        </w:rPr>
        <w:t>Artif</w:t>
      </w:r>
      <w:proofErr w:type="spellEnd"/>
      <w:r w:rsidRPr="00D441F9">
        <w:rPr>
          <w:i/>
          <w:iCs/>
        </w:rPr>
        <w:t xml:space="preserve">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r>
      <w:proofErr w:type="spellStart"/>
      <w:r w:rsidRPr="00D441F9">
        <w:t>Blairon</w:t>
      </w:r>
      <w:proofErr w:type="spellEnd"/>
      <w:r w:rsidRPr="00D441F9">
        <w:t xml:space="preserve">, L., </w:t>
      </w:r>
      <w:proofErr w:type="spellStart"/>
      <w:r w:rsidRPr="00D441F9">
        <w:t>Wittebole</w:t>
      </w:r>
      <w:proofErr w:type="spellEnd"/>
      <w:r w:rsidRPr="00D441F9">
        <w:t xml:space="preserve">, X. &amp; </w:t>
      </w:r>
      <w:proofErr w:type="spellStart"/>
      <w:r w:rsidRPr="00D441F9">
        <w:t>Laterre</w:t>
      </w:r>
      <w:proofErr w:type="spellEnd"/>
      <w:r w:rsidRPr="00D441F9">
        <w:t xml:space="preserv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r>
      <w:proofErr w:type="spellStart"/>
      <w:r w:rsidRPr="00D441F9">
        <w:t>Hofmaenner</w:t>
      </w:r>
      <w:proofErr w:type="spellEnd"/>
      <w:r w:rsidRPr="00D441F9">
        <w:t xml:space="preserve">, D. A., </w:t>
      </w:r>
      <w:proofErr w:type="spellStart"/>
      <w:r w:rsidRPr="00D441F9">
        <w:t>Kleyman</w:t>
      </w:r>
      <w:proofErr w:type="spellEnd"/>
      <w:r w:rsidRPr="00D441F9">
        <w:t xml:space="preserve">,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r>
      <w:proofErr w:type="spellStart"/>
      <w:r w:rsidRPr="00D441F9">
        <w:t>Fraunberger</w:t>
      </w:r>
      <w:proofErr w:type="spellEnd"/>
      <w:r w:rsidRPr="00D441F9">
        <w:t xml:space="preserve">, P., Schaefer, S., </w:t>
      </w:r>
      <w:proofErr w:type="spellStart"/>
      <w:r w:rsidRPr="00D441F9">
        <w:t>Werdan</w:t>
      </w:r>
      <w:proofErr w:type="spellEnd"/>
      <w:r w:rsidRPr="00D441F9">
        <w:t xml:space="preserve">, K., </w:t>
      </w:r>
      <w:proofErr w:type="spellStart"/>
      <w:r w:rsidRPr="00D441F9">
        <w:t>Walli</w:t>
      </w:r>
      <w:proofErr w:type="spellEnd"/>
      <w:r w:rsidRPr="00D441F9">
        <w:t xml:space="preserve">, A. K. &amp; Seidel, D. Reduction of Circulating Cholesterol and Apolipoprotein Levels during Sepsis. </w:t>
      </w:r>
      <w:proofErr w:type="spellStart"/>
      <w:r w:rsidRPr="00D441F9">
        <w:rPr>
          <w:i/>
          <w:iCs/>
        </w:rPr>
        <w:t>cclm</w:t>
      </w:r>
      <w:proofErr w:type="spellEnd"/>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r>
      <w:proofErr w:type="spellStart"/>
      <w:r w:rsidRPr="00D441F9">
        <w:t>Bhogal</w:t>
      </w:r>
      <w:proofErr w:type="spellEnd"/>
      <w:r w:rsidRPr="00D441F9">
        <w:t xml:space="preserve">, H. K. The molecular pathogenesis of cholestasis in sepsis. </w:t>
      </w:r>
      <w:r w:rsidRPr="00D441F9">
        <w:rPr>
          <w:i/>
          <w:iCs/>
        </w:rPr>
        <w:t xml:space="preserve">Front </w:t>
      </w:r>
      <w:proofErr w:type="spellStart"/>
      <w:r w:rsidRPr="00D441F9">
        <w:rPr>
          <w:i/>
          <w:iCs/>
        </w:rPr>
        <w:t>Biosci</w:t>
      </w:r>
      <w:proofErr w:type="spellEnd"/>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t>58.</w:t>
      </w:r>
      <w:r w:rsidRPr="00D441F9">
        <w:tab/>
        <w:t xml:space="preserve">Davis, R. P., Miller‐Dorey, S. &amp; </w:t>
      </w:r>
      <w:proofErr w:type="spellStart"/>
      <w:r w:rsidRPr="00D441F9">
        <w:t>Jenne</w:t>
      </w:r>
      <w:proofErr w:type="spellEnd"/>
      <w:r w:rsidRPr="00D441F9">
        <w:t xml:space="preserve">, C. N. Platelets and coagulation in infection. </w:t>
      </w:r>
      <w:r w:rsidRPr="00D441F9">
        <w:rPr>
          <w:i/>
          <w:iCs/>
        </w:rPr>
        <w:t xml:space="preserve">Clin &amp;amp; Trans </w:t>
      </w:r>
      <w:proofErr w:type="spellStart"/>
      <w:r w:rsidRPr="00D441F9">
        <w:rPr>
          <w:i/>
          <w:iCs/>
        </w:rPr>
        <w:t>Imm</w:t>
      </w:r>
      <w:proofErr w:type="spellEnd"/>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t>59.</w:t>
      </w:r>
      <w:r w:rsidRPr="00D441F9">
        <w:tab/>
        <w:t xml:space="preserve">Sanchez-Navarro, A., González-Soria, I., </w:t>
      </w:r>
      <w:proofErr w:type="spellStart"/>
      <w:r w:rsidRPr="00D441F9">
        <w:t>Caldiño</w:t>
      </w:r>
      <w:proofErr w:type="spellEnd"/>
      <w:r w:rsidRPr="00D441F9">
        <w:t xml:space="preserve">-Bohn,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r>
      <w:proofErr w:type="spellStart"/>
      <w:r w:rsidRPr="00D441F9">
        <w:t>Bianchini</w:t>
      </w:r>
      <w:proofErr w:type="spellEnd"/>
      <w:r w:rsidRPr="00D441F9">
        <w:t xml:space="preserve">, E. P., </w:t>
      </w:r>
      <w:proofErr w:type="spellStart"/>
      <w:r w:rsidRPr="00D441F9">
        <w:t>Auditeau</w:t>
      </w:r>
      <w:proofErr w:type="spellEnd"/>
      <w:r w:rsidRPr="00D441F9">
        <w:t xml:space="preserve">, C., </w:t>
      </w:r>
      <w:proofErr w:type="spellStart"/>
      <w:r w:rsidRPr="00D441F9">
        <w:t>Razanakolona</w:t>
      </w:r>
      <w:proofErr w:type="spellEnd"/>
      <w:r w:rsidRPr="00D441F9">
        <w:t xml:space="preserve">, M., </w:t>
      </w:r>
      <w:proofErr w:type="spellStart"/>
      <w:r w:rsidRPr="00D441F9">
        <w:t>Vasse</w:t>
      </w:r>
      <w:proofErr w:type="spellEnd"/>
      <w:r w:rsidRPr="00D441F9">
        <w:t xml:space="preserve">, M. &amp; </w:t>
      </w:r>
      <w:proofErr w:type="spellStart"/>
      <w:r w:rsidRPr="00D441F9">
        <w:t>Borgel</w:t>
      </w:r>
      <w:proofErr w:type="spellEnd"/>
      <w:r w:rsidRPr="00D441F9">
        <w:t xml:space="preserve">,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lastRenderedPageBreak/>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r>
      <w:proofErr w:type="spellStart"/>
      <w:r w:rsidRPr="00D441F9">
        <w:t>Yaron</w:t>
      </w:r>
      <w:proofErr w:type="spellEnd"/>
      <w:r w:rsidRPr="00D441F9">
        <w:t xml:space="preserve">, J. R., Zhang, L., Guo, Q., </w:t>
      </w:r>
      <w:proofErr w:type="spellStart"/>
      <w:r w:rsidRPr="00D441F9">
        <w:t>Haydel</w:t>
      </w:r>
      <w:proofErr w:type="spellEnd"/>
      <w:r w:rsidRPr="00D441F9">
        <w:t xml:space="preserve">, S. E. &amp; Lucas, A. R. Fibrinolytic Serine Proteases, Therapeutic </w:t>
      </w:r>
      <w:proofErr w:type="gramStart"/>
      <w:r w:rsidRPr="00D441F9">
        <w:t>Serpins</w:t>
      </w:r>
      <w:proofErr w:type="gramEnd"/>
      <w:r w:rsidRPr="00D441F9">
        <w:t xml:space="preserve">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r>
      <w:proofErr w:type="spellStart"/>
      <w:r w:rsidRPr="00D441F9">
        <w:t>Iram</w:t>
      </w:r>
      <w:proofErr w:type="spellEnd"/>
      <w:r w:rsidRPr="00D441F9">
        <w:t xml:space="preserve">, S., Rahman, S., Choi, I. &amp; Kim, J. Insight into the function of </w:t>
      </w:r>
      <w:proofErr w:type="spellStart"/>
      <w:r w:rsidRPr="00D441F9">
        <w:t>tetranectin</w:t>
      </w:r>
      <w:proofErr w:type="spellEnd"/>
      <w:r w:rsidRPr="00D441F9">
        <w:t xml:space="preserve"> in human diseases: A review and prospects for </w:t>
      </w:r>
      <w:proofErr w:type="spellStart"/>
      <w:r w:rsidRPr="00D441F9">
        <w:t>tetranectin</w:t>
      </w:r>
      <w:proofErr w:type="spellEnd"/>
      <w:r w:rsidRPr="00D441F9">
        <w:t xml:space="preserve">-targeted disease treatment. </w:t>
      </w:r>
      <w:proofErr w:type="spellStart"/>
      <w:r w:rsidRPr="00D441F9">
        <w:rPr>
          <w:i/>
          <w:iCs/>
        </w:rPr>
        <w:t>Heliyon</w:t>
      </w:r>
      <w:proofErr w:type="spellEnd"/>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w:t>
      </w:r>
      <w:proofErr w:type="spellStart"/>
      <w:r w:rsidRPr="00D441F9">
        <w:t>Kaduce</w:t>
      </w:r>
      <w:proofErr w:type="spellEnd"/>
      <w:r w:rsidRPr="00D441F9">
        <w:t>, T. L. &amp; Spector, A. A. 13-(S)-</w:t>
      </w:r>
      <w:proofErr w:type="spellStart"/>
      <w:r w:rsidRPr="00D441F9">
        <w:t>Hydroxyoctadecadienoic</w:t>
      </w:r>
      <w:proofErr w:type="spellEnd"/>
      <w:r w:rsidRPr="00D441F9">
        <w:t xml:space="preserve">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r>
      <w:proofErr w:type="spellStart"/>
      <w:r w:rsidRPr="00D441F9">
        <w:t>Cambiaggi</w:t>
      </w:r>
      <w:proofErr w:type="spellEnd"/>
      <w:r w:rsidRPr="00D441F9">
        <w:t xml:space="preserve">, L., Chakravarty, A., Noureddine, N. &amp; </w:t>
      </w:r>
      <w:proofErr w:type="spellStart"/>
      <w:r w:rsidRPr="00D441F9">
        <w:t>Hersberger</w:t>
      </w:r>
      <w:proofErr w:type="spellEnd"/>
      <w:r w:rsidRPr="00D441F9">
        <w:t xml:space="preserve">,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r>
      <w:proofErr w:type="spellStart"/>
      <w:r w:rsidRPr="00D441F9">
        <w:t>Fdhila</w:t>
      </w:r>
      <w:proofErr w:type="spellEnd"/>
      <w:r w:rsidRPr="00D441F9">
        <w:t xml:space="preserve">, F., Vázquez, V., Sánchez, J. L. &amp; </w:t>
      </w:r>
      <w:proofErr w:type="spellStart"/>
      <w:r w:rsidRPr="00D441F9">
        <w:t>Riguera</w:t>
      </w:r>
      <w:proofErr w:type="spellEnd"/>
      <w:r w:rsidRPr="00D441F9">
        <w:t xml:space="preserve">,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proofErr w:type="spellStart"/>
      <w:r w:rsidRPr="00D441F9">
        <w:rPr>
          <w:i/>
          <w:iCs/>
        </w:rPr>
        <w:t>nguillarum</w:t>
      </w:r>
      <w:proofErr w:type="spellEnd"/>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proofErr w:type="spellStart"/>
      <w:r w:rsidRPr="00D441F9">
        <w:rPr>
          <w:i/>
          <w:iCs/>
        </w:rPr>
        <w:t>aximus</w:t>
      </w:r>
      <w:proofErr w:type="spellEnd"/>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lastRenderedPageBreak/>
        <w:t>70.</w:t>
      </w:r>
      <w:r w:rsidRPr="00D441F9">
        <w:tab/>
      </w:r>
      <w:proofErr w:type="spellStart"/>
      <w:r w:rsidRPr="00D441F9">
        <w:t>Swinehart</w:t>
      </w:r>
      <w:proofErr w:type="spellEnd"/>
      <w:r w:rsidRPr="00D441F9">
        <w:t xml:space="preserve">,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w:t>
      </w:r>
      <w:proofErr w:type="spellStart"/>
      <w:r w:rsidRPr="00D441F9">
        <w:t>threonylcarbamoyl</w:t>
      </w:r>
      <w:proofErr w:type="spellEnd"/>
      <w:r w:rsidRPr="00D441F9">
        <w:t xml:space="preserve"> adenosine (t </w:t>
      </w:r>
      <w:r w:rsidRPr="00D441F9">
        <w:rPr>
          <w:vertAlign w:val="superscript"/>
        </w:rPr>
        <w:t>6</w:t>
      </w:r>
      <w:r w:rsidRPr="00D441F9">
        <w:t xml:space="preserve"> A)—</w:t>
      </w:r>
      <w:proofErr w:type="spellStart"/>
      <w:r w:rsidRPr="00D441F9">
        <w:t>TsaD</w:t>
      </w:r>
      <w:proofErr w:type="spellEnd"/>
      <w:r w:rsidRPr="00D441F9">
        <w:t xml:space="preserve">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r>
      <w:proofErr w:type="spellStart"/>
      <w:r w:rsidRPr="00D441F9">
        <w:t>Nagayoshi</w:t>
      </w:r>
      <w:proofErr w:type="spellEnd"/>
      <w:r w:rsidRPr="00D441F9">
        <w:t xml:space="preserve">,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Win-</w:t>
      </w:r>
      <w:proofErr w:type="spellStart"/>
      <w:r w:rsidRPr="00D441F9">
        <w:t>Shwe</w:t>
      </w:r>
      <w:proofErr w:type="spellEnd"/>
      <w:r w:rsidRPr="00D441F9">
        <w:t xml:space="preserv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r>
      <w:proofErr w:type="spellStart"/>
      <w:r w:rsidRPr="00D441F9">
        <w:t>Naegeli</w:t>
      </w:r>
      <w:proofErr w:type="spellEnd"/>
      <w:r w:rsidRPr="00D441F9">
        <w:t xml:space="preserve">,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w:t>
      </w:r>
      <w:proofErr w:type="spellStart"/>
      <w:r w:rsidRPr="00D441F9">
        <w:t>SpeB</w:t>
      </w:r>
      <w:proofErr w:type="spellEnd"/>
      <w:r w:rsidRPr="00D441F9">
        <w:t xml:space="preserve">: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t>77.</w:t>
      </w:r>
      <w:r w:rsidRPr="00D441F9">
        <w:tab/>
      </w:r>
      <w:proofErr w:type="spellStart"/>
      <w:r w:rsidRPr="00D441F9">
        <w:t>Moradigaravand</w:t>
      </w:r>
      <w:proofErr w:type="spellEnd"/>
      <w:r w:rsidRPr="00D441F9">
        <w:t xml:space="preserve">,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w:t>
      </w:r>
      <w:proofErr w:type="spellStart"/>
      <w:r w:rsidRPr="00D441F9">
        <w:t>Zolfaghari</w:t>
      </w:r>
      <w:proofErr w:type="spellEnd"/>
      <w:r w:rsidRPr="00D441F9">
        <w:t xml:space="preserve">,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r>
      <w:proofErr w:type="spellStart"/>
      <w:r w:rsidRPr="00D441F9">
        <w:t>Stephensen</w:t>
      </w:r>
      <w:proofErr w:type="spellEnd"/>
      <w:r w:rsidRPr="00D441F9">
        <w:t>, C. B. VITAMIN A, INFECTION, AND IMMUNE FUNCTION. (2001).</w:t>
      </w:r>
    </w:p>
    <w:p w14:paraId="21288490" w14:textId="77777777" w:rsidR="00D441F9" w:rsidRPr="00D441F9" w:rsidRDefault="00D441F9" w:rsidP="00D441F9">
      <w:pPr>
        <w:pStyle w:val="Bibliography"/>
      </w:pPr>
      <w:r w:rsidRPr="00D441F9">
        <w:lastRenderedPageBreak/>
        <w:t>80.</w:t>
      </w:r>
      <w:r w:rsidRPr="00D441F9">
        <w:tab/>
      </w:r>
      <w:proofErr w:type="spellStart"/>
      <w:r w:rsidRPr="00D441F9">
        <w:t>Sammalkorpi</w:t>
      </w:r>
      <w:proofErr w:type="spellEnd"/>
      <w:r w:rsidRPr="00D441F9">
        <w:t xml:space="preserve">, K., </w:t>
      </w:r>
      <w:proofErr w:type="spellStart"/>
      <w:r w:rsidRPr="00D441F9">
        <w:t>Valtonen</w:t>
      </w:r>
      <w:proofErr w:type="spellEnd"/>
      <w:r w:rsidRPr="00D441F9">
        <w:t xml:space="preserve">, V., </w:t>
      </w:r>
      <w:proofErr w:type="spellStart"/>
      <w:r w:rsidRPr="00D441F9">
        <w:t>Kerttula</w:t>
      </w:r>
      <w:proofErr w:type="spellEnd"/>
      <w:r w:rsidRPr="00D441F9">
        <w:t xml:space="preserve">, Y., </w:t>
      </w:r>
      <w:proofErr w:type="spellStart"/>
      <w:r w:rsidRPr="00D441F9">
        <w:t>Nikkilä</w:t>
      </w:r>
      <w:proofErr w:type="spellEnd"/>
      <w:r w:rsidRPr="00D441F9">
        <w:t xml:space="preserve">, E. &amp; </w:t>
      </w:r>
      <w:proofErr w:type="spellStart"/>
      <w:r w:rsidRPr="00D441F9">
        <w:t>Taskinen</w:t>
      </w:r>
      <w:proofErr w:type="spellEnd"/>
      <w:r w:rsidRPr="00D441F9">
        <w:t xml:space="preserve">,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 xml:space="preserve">Front </w:t>
      </w:r>
      <w:proofErr w:type="spellStart"/>
      <w:r w:rsidRPr="00D441F9">
        <w:rPr>
          <w:i/>
          <w:iCs/>
        </w:rPr>
        <w:t>Biosci</w:t>
      </w:r>
      <w:proofErr w:type="spellEnd"/>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r>
      <w:proofErr w:type="spellStart"/>
      <w:r w:rsidRPr="00D441F9">
        <w:t>Rydengård</w:t>
      </w:r>
      <w:proofErr w:type="spellEnd"/>
      <w:r w:rsidRPr="00D441F9">
        <w:t xml:space="preserve">, V., Olsson, A., </w:t>
      </w:r>
      <w:proofErr w:type="spellStart"/>
      <w:r w:rsidRPr="00D441F9">
        <w:t>Mörgelin</w:t>
      </w:r>
      <w:proofErr w:type="spellEnd"/>
      <w:r w:rsidRPr="00D441F9">
        <w:t xml:space="preserve">, M. &amp; </w:t>
      </w:r>
      <w:proofErr w:type="spellStart"/>
      <w:r w:rsidRPr="00D441F9">
        <w:t>Schmidtchen</w:t>
      </w:r>
      <w:proofErr w:type="spellEnd"/>
      <w:r w:rsidRPr="00D441F9">
        <w:t xml:space="preserve">,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r>
      <w:proofErr w:type="spellStart"/>
      <w:r w:rsidRPr="00D441F9">
        <w:t>Völlmy</w:t>
      </w:r>
      <w:proofErr w:type="spellEnd"/>
      <w:r w:rsidRPr="00D441F9">
        <w:t xml:space="preserve">,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r>
      <w:proofErr w:type="spellStart"/>
      <w:r w:rsidRPr="00D441F9">
        <w:t>Mandrekar</w:t>
      </w:r>
      <w:proofErr w:type="spellEnd"/>
      <w:r w:rsidRPr="00D441F9">
        <w:t xml:space="preserve">,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002AC" w14:textId="77777777" w:rsidR="007C12CC" w:rsidRDefault="007C12CC" w:rsidP="00AF055C">
      <w:r>
        <w:separator/>
      </w:r>
    </w:p>
  </w:endnote>
  <w:endnote w:type="continuationSeparator" w:id="0">
    <w:p w14:paraId="32F45437" w14:textId="77777777" w:rsidR="007C12CC" w:rsidRDefault="007C12CC"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48A3" w14:textId="77777777" w:rsidR="007C12CC" w:rsidRDefault="007C12CC" w:rsidP="00AF055C">
      <w:r>
        <w:separator/>
      </w:r>
    </w:p>
  </w:footnote>
  <w:footnote w:type="continuationSeparator" w:id="0">
    <w:p w14:paraId="6F6CCAB0" w14:textId="77777777" w:rsidR="007C12CC" w:rsidRDefault="007C12CC"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1359F"/>
    <w:rsid w:val="00015A3D"/>
    <w:rsid w:val="00015A48"/>
    <w:rsid w:val="0002182F"/>
    <w:rsid w:val="0002467A"/>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3335"/>
    <w:rsid w:val="0010697E"/>
    <w:rsid w:val="00112278"/>
    <w:rsid w:val="00115A08"/>
    <w:rsid w:val="001226A6"/>
    <w:rsid w:val="001309A7"/>
    <w:rsid w:val="00132DED"/>
    <w:rsid w:val="00133264"/>
    <w:rsid w:val="00133FD2"/>
    <w:rsid w:val="00134EEE"/>
    <w:rsid w:val="001410ED"/>
    <w:rsid w:val="00142B1D"/>
    <w:rsid w:val="00143A91"/>
    <w:rsid w:val="00144C01"/>
    <w:rsid w:val="00146BC2"/>
    <w:rsid w:val="0015068E"/>
    <w:rsid w:val="00151720"/>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E2AD9"/>
    <w:rsid w:val="002E4507"/>
    <w:rsid w:val="002E6B24"/>
    <w:rsid w:val="002F0539"/>
    <w:rsid w:val="00300BD1"/>
    <w:rsid w:val="00302365"/>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5E90"/>
    <w:rsid w:val="004858DB"/>
    <w:rsid w:val="004909BA"/>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3C85"/>
    <w:rsid w:val="0052446F"/>
    <w:rsid w:val="0052703F"/>
    <w:rsid w:val="00530222"/>
    <w:rsid w:val="00535B08"/>
    <w:rsid w:val="0053707D"/>
    <w:rsid w:val="005376D1"/>
    <w:rsid w:val="005402F8"/>
    <w:rsid w:val="005420D5"/>
    <w:rsid w:val="00542BE3"/>
    <w:rsid w:val="0054376B"/>
    <w:rsid w:val="00545DA9"/>
    <w:rsid w:val="0054622D"/>
    <w:rsid w:val="00554111"/>
    <w:rsid w:val="0057276E"/>
    <w:rsid w:val="00575645"/>
    <w:rsid w:val="00584470"/>
    <w:rsid w:val="00584A86"/>
    <w:rsid w:val="005A0DE2"/>
    <w:rsid w:val="005A0EC2"/>
    <w:rsid w:val="005A128B"/>
    <w:rsid w:val="005A277D"/>
    <w:rsid w:val="005A506C"/>
    <w:rsid w:val="005A7929"/>
    <w:rsid w:val="005B1220"/>
    <w:rsid w:val="005B3607"/>
    <w:rsid w:val="005B544D"/>
    <w:rsid w:val="005C402D"/>
    <w:rsid w:val="005C53EE"/>
    <w:rsid w:val="005D2718"/>
    <w:rsid w:val="005D323F"/>
    <w:rsid w:val="005D66DA"/>
    <w:rsid w:val="005E29F3"/>
    <w:rsid w:val="005E473A"/>
    <w:rsid w:val="005E6752"/>
    <w:rsid w:val="005F5B63"/>
    <w:rsid w:val="006002D7"/>
    <w:rsid w:val="00600873"/>
    <w:rsid w:val="00603653"/>
    <w:rsid w:val="00610C57"/>
    <w:rsid w:val="006141D7"/>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3C5D"/>
    <w:rsid w:val="00825012"/>
    <w:rsid w:val="008250B1"/>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B0986"/>
    <w:rsid w:val="009B2A30"/>
    <w:rsid w:val="009B5992"/>
    <w:rsid w:val="009B5EC4"/>
    <w:rsid w:val="009C1B1F"/>
    <w:rsid w:val="009C459B"/>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D7C"/>
    <w:rsid w:val="00AB6BCF"/>
    <w:rsid w:val="00AC12E6"/>
    <w:rsid w:val="00AC2220"/>
    <w:rsid w:val="00AC35E8"/>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1AE2"/>
    <w:rsid w:val="00B42B02"/>
    <w:rsid w:val="00B44F58"/>
    <w:rsid w:val="00B504FC"/>
    <w:rsid w:val="00B54F86"/>
    <w:rsid w:val="00B56FAB"/>
    <w:rsid w:val="00B60B5D"/>
    <w:rsid w:val="00B612F5"/>
    <w:rsid w:val="00B647A6"/>
    <w:rsid w:val="00B67950"/>
    <w:rsid w:val="00B71C6C"/>
    <w:rsid w:val="00B761B4"/>
    <w:rsid w:val="00B766EC"/>
    <w:rsid w:val="00B8008B"/>
    <w:rsid w:val="00B862A5"/>
    <w:rsid w:val="00BA50DB"/>
    <w:rsid w:val="00BA65B0"/>
    <w:rsid w:val="00BA6990"/>
    <w:rsid w:val="00BB16D4"/>
    <w:rsid w:val="00BB281C"/>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59AC"/>
    <w:rsid w:val="00E56505"/>
    <w:rsid w:val="00E61AA9"/>
    <w:rsid w:val="00E62270"/>
    <w:rsid w:val="00E65566"/>
    <w:rsid w:val="00E65C15"/>
    <w:rsid w:val="00E675AC"/>
    <w:rsid w:val="00E85EC3"/>
    <w:rsid w:val="00E91850"/>
    <w:rsid w:val="00E91AD4"/>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nec2/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nzalezlab.shinyapps.io/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1323E2"/>
    <w:rsid w:val="00192581"/>
    <w:rsid w:val="001A2258"/>
    <w:rsid w:val="00220F55"/>
    <w:rsid w:val="002218F5"/>
    <w:rsid w:val="00234789"/>
    <w:rsid w:val="00272244"/>
    <w:rsid w:val="00282569"/>
    <w:rsid w:val="002C2888"/>
    <w:rsid w:val="00301E0E"/>
    <w:rsid w:val="00395D51"/>
    <w:rsid w:val="003A31AA"/>
    <w:rsid w:val="003C6E90"/>
    <w:rsid w:val="003D3200"/>
    <w:rsid w:val="003E6927"/>
    <w:rsid w:val="00446874"/>
    <w:rsid w:val="00460C05"/>
    <w:rsid w:val="004A14B5"/>
    <w:rsid w:val="004E3A53"/>
    <w:rsid w:val="004E5141"/>
    <w:rsid w:val="00507441"/>
    <w:rsid w:val="005A6279"/>
    <w:rsid w:val="005B0BC5"/>
    <w:rsid w:val="005D3F8B"/>
    <w:rsid w:val="006436C1"/>
    <w:rsid w:val="006508AE"/>
    <w:rsid w:val="00652F47"/>
    <w:rsid w:val="006D2CDF"/>
    <w:rsid w:val="006F7958"/>
    <w:rsid w:val="0071290B"/>
    <w:rsid w:val="00716845"/>
    <w:rsid w:val="00794B7C"/>
    <w:rsid w:val="007F47A6"/>
    <w:rsid w:val="007F4A59"/>
    <w:rsid w:val="00812BF9"/>
    <w:rsid w:val="00815EE7"/>
    <w:rsid w:val="00841126"/>
    <w:rsid w:val="00853C50"/>
    <w:rsid w:val="00870C7E"/>
    <w:rsid w:val="00897E6E"/>
    <w:rsid w:val="008A33B7"/>
    <w:rsid w:val="008E4EC0"/>
    <w:rsid w:val="009072F0"/>
    <w:rsid w:val="00910295"/>
    <w:rsid w:val="00913088"/>
    <w:rsid w:val="009502FD"/>
    <w:rsid w:val="00957D1B"/>
    <w:rsid w:val="009622FA"/>
    <w:rsid w:val="00984B45"/>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41A6F"/>
    <w:rsid w:val="00E43A58"/>
    <w:rsid w:val="00E675AC"/>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48</Pages>
  <Words>39158</Words>
  <Characters>223205</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4</cp:revision>
  <dcterms:created xsi:type="dcterms:W3CDTF">2024-04-27T17:43:00Z</dcterms:created>
  <dcterms:modified xsi:type="dcterms:W3CDTF">2024-04-29T17:19:00Z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