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58D7522B"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proofErr w:type="spellStart"/>
      <w:r w:rsidR="00F0651F">
        <w:rPr>
          <w:rFonts w:ascii="Arial" w:hAnsi="Arial" w:cs="Arial"/>
        </w:rPr>
        <w:t>Haoqi</w:t>
      </w:r>
      <w:proofErr w:type="spellEnd"/>
      <w:r w:rsidR="00F0651F">
        <w:rPr>
          <w:rFonts w:ascii="Arial" w:hAnsi="Arial" w:cs="Arial"/>
        </w:rPr>
        <w:t xml:space="preserve">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57910375" w:rsidR="00E56505" w:rsidRPr="00E56505" w:rsidRDefault="007A6E5C" w:rsidP="00BC40EE">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 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 xml:space="preserve">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lastRenderedPageBreak/>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20EFCFF"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w:t>
      </w:r>
      <w:r w:rsidR="00AC3F8A">
        <w:rPr>
          <w:rFonts w:ascii="Arial" w:hAnsi="Arial" w:cs="Arial"/>
        </w:rPr>
        <w:lastRenderedPageBreak/>
        <w:t xml:space="preserve">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46611577"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 xml:space="preserve">a rise in </w:t>
      </w:r>
      <w:r w:rsidR="00F11B63">
        <w:rPr>
          <w:rFonts w:ascii="Arial" w:hAnsi="Arial" w:cs="Arial"/>
        </w:rPr>
        <w:lastRenderedPageBreak/>
        <w:t>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3DEAB801"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xml:space="preserve">) antibiotic susceptibility, and laboratory </w:t>
      </w:r>
      <w:r w:rsidRPr="006816A5">
        <w:rPr>
          <w:rFonts w:ascii="Arial" w:hAnsi="Arial" w:cs="Arial"/>
        </w:rPr>
        <w:lastRenderedPageBreak/>
        <w:t>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r w:rsidR="0076509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B22F064"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t>
      </w:r>
      <w:r w:rsidRPr="00CF169D">
        <w:rPr>
          <w:rFonts w:ascii="Arial" w:hAnsi="Arial" w:cs="Arial"/>
        </w:rPr>
        <w:lastRenderedPageBreak/>
        <w:t xml:space="preserve">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r w:rsidRPr="00CF169D">
        <w:rPr>
          <w:rFonts w:ascii="Arial" w:hAnsi="Arial" w:cs="Arial"/>
        </w:rPr>
        <w:t xml:space="preserve">. 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r w:rsidR="0000153B">
        <w:rPr>
          <w:rFonts w:ascii="Arial" w:hAnsi="Arial" w:cs="Arial"/>
        </w:rPr>
        <w:t xml:space="preserve">50 µg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617E6395" w:rsidR="00EA4D80" w:rsidRDefault="00CF169D" w:rsidP="00FA4CB1">
      <w:pPr>
        <w:spacing w:line="480" w:lineRule="auto"/>
        <w:ind w:firstLine="720"/>
        <w:rPr>
          <w:rFonts w:ascii="Arial" w:hAnsi="Arial" w:cs="Arial"/>
        </w:rPr>
      </w:pPr>
      <w:r w:rsidRPr="0029437B">
        <w:rPr>
          <w:rFonts w:ascii="Arial" w:hAnsi="Arial" w:cs="Arial"/>
          <w:i/>
          <w:iCs/>
        </w:rPr>
        <w:lastRenderedPageBreak/>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The 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lastRenderedPageBreak/>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r w:rsidR="004B2319" w:rsidRPr="00822717">
        <w:rPr>
          <w:rFonts w:ascii="Arial" w:hAnsi="Arial" w:cs="Arial"/>
        </w:rPr>
        <w:t>o</w:t>
      </w:r>
      <w:r w:rsidR="00FA4CB1" w:rsidRPr="00FA4CB1">
        <w:rPr>
          <w:rFonts w:ascii="Arial" w:hAnsi="Arial" w:cs="Arial"/>
        </w:rPr>
        <w:t>C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4B2319" w:rsidRPr="004D2268">
        <w:rPr>
          <w:rFonts w:ascii="Arial" w:hAnsi="Arial" w:cs="Arial"/>
          <w:vertAlign w:val="superscript"/>
        </w:rPr>
        <w:t>o</w:t>
      </w:r>
      <w:r w:rsidR="004B2319" w:rsidRPr="00FA4CB1">
        <w:rPr>
          <w:rFonts w:ascii="Arial" w:hAnsi="Arial" w:cs="Arial"/>
        </w:rPr>
        <w:t>C</w:t>
      </w:r>
      <w:r w:rsidR="00734304" w:rsidRPr="0000153B">
        <w:rPr>
          <w:rFonts w:ascii="Cambria Math" w:hAnsi="Cambria Math" w:cs="Cambria Math"/>
        </w:rPr>
        <w:t>℃</w:t>
      </w:r>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t>
      </w:r>
      <w:r w:rsidRPr="00CF169D">
        <w:rPr>
          <w:rFonts w:ascii="Arial" w:hAnsi="Arial" w:cs="Arial"/>
        </w:rPr>
        <w:lastRenderedPageBreak/>
        <w:t xml:space="preserve">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lastRenderedPageBreak/>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lastRenderedPageBreak/>
        <w:t>Nanopore Sequencing</w:t>
      </w:r>
      <w:r>
        <w:rPr>
          <w:rFonts w:ascii="Arial" w:hAnsi="Arial" w:cs="Arial"/>
          <w:b/>
          <w:bCs/>
          <w:u w:val="single"/>
        </w:rPr>
        <w:t>:</w:t>
      </w:r>
    </w:p>
    <w:p w14:paraId="105DBFB1" w14:textId="09FDB82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FF7608F"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w:t>
      </w:r>
      <w:r w:rsidRPr="00FA4CB1">
        <w:rPr>
          <w:rFonts w:ascii="Arial" w:hAnsi="Arial" w:cs="Arial"/>
        </w:rPr>
        <w:lastRenderedPageBreak/>
        <w:t xml:space="preserve">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w:t>
      </w:r>
      <w:r w:rsidRPr="00FA4CB1">
        <w:rPr>
          <w:rFonts w:ascii="Arial" w:hAnsi="Arial" w:cs="Arial"/>
        </w:rPr>
        <w:lastRenderedPageBreak/>
        <w:t xml:space="preserve">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lastRenderedPageBreak/>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37286635"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5C2855">
        <w:rPr>
          <w:rFonts w:ascii="Arial" w:hAnsi="Arial" w:cs="Arial"/>
          <w:color w:val="000000" w:themeColor="text1"/>
        </w:rPr>
        <w:t xml:space="preserve">identifying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C9E9A84"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r w:rsidR="005C2855">
        <w:rPr>
          <w:rFonts w:ascii="Arial" w:hAnsi="Arial" w:cs="Arial"/>
          <w:color w:val="000000" w:themeColor="text1"/>
        </w:rPr>
        <w:t>tably, no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Enterococcous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lastRenderedPageBreak/>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3FCD9915"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8294E4D"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r w:rsidR="00A17A38">
        <w:rPr>
          <w:rFonts w:ascii="Arial" w:hAnsi="Arial" w:cs="Arial"/>
        </w:rPr>
        <w:t xml:space="preserve">one </w:t>
      </w:r>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B631750"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r w:rsidR="00A17A38">
        <w:rPr>
          <w:rFonts w:ascii="Arial" w:hAnsi="Arial" w:cs="Arial"/>
        </w:rPr>
        <w:t>gene ontology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an </w:t>
      </w:r>
      <w:r w:rsidR="00470075">
        <w:rPr>
          <w:rFonts w:ascii="Arial" w:hAnsi="Arial" w:cs="Arial"/>
        </w:rPr>
        <w:lastRenderedPageBreak/>
        <w:t>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41A8E13A"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 xml:space="preserve">be more specifically described as bile acids. These included the primary bile acid cholic acid </w:t>
      </w:r>
      <w:r w:rsidR="00765099">
        <w:rPr>
          <w:rFonts w:ascii="Arial" w:hAnsi="Arial" w:cs="Arial"/>
          <w:color w:val="000000" w:themeColor="text1"/>
        </w:rPr>
        <w:t>and the</w:t>
      </w:r>
      <w:r>
        <w:rPr>
          <w:rFonts w:ascii="Arial" w:hAnsi="Arial" w:cs="Arial"/>
          <w:color w:val="000000" w:themeColor="text1"/>
        </w:rPr>
        <w:t xml:space="preserve"> secondary bile acids taurodeoxycholic acid, glycochenodeoxycholate, glycochenodeoxycholic acid, glycohyocholic acid, tauroursodeoxycholic acid, glycocholic acid, taurocholic acid, and taurohyodeoxycholic acid.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5F40A77B"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B7F1786" w14:textId="1DCEB86B" w:rsidR="009D636B" w:rsidRPr="005402F8" w:rsidRDefault="00E97FB0" w:rsidP="00A26A1F">
      <w:pPr>
        <w:spacing w:line="480" w:lineRule="auto"/>
        <w:ind w:firstLine="720"/>
        <w:rPr>
          <w:rFonts w:ascii="Arial" w:hAnsi="Arial" w:cs="Arial"/>
        </w:rPr>
      </w:pPr>
      <w:r>
        <w:rPr>
          <w:rFonts w:ascii="Arial" w:hAnsi="Arial" w:cs="Arial"/>
          <w:color w:val="000000"/>
        </w:rPr>
        <w:lastRenderedPageBreak/>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r w:rsidR="005402F8" w:rsidRPr="005402F8">
        <w:rPr>
          <w:rFonts w:ascii="Arial" w:hAnsi="Arial" w:cs="Arial"/>
        </w:rPr>
        <w:t>n6−threonylcarbamoyladenosine</w:t>
      </w:r>
      <w:r w:rsidR="005402F8">
        <w:rPr>
          <w:rFonts w:ascii="Arial" w:hAnsi="Arial" w:cs="Arial"/>
        </w:rPr>
        <w:t xml:space="preserve">, and </w:t>
      </w:r>
      <w:r w:rsidR="005402F8" w:rsidRPr="005402F8">
        <w:rPr>
          <w:rFonts w:ascii="Arial" w:hAnsi="Arial" w:cs="Arial"/>
        </w:rPr>
        <w:t>13−keto−9z,11e−octadecadienoic</w:t>
      </w:r>
      <w:r w:rsidR="005402F8">
        <w:rPr>
          <w:rFonts w:ascii="Arial" w:hAnsi="Arial" w:cs="Arial"/>
        </w:rPr>
        <w:t xml:space="preserve"> </w:t>
      </w:r>
      <w:r w:rsidRPr="005402F8">
        <w:rPr>
          <w:rFonts w:ascii="Arial" w:hAnsi="Arial" w:cs="Arial"/>
        </w:rPr>
        <w:t>acid</w:t>
      </w:r>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p>
    <w:p w14:paraId="4F234A0E" w14:textId="77777777" w:rsidR="00165884" w:rsidRPr="004A5E7B" w:rsidRDefault="00165884" w:rsidP="00243500">
      <w:pPr>
        <w:spacing w:line="480" w:lineRule="auto"/>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to differentiate infected from uninfected samples with a high degree of 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 xml:space="preserve">These results reaffirm the reliability of CRP and </w:t>
      </w:r>
      <w:r w:rsidR="000B4615" w:rsidRPr="000B4615">
        <w:rPr>
          <w:rFonts w:ascii="Arial" w:hAnsi="Arial" w:cs="Arial"/>
        </w:rPr>
        <w:lastRenderedPageBreak/>
        <w:t>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5A696E49"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w:t>
      </w:r>
      <w:r w:rsidR="00046019">
        <w:rPr>
          <w:rFonts w:ascii="Arial" w:hAnsi="Arial" w:cs="Arial"/>
        </w:rPr>
        <w:lastRenderedPageBreak/>
        <w:t xml:space="preserve">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744D335A" w:rsidR="00AA7ACC" w:rsidRDefault="00561C08" w:rsidP="00561C08">
      <w:pPr>
        <w:spacing w:line="480" w:lineRule="auto"/>
        <w:ind w:firstLine="720"/>
        <w:rPr>
          <w:rFonts w:ascii="Arial" w:hAnsi="Arial" w:cs="Arial"/>
          <w:color w:val="000000" w:themeColor="text1"/>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w:t>
      </w:r>
      <w:r w:rsidR="001828B2">
        <w:rPr>
          <w:rFonts w:ascii="Arial" w:hAnsi="Arial" w:cs="Arial"/>
          <w:color w:val="000000" w:themeColor="text1"/>
        </w:rPr>
        <w:lastRenderedPageBreak/>
        <w:t xml:space="preserve">retinol and </w:t>
      </w:r>
      <w:r>
        <w:rPr>
          <w:rFonts w:ascii="Arial" w:hAnsi="Arial" w:cs="Arial"/>
          <w:color w:val="000000" w:themeColor="text1"/>
        </w:rPr>
        <w:t xml:space="preserve">a compound denoted as </w:t>
      </w:r>
      <w:r w:rsidR="001828B2">
        <w:rPr>
          <w:rFonts w:ascii="Arial" w:hAnsi="Arial" w:cs="Arial"/>
          <w:color w:val="000000" w:themeColor="text1"/>
        </w:rPr>
        <w:t>C24H49N1O7P1, which had ROC AUCs of 0.77 and 0.82</w:t>
      </w:r>
      <w:r>
        <w:rPr>
          <w:rFonts w:ascii="Arial" w:hAnsi="Arial" w:cs="Arial"/>
          <w:color w:val="000000" w:themeColor="text1"/>
        </w:rPr>
        <w:t>,</w:t>
      </w:r>
      <w:r w:rsidR="001828B2">
        <w:rPr>
          <w:rFonts w:ascii="Arial" w:hAnsi="Arial" w:cs="Arial"/>
          <w:color w:val="000000" w:themeColor="text1"/>
        </w:rPr>
        <w:t xml:space="preserve"> respectively. When </w:t>
      </w:r>
      <w:r>
        <w:rPr>
          <w:rFonts w:ascii="Arial" w:hAnsi="Arial" w:cs="Arial"/>
          <w:color w:val="000000" w:themeColor="text1"/>
        </w:rPr>
        <w:t>investigating differences in 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no significant differences were observed (</w:t>
      </w:r>
      <w:r w:rsidR="001828B2" w:rsidRPr="00B43C13">
        <w:rPr>
          <w:rFonts w:ascii="Arial" w:hAnsi="Arial" w:cs="Arial"/>
          <w:b/>
          <w:bCs/>
          <w:color w:val="000000" w:themeColor="text1"/>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69FD4CF5"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 xml:space="preserve">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r w:rsidR="00764BD3">
        <w:rPr>
          <w:rFonts w:ascii="Arial" w:hAnsi="Arial" w:cs="Arial"/>
        </w:rPr>
        <w:t>C21H42N1O7P1</w:t>
      </w:r>
      <w:r w:rsidR="009134FC">
        <w:rPr>
          <w:rFonts w:ascii="Arial" w:hAnsi="Arial" w:cs="Arial"/>
        </w:rPr>
        <w:t xml:space="preserve">, mycophenolic acid, and lyso PC no longer </w:t>
      </w:r>
      <w:r w:rsidR="0002473B">
        <w:rPr>
          <w:rFonts w:ascii="Arial" w:hAnsi="Arial" w:cs="Arial"/>
        </w:rPr>
        <w:lastRenderedPageBreak/>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C24H49N1O7P1, C25H51N1O7P1,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2597AC7E" w14:textId="67A1B95F"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496F78F9"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02473B">
        <w:rPr>
          <w:rFonts w:ascii="Arial" w:hAnsi="Arial" w:cs="Arial"/>
        </w:rPr>
        <w:t>Initially, our analysis</w:t>
      </w:r>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clustering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 association of mortality with overall proteomic or metabolomic profiles</w:t>
      </w:r>
      <w:r w:rsidR="005F5B63">
        <w:rPr>
          <w:rFonts w:ascii="Arial" w:hAnsi="Arial" w:cs="Arial"/>
        </w:rPr>
        <w:t>.</w:t>
      </w:r>
      <w:r w:rsidR="00B23053">
        <w:rPr>
          <w:rFonts w:ascii="Arial" w:hAnsi="Arial" w:cs="Arial"/>
        </w:rPr>
        <w:t xml:space="preserve"> However, upon further analysis, we identified specific proteins that were significantly associated with mortality </w:t>
      </w:r>
      <w:r w:rsidR="00765099">
        <w:rPr>
          <w:rFonts w:ascii="Arial" w:hAnsi="Arial" w:cs="Arial"/>
        </w:rPr>
        <w:t>outcomes</w:t>
      </w:r>
      <w:r w:rsidR="00B23053">
        <w:rPr>
          <w:rFonts w:ascii="Arial" w:hAnsi="Arial" w:cs="Arial"/>
        </w:rPr>
        <w:t xml:space="preserve">. We found that 87 proteins were significantly </w:t>
      </w:r>
      <w:r w:rsidR="00765099">
        <w:rPr>
          <w:rFonts w:ascii="Arial" w:hAnsi="Arial" w:cs="Arial"/>
        </w:rPr>
        <w:lastRenderedPageBreak/>
        <w:t>enriched</w:t>
      </w:r>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B43C13">
        <w:rPr>
          <w:rFonts w:ascii="Arial" w:hAnsi="Arial" w:cs="Arial"/>
          <w:b/>
          <w:bCs/>
        </w:rPr>
        <w:t>Figure 6A</w:t>
      </w:r>
      <w:r w:rsidR="00142DDF">
        <w:rPr>
          <w:rFonts w:ascii="Arial" w:hAnsi="Arial" w:cs="Arial"/>
        </w:rPr>
        <w:t>)</w:t>
      </w:r>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2A54B17D"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2D4583F1" w14:textId="1B032B5B"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when evaluated by logistic regression where they produced ROC AUCs of 0.86 and 0.84</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p>
    <w:p w14:paraId="2D73C721" w14:textId="77777777" w:rsidR="002C71B1" w:rsidRDefault="002C71B1" w:rsidP="002C71B1">
      <w:pPr>
        <w:spacing w:line="480" w:lineRule="auto"/>
        <w:rPr>
          <w:rFonts w:ascii="Arial" w:hAnsi="Arial" w:cs="Arial"/>
        </w:rPr>
      </w:pPr>
    </w:p>
    <w:p w14:paraId="1C8877C2" w14:textId="77777777" w:rsidR="00A41BAB" w:rsidRPr="00A41BAB" w:rsidRDefault="00A41BAB" w:rsidP="00A41BAB">
      <w:pPr>
        <w:spacing w:line="480" w:lineRule="auto"/>
        <w:ind w:firstLine="720"/>
        <w:rPr>
          <w:rFonts w:ascii="Arial" w:hAnsi="Arial" w:cs="Arial"/>
        </w:rPr>
      </w:pPr>
    </w:p>
    <w:p w14:paraId="00929C3B" w14:textId="290A0F72" w:rsidR="00300BD1" w:rsidRDefault="00A41BAB" w:rsidP="00A41BAB">
      <w:pPr>
        <w:spacing w:line="480" w:lineRule="auto"/>
        <w:ind w:firstLine="720"/>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six </w:t>
      </w:r>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r>
        <w:rPr>
          <w:rFonts w:ascii="Arial" w:hAnsi="Arial" w:cs="Arial"/>
        </w:rPr>
        <w:t>three 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0.75 and 0.79</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rFonts w:ascii="Arial" w:hAnsi="Arial" w:cs="Arial"/>
        </w:rPr>
      </w:pPr>
      <w:r w:rsidRPr="00CF169D">
        <w:rPr>
          <w:rFonts w:ascii="Arial" w:hAnsi="Arial" w:cs="Arial"/>
        </w:rPr>
        <w:lastRenderedPageBreak/>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1A78A849" w14:textId="7D59FEF7"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r w:rsidR="00765099">
        <w:rPr>
          <w:rFonts w:ascii="Arial" w:hAnsi="Arial" w:cs="Arial"/>
        </w:rPr>
        <w:t>biospecimen and</w:t>
      </w:r>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09BC153D"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CF169D" w:rsidRPr="00CF169D">
        <w:rPr>
          <w:rFonts w:ascii="Arial" w:hAnsi="Arial" w:cs="Arial"/>
        </w:rPr>
        <w:t>multi-omics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175B210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lastRenderedPageBreak/>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 xml:space="preserve">study prevent </w:t>
      </w:r>
      <w:r w:rsidR="002D08AB">
        <w:rPr>
          <w:rFonts w:ascii="Arial" w:hAnsi="Arial" w:cs="Arial"/>
        </w:rPr>
        <w:t xml:space="preserve">a </w:t>
      </w:r>
      <w:r w:rsidR="006A531E">
        <w:rPr>
          <w:rFonts w:ascii="Arial" w:hAnsi="Arial" w:cs="Arial"/>
        </w:rPr>
        <w:t>direct comparison of these two datasets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r w:rsidR="00156C9E">
        <w:rPr>
          <w:rFonts w:ascii="Arial" w:hAnsi="Arial" w:cs="Arial"/>
        </w:rPr>
        <w:t>,</w:t>
      </w:r>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4839F2AA"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w:t>
      </w:r>
      <w:r>
        <w:rPr>
          <w:rFonts w:ascii="Arial" w:hAnsi="Arial" w:cs="Arial"/>
        </w:rPr>
        <w:lastRenderedPageBreak/>
        <w:t xml:space="preserve">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CD11218"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28F9785E"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lastRenderedPageBreak/>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3519D03A"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s,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F14C7F8" w14:textId="64E77A4C" w:rsidR="007A2946" w:rsidRPr="00863690" w:rsidRDefault="006679E3" w:rsidP="00272006">
      <w:pPr>
        <w:spacing w:line="480" w:lineRule="auto"/>
        <w:ind w:firstLine="720"/>
        <w:rPr>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825BEC">
        <w:rPr>
          <w:rFonts w:ascii="Arial" w:hAnsi="Arial" w:cs="Arial"/>
          <w:color w:val="000000" w:themeColor="text1"/>
        </w:rPr>
        <w:t xml:space="preserve">Interestingly, 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sidR="00825BEC">
        <w:rPr>
          <w:rFonts w:ascii="Arial" w:hAnsi="Arial" w:cs="Arial"/>
          <w:color w:val="000000" w:themeColor="text1"/>
        </w:rPr>
        <w:t xml:space="preserve">are used </w:t>
      </w:r>
      <w:r w:rsidR="00AF055C">
        <w:rPr>
          <w:rFonts w:ascii="Arial" w:hAnsi="Arial" w:cs="Arial"/>
          <w:color w:val="000000" w:themeColor="text1"/>
        </w:rPr>
        <w:t xml:space="preserve">as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The differences</w:t>
      </w:r>
      <w:r w:rsidR="00825BEC">
        <w:rPr>
          <w:rFonts w:ascii="Arial" w:hAnsi="Arial" w:cs="Arial"/>
          <w:color w:val="000000" w:themeColor="text1"/>
        </w:rPr>
        <w:t xml:space="preserve"> observed</w:t>
      </w:r>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r w:rsidR="00825BEC">
        <w:rPr>
          <w:rFonts w:ascii="Arial" w:hAnsi="Arial" w:cs="Arial"/>
        </w:rPr>
        <w:t xml:space="preserve">leading to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4448AF" w:rsidRPr="004448AF">
        <w:rPr>
          <w:rFonts w:ascii="Arial" w:hAnsi="Arial" w:cs="Arial"/>
          <w:vertAlign w:val="superscript"/>
        </w:rPr>
        <w:t>74</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825BEC">
        <w:rPr>
          <w:rFonts w:ascii="Arial" w:hAnsi="Arial" w:cs="Arial"/>
        </w:rPr>
        <w:t xml:space="preserve">it would be essential to conduct </w:t>
      </w:r>
      <w:r w:rsidR="007A2946">
        <w:rPr>
          <w:rFonts w:ascii="Arial" w:hAnsi="Arial" w:cs="Arial"/>
        </w:rPr>
        <w:t>a comprehensive study directly comparing plasma from multiple types of bacteremia patient populations.</w:t>
      </w:r>
    </w:p>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w:t>
      </w:r>
      <w:r w:rsidR="00825BEC">
        <w:rPr>
          <w:rFonts w:ascii="Arial" w:hAnsi="Arial" w:cs="Arial"/>
        </w:rPr>
        <w:lastRenderedPageBreak/>
        <w:t>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19D49965"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w:t>
      </w:r>
      <w:r w:rsidR="00465413">
        <w:rPr>
          <w:rFonts w:ascii="Arial" w:hAnsi="Arial" w:cs="Arial"/>
        </w:rPr>
        <w:lastRenderedPageBreak/>
        <w:t>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3293B6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w:t>
      </w:r>
      <w:r w:rsidR="00082FAB">
        <w:rPr>
          <w:rFonts w:ascii="Arial" w:hAnsi="Arial" w:cs="Arial"/>
        </w:rPr>
        <w:lastRenderedPageBreak/>
        <w:t xml:space="preserve">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3908C2">
        <w:rPr>
          <w:rFonts w:ascii="Arial" w:hAnsi="Arial" w:cs="Arial"/>
        </w:rPr>
        <w:t>.</w:t>
      </w:r>
      <w:r w:rsidR="009A5CCE">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Given that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if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1EF23770"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D441F9" w:rsidRPr="00765099">
        <w:rPr>
          <w:rFonts w:ascii="Arial" w:hAnsi="Arial" w:cs="Arial"/>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D441F9" w:rsidRPr="00765099">
        <w:rPr>
          <w:rFonts w:ascii="Arial" w:hAnsi="Arial" w:cs="Arial"/>
          <w:vertAlign w:val="superscript"/>
        </w:rPr>
        <w:t>85</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69027BB3"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r w:rsidR="00A12308">
        <w:rPr>
          <w:rFonts w:ascii="Arial" w:hAnsi="Arial" w:cs="Arial"/>
        </w:rPr>
        <w:t>.</w:t>
      </w:r>
      <w:r w:rsidR="004A3957">
        <w:rPr>
          <w:rFonts w:ascii="Arial" w:hAnsi="Arial" w:cs="Arial"/>
        </w:rPr>
        <w:t xml:space="preserve"> 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p>
    <w:p w14:paraId="5E201DAA" w14:textId="730C431D" w:rsidR="00CF169D" w:rsidRDefault="003411CE" w:rsidP="008E76C1">
      <w:pPr>
        <w:spacing w:line="480" w:lineRule="auto"/>
        <w:ind w:firstLine="720"/>
        <w:rPr>
          <w:rFonts w:ascii="Arial" w:hAnsi="Arial" w:cs="Arial"/>
        </w:rPr>
      </w:pPr>
      <w:r>
        <w:rPr>
          <w:rFonts w:ascii="Arial" w:hAnsi="Arial" w:cs="Arial"/>
        </w:rPr>
        <w:lastRenderedPageBreak/>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hyperlink r:id="rId8" w:history="1">
        <w:r w:rsidR="00B248A5" w:rsidRPr="005D0E71">
          <w:rPr>
            <w:rStyle w:val="Hyperlink"/>
            <w:rFonts w:ascii="Arial" w:hAnsi="Arial" w:cs="Arial"/>
          </w:rPr>
          <w:t>https://gonzalezlab.shinyapps.io/EcB_multiomics/</w:t>
        </w:r>
      </w:hyperlink>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E72679">
        <w:rPr>
          <w:rFonts w:ascii="Arial" w:hAnsi="Arial" w:cs="Arial"/>
          <w:b/>
          <w:bCs/>
        </w:rPr>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lastRenderedPageBreak/>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0"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lastRenderedPageBreak/>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lastRenderedPageBreak/>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lastRenderedPageBreak/>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lastRenderedPageBreak/>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lastRenderedPageBreak/>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lastRenderedPageBreak/>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lastRenderedPageBreak/>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lastRenderedPageBreak/>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lastRenderedPageBreak/>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EF7D" w14:textId="77777777" w:rsidR="00274E15" w:rsidRDefault="00274E15" w:rsidP="00AF055C">
      <w:r>
        <w:separator/>
      </w:r>
    </w:p>
  </w:endnote>
  <w:endnote w:type="continuationSeparator" w:id="0">
    <w:p w14:paraId="6B508D3A" w14:textId="77777777" w:rsidR="00274E15" w:rsidRDefault="00274E15"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AF81" w14:textId="77777777" w:rsidR="00274E15" w:rsidRDefault="00274E15" w:rsidP="00AF055C">
      <w:r>
        <w:separator/>
      </w:r>
    </w:p>
  </w:footnote>
  <w:footnote w:type="continuationSeparator" w:id="0">
    <w:p w14:paraId="015BF69C" w14:textId="77777777" w:rsidR="00274E15" w:rsidRDefault="00274E15"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67A"/>
    <w:rsid w:val="0002473B"/>
    <w:rsid w:val="00027563"/>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74E15"/>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7133B"/>
    <w:rsid w:val="00572228"/>
    <w:rsid w:val="0057276E"/>
    <w:rsid w:val="00575645"/>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3AC"/>
    <w:rsid w:val="00764BD3"/>
    <w:rsid w:val="00765099"/>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48A5"/>
    <w:rsid w:val="00B25ADF"/>
    <w:rsid w:val="00B2701E"/>
    <w:rsid w:val="00B30DC6"/>
    <w:rsid w:val="00B33B24"/>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1E12"/>
    <w:rsid w:val="00EF71C5"/>
    <w:rsid w:val="00F00C8C"/>
    <w:rsid w:val="00F0651F"/>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nzalezlab.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D1649"/>
    <w:rsid w:val="00220F55"/>
    <w:rsid w:val="002218F5"/>
    <w:rsid w:val="00234789"/>
    <w:rsid w:val="00272244"/>
    <w:rsid w:val="00282569"/>
    <w:rsid w:val="002C2888"/>
    <w:rsid w:val="002C4C76"/>
    <w:rsid w:val="00300E18"/>
    <w:rsid w:val="00301E0E"/>
    <w:rsid w:val="00395D51"/>
    <w:rsid w:val="003A31AA"/>
    <w:rsid w:val="003C6E90"/>
    <w:rsid w:val="003D3200"/>
    <w:rsid w:val="003E6927"/>
    <w:rsid w:val="00432016"/>
    <w:rsid w:val="00446874"/>
    <w:rsid w:val="00460C05"/>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3088"/>
    <w:rsid w:val="009502FD"/>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CA63BC"/>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39507</Words>
  <Characters>225191</Characters>
  <Application>Microsoft Office Word</Application>
  <DocSecurity>0</DocSecurity>
  <Lines>1876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3</cp:revision>
  <dcterms:created xsi:type="dcterms:W3CDTF">2024-05-07T17:25:00Z</dcterms:created>
  <dcterms:modified xsi:type="dcterms:W3CDTF">2024-05-07T17:26:00Z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