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B1D59" w14:textId="77777777" w:rsidR="00025197" w:rsidRDefault="00025197" w:rsidP="00025197">
      <w:r w:rsidRPr="002C43DD">
        <w:rPr>
          <w:b/>
          <w:bCs/>
        </w:rPr>
        <w:t>Figure S1.</w:t>
      </w:r>
      <w:r>
        <w:t xml:space="preserve"> </w:t>
      </w:r>
      <w:r>
        <w:rPr>
          <w:b/>
          <w:bCs/>
        </w:rPr>
        <w:t>Overview of Analysis</w:t>
      </w:r>
      <w:r w:rsidRPr="002C43DD">
        <w:rPr>
          <w:b/>
          <w:bCs/>
        </w:rPr>
        <w:t xml:space="preserve"> </w:t>
      </w:r>
      <w:r>
        <w:rPr>
          <w:b/>
          <w:bCs/>
        </w:rPr>
        <w:t>W</w:t>
      </w:r>
      <w:r w:rsidRPr="002C43DD">
        <w:rPr>
          <w:b/>
          <w:bCs/>
        </w:rPr>
        <w:t>orkflow.</w:t>
      </w:r>
      <w:r>
        <w:t xml:space="preserve"> </w:t>
      </w:r>
    </w:p>
    <w:p w14:paraId="296F87A6" w14:textId="25D760D5" w:rsidR="00025197" w:rsidRDefault="00025197" w:rsidP="00025197">
      <w:pPr>
        <w:pStyle w:val="ListParagraph"/>
        <w:numPr>
          <w:ilvl w:val="0"/>
          <w:numId w:val="1"/>
        </w:numPr>
      </w:pPr>
      <w:r>
        <w:t>Proteomics analysis workflow.</w:t>
      </w:r>
    </w:p>
    <w:p w14:paraId="025F5191" w14:textId="0C71DB05" w:rsidR="00025197" w:rsidRDefault="00025197" w:rsidP="00025197">
      <w:pPr>
        <w:pStyle w:val="ListParagraph"/>
        <w:numPr>
          <w:ilvl w:val="0"/>
          <w:numId w:val="1"/>
        </w:numPr>
      </w:pPr>
      <w:r>
        <w:t>Metabolomics analysis workflow</w:t>
      </w:r>
      <w:r w:rsidR="005563D5">
        <w:t>.</w:t>
      </w:r>
    </w:p>
    <w:p w14:paraId="25DED94F" w14:textId="77777777" w:rsidR="00025197" w:rsidRDefault="00025197" w:rsidP="00025197"/>
    <w:p w14:paraId="45A35999" w14:textId="77777777" w:rsidR="00025197" w:rsidRDefault="00025197" w:rsidP="00025197"/>
    <w:p w14:paraId="4691A0E5" w14:textId="4CF25A6D" w:rsidR="00025197" w:rsidRDefault="00025197" w:rsidP="00025197">
      <w:pPr>
        <w:rPr>
          <w:b/>
          <w:bCs/>
        </w:rPr>
      </w:pPr>
      <w:r>
        <w:rPr>
          <w:b/>
          <w:bCs/>
        </w:rPr>
        <w:t xml:space="preserve">Figure S2. Functional Networks of </w:t>
      </w:r>
      <w:r w:rsidR="00980772">
        <w:rPr>
          <w:b/>
          <w:bCs/>
        </w:rPr>
        <w:t>S</w:t>
      </w:r>
      <w:r>
        <w:rPr>
          <w:b/>
          <w:bCs/>
        </w:rPr>
        <w:t xml:space="preserve">ignificantly </w:t>
      </w:r>
      <w:r w:rsidR="00980772">
        <w:rPr>
          <w:b/>
          <w:bCs/>
        </w:rPr>
        <w:t>D</w:t>
      </w:r>
      <w:r>
        <w:rPr>
          <w:b/>
          <w:bCs/>
        </w:rPr>
        <w:t xml:space="preserve">ifferent </w:t>
      </w:r>
      <w:r w:rsidR="00980772">
        <w:rPr>
          <w:b/>
          <w:bCs/>
        </w:rPr>
        <w:t>F</w:t>
      </w:r>
      <w:r>
        <w:rPr>
          <w:b/>
          <w:bCs/>
        </w:rPr>
        <w:t xml:space="preserve">eatures.   </w:t>
      </w:r>
      <w:r w:rsidR="00980772">
        <w:rPr>
          <w:b/>
          <w:bCs/>
        </w:rPr>
        <w:t xml:space="preserve"> </w:t>
      </w:r>
    </w:p>
    <w:p w14:paraId="2AB5F5C1" w14:textId="48D9F43E" w:rsidR="00025197" w:rsidRDefault="00025197" w:rsidP="00A272E1">
      <w:r>
        <w:t>Network</w:t>
      </w:r>
      <w:r w:rsidR="00A272E1">
        <w:t>s</w:t>
      </w:r>
      <w:r>
        <w:t xml:space="preserve"> of</w:t>
      </w:r>
      <w:r w:rsidR="00A272E1">
        <w:t xml:space="preserve"> features belonging to</w:t>
      </w:r>
      <w:r>
        <w:t xml:space="preserve"> significantly enriched </w:t>
      </w:r>
      <w:r w:rsidR="00A272E1">
        <w:t xml:space="preserve">GO </w:t>
      </w:r>
      <w:r>
        <w:t>terms</w:t>
      </w:r>
      <w:r w:rsidR="00A272E1">
        <w:t xml:space="preserve"> (proteomics) or molecular class (metabolomics)</w:t>
      </w:r>
      <w:r>
        <w:t xml:space="preserve"> </w:t>
      </w:r>
      <w:r w:rsidR="00A272E1">
        <w:t>(</w:t>
      </w:r>
      <w:proofErr w:type="spellStart"/>
      <w:r w:rsidR="00A272E1">
        <w:t>p</w:t>
      </w:r>
      <w:r w:rsidR="00624A5B">
        <w:t>.</w:t>
      </w:r>
      <w:r w:rsidR="00A272E1">
        <w:t>adj</w:t>
      </w:r>
      <w:proofErr w:type="spellEnd"/>
      <w:r w:rsidR="00A272E1">
        <w:t xml:space="preserve"> value &lt;= 0.05 relative to the background universe of all features detected in the study). </w:t>
      </w:r>
    </w:p>
    <w:p w14:paraId="0DF27668" w14:textId="77777777" w:rsidR="00A272E1" w:rsidRDefault="00A272E1" w:rsidP="00A272E1"/>
    <w:p w14:paraId="69E92D5D" w14:textId="634EF88B" w:rsidR="00025197" w:rsidRDefault="00D94709" w:rsidP="00025197">
      <w:pPr>
        <w:pStyle w:val="ListParagraph"/>
        <w:numPr>
          <w:ilvl w:val="0"/>
          <w:numId w:val="2"/>
        </w:numPr>
      </w:pPr>
      <w:r>
        <w:t>I</w:t>
      </w:r>
      <w:r w:rsidR="00A272E1">
        <w:t>ncreased in EcB compared to healthy volunteers.</w:t>
      </w:r>
    </w:p>
    <w:p w14:paraId="43EB88CB" w14:textId="452086AC" w:rsidR="00025197" w:rsidRDefault="00D94709" w:rsidP="00025197">
      <w:pPr>
        <w:pStyle w:val="ListParagraph"/>
        <w:numPr>
          <w:ilvl w:val="0"/>
          <w:numId w:val="2"/>
        </w:numPr>
      </w:pPr>
      <w:r>
        <w:t>I</w:t>
      </w:r>
      <w:r w:rsidR="00A272E1">
        <w:t>ncreased in healthy volunteers compared to EcB.</w:t>
      </w:r>
    </w:p>
    <w:p w14:paraId="1AFD903A" w14:textId="78C3A46D" w:rsidR="00025197" w:rsidRDefault="00D94709" w:rsidP="00025197">
      <w:pPr>
        <w:pStyle w:val="ListParagraph"/>
        <w:numPr>
          <w:ilvl w:val="0"/>
          <w:numId w:val="2"/>
        </w:numPr>
      </w:pPr>
      <w:r>
        <w:t xml:space="preserve">Increased </w:t>
      </w:r>
      <w:r w:rsidR="00A272E1">
        <w:t xml:space="preserve">in </w:t>
      </w:r>
      <w:r w:rsidR="00A272E1" w:rsidRPr="00A272E1">
        <w:rPr>
          <w:i/>
          <w:iCs/>
        </w:rPr>
        <w:t>E. faecalis</w:t>
      </w:r>
      <w:r w:rsidR="00A272E1">
        <w:t xml:space="preserve"> bacteremia compared to healthy volunteers.</w:t>
      </w:r>
    </w:p>
    <w:p w14:paraId="60B5E82F" w14:textId="53A31ED1" w:rsidR="00A272E1" w:rsidRDefault="00D94709" w:rsidP="00025197">
      <w:pPr>
        <w:pStyle w:val="ListParagraph"/>
        <w:numPr>
          <w:ilvl w:val="0"/>
          <w:numId w:val="2"/>
        </w:numPr>
      </w:pPr>
      <w:r>
        <w:t>Increased</w:t>
      </w:r>
      <w:r w:rsidR="00A272E1">
        <w:t xml:space="preserve"> in healthy volunteers compared to </w:t>
      </w:r>
      <w:r w:rsidR="00A272E1" w:rsidRPr="00A272E1">
        <w:rPr>
          <w:i/>
          <w:iCs/>
        </w:rPr>
        <w:t>E. faecalis</w:t>
      </w:r>
      <w:r w:rsidR="00A272E1">
        <w:rPr>
          <w:i/>
          <w:iCs/>
        </w:rPr>
        <w:t xml:space="preserve"> </w:t>
      </w:r>
      <w:r w:rsidR="00A272E1" w:rsidRPr="00A272E1">
        <w:t>bacteremia</w:t>
      </w:r>
      <w:r w:rsidR="00A272E1" w:rsidRPr="00A272E1">
        <w:rPr>
          <w:i/>
          <w:iCs/>
        </w:rPr>
        <w:t>.</w:t>
      </w:r>
    </w:p>
    <w:p w14:paraId="4DF7DDE0" w14:textId="1E310D66" w:rsidR="00025197" w:rsidRDefault="00D94709" w:rsidP="00025197">
      <w:pPr>
        <w:pStyle w:val="ListParagraph"/>
        <w:numPr>
          <w:ilvl w:val="0"/>
          <w:numId w:val="2"/>
        </w:numPr>
      </w:pPr>
      <w:r>
        <w:t>Increased</w:t>
      </w:r>
      <w:r w:rsidR="00A272E1">
        <w:t xml:space="preserve"> in </w:t>
      </w:r>
      <w:r w:rsidR="00A272E1" w:rsidRPr="00A272E1">
        <w:rPr>
          <w:i/>
          <w:iCs/>
        </w:rPr>
        <w:t>E. faecium</w:t>
      </w:r>
      <w:r w:rsidR="00A272E1">
        <w:t xml:space="preserve"> bacteremia compared to healthy volunteers.</w:t>
      </w:r>
    </w:p>
    <w:p w14:paraId="09A6DB99" w14:textId="24D530F7" w:rsidR="00A272E1" w:rsidRDefault="00D94709" w:rsidP="00025197">
      <w:pPr>
        <w:pStyle w:val="ListParagraph"/>
        <w:numPr>
          <w:ilvl w:val="0"/>
          <w:numId w:val="2"/>
        </w:numPr>
      </w:pPr>
      <w:r>
        <w:t>Increased in</w:t>
      </w:r>
      <w:r w:rsidR="00A272E1">
        <w:t xml:space="preserve"> healthy volunteers compared to </w:t>
      </w:r>
      <w:r w:rsidR="00A272E1" w:rsidRPr="00A272E1">
        <w:rPr>
          <w:i/>
          <w:iCs/>
        </w:rPr>
        <w:t>E. faecium</w:t>
      </w:r>
      <w:r w:rsidR="00A272E1">
        <w:rPr>
          <w:i/>
          <w:iCs/>
        </w:rPr>
        <w:t xml:space="preserve"> </w:t>
      </w:r>
      <w:r w:rsidR="00A272E1" w:rsidRPr="00A272E1">
        <w:t>bacteremia</w:t>
      </w:r>
      <w:r w:rsidR="00A272E1">
        <w:t>.</w:t>
      </w:r>
    </w:p>
    <w:p w14:paraId="18DA0103" w14:textId="2E153A85" w:rsidR="00A272E1" w:rsidRDefault="00D94709" w:rsidP="00025197">
      <w:pPr>
        <w:pStyle w:val="ListParagraph"/>
        <w:numPr>
          <w:ilvl w:val="0"/>
          <w:numId w:val="2"/>
        </w:numPr>
      </w:pPr>
      <w:r>
        <w:t>Increased</w:t>
      </w:r>
      <w:r w:rsidR="00A272E1">
        <w:t xml:space="preserve"> in </w:t>
      </w:r>
      <w:r w:rsidR="00A272E1" w:rsidRPr="00A272E1">
        <w:rPr>
          <w:i/>
          <w:iCs/>
        </w:rPr>
        <w:t>S. aureus</w:t>
      </w:r>
      <w:r w:rsidR="00A272E1">
        <w:t xml:space="preserve"> bacteremia compared to healthy volunteers.</w:t>
      </w:r>
    </w:p>
    <w:p w14:paraId="1D43EEFD" w14:textId="68C0F514" w:rsidR="00A272E1" w:rsidRDefault="00D94709" w:rsidP="00025197">
      <w:pPr>
        <w:pStyle w:val="ListParagraph"/>
        <w:numPr>
          <w:ilvl w:val="0"/>
          <w:numId w:val="2"/>
        </w:numPr>
      </w:pPr>
      <w:r>
        <w:t>Increased in</w:t>
      </w:r>
      <w:r w:rsidR="00A272E1">
        <w:t xml:space="preserve"> </w:t>
      </w:r>
      <w:r w:rsidR="00A272E1">
        <w:t xml:space="preserve">healthy volunteers compared to </w:t>
      </w:r>
      <w:r w:rsidR="00A272E1" w:rsidRPr="00A272E1">
        <w:rPr>
          <w:i/>
          <w:iCs/>
        </w:rPr>
        <w:t xml:space="preserve">S. aureus </w:t>
      </w:r>
      <w:r w:rsidR="00A272E1">
        <w:t xml:space="preserve">bacteremia. </w:t>
      </w:r>
    </w:p>
    <w:p w14:paraId="69263C45" w14:textId="020F5322" w:rsidR="00025197" w:rsidRDefault="00D94709" w:rsidP="00025197">
      <w:pPr>
        <w:pStyle w:val="ListParagraph"/>
        <w:numPr>
          <w:ilvl w:val="0"/>
          <w:numId w:val="2"/>
        </w:numPr>
      </w:pPr>
      <w:r>
        <w:t>Increased</w:t>
      </w:r>
      <w:r w:rsidR="00A272E1">
        <w:t xml:space="preserve"> in </w:t>
      </w:r>
      <w:r w:rsidR="00A272E1" w:rsidRPr="00A272E1">
        <w:rPr>
          <w:i/>
          <w:iCs/>
        </w:rPr>
        <w:t>S. aureus</w:t>
      </w:r>
      <w:r w:rsidR="00A272E1">
        <w:t xml:space="preserve"> bacteremia relative to healthy volunteers.</w:t>
      </w:r>
    </w:p>
    <w:p w14:paraId="57CC32D8" w14:textId="4F505A2E" w:rsidR="00025197" w:rsidRPr="00A272E1" w:rsidRDefault="00D94709" w:rsidP="00025197">
      <w:pPr>
        <w:pStyle w:val="ListParagraph"/>
        <w:numPr>
          <w:ilvl w:val="0"/>
          <w:numId w:val="2"/>
        </w:numPr>
        <w:rPr>
          <w:b/>
          <w:bCs/>
        </w:rPr>
      </w:pPr>
      <w:r>
        <w:t>Increased</w:t>
      </w:r>
      <w:r w:rsidR="00A272E1">
        <w:t xml:space="preserve"> in </w:t>
      </w:r>
      <w:r w:rsidR="00A272E1">
        <w:t>healthy volunteers</w:t>
      </w:r>
      <w:r w:rsidR="00A272E1">
        <w:t xml:space="preserve"> relative to </w:t>
      </w:r>
      <w:r w:rsidR="00A272E1" w:rsidRPr="00A272E1">
        <w:rPr>
          <w:i/>
          <w:iCs/>
        </w:rPr>
        <w:t>S. aureus</w:t>
      </w:r>
      <w:r w:rsidR="00A272E1">
        <w:t xml:space="preserve"> bacteremia.</w:t>
      </w:r>
    </w:p>
    <w:p w14:paraId="320D001A" w14:textId="77777777" w:rsidR="00025197" w:rsidRDefault="00025197" w:rsidP="00025197">
      <w:pPr>
        <w:rPr>
          <w:b/>
          <w:bCs/>
        </w:rPr>
      </w:pPr>
    </w:p>
    <w:p w14:paraId="4EFBE4E0" w14:textId="2248F572" w:rsidR="00025197" w:rsidRDefault="00025197" w:rsidP="00025197">
      <w:pPr>
        <w:rPr>
          <w:b/>
          <w:bCs/>
        </w:rPr>
      </w:pPr>
      <w:r>
        <w:rPr>
          <w:b/>
          <w:bCs/>
        </w:rPr>
        <w:t>Figure S3. Evaluation of Clinically Used Biomarkers</w:t>
      </w:r>
    </w:p>
    <w:p w14:paraId="73ABB604" w14:textId="35C31212" w:rsidR="00025197" w:rsidRPr="00025197" w:rsidRDefault="00025197" w:rsidP="00025197">
      <w:pPr>
        <w:pStyle w:val="ListParagraph"/>
        <w:numPr>
          <w:ilvl w:val="0"/>
          <w:numId w:val="3"/>
        </w:numPr>
      </w:pPr>
      <w:r w:rsidRPr="00025197">
        <w:t xml:space="preserve">ROC curves </w:t>
      </w:r>
      <w:r>
        <w:t>derived from</w:t>
      </w:r>
      <w:r w:rsidRPr="00025197">
        <w:t xml:space="preserve"> logistic regression </w:t>
      </w:r>
      <w:r w:rsidR="00980772">
        <w:t xml:space="preserve">modeling </w:t>
      </w:r>
      <w:r w:rsidRPr="00025197">
        <w:t>of CRP and SAA1</w:t>
      </w:r>
      <w:r>
        <w:t xml:space="preserve"> </w:t>
      </w:r>
      <w:r w:rsidR="00980772">
        <w:t>wherein healthy status was coded as success (1) and EcB status was coded as failure (0).</w:t>
      </w:r>
    </w:p>
    <w:p w14:paraId="1A8120CE" w14:textId="27779217" w:rsidR="00025197" w:rsidRPr="00025197" w:rsidRDefault="00025197" w:rsidP="00025197">
      <w:pPr>
        <w:pStyle w:val="ListParagraph"/>
        <w:numPr>
          <w:ilvl w:val="0"/>
          <w:numId w:val="3"/>
        </w:numPr>
      </w:pPr>
      <w:r w:rsidRPr="00025197">
        <w:t xml:space="preserve">Violin plots showing </w:t>
      </w:r>
      <w:r>
        <w:t>CRP and SAA1 abundances detected among EcB patients by causative organism and healthy volunteers. Statistics show results of t tests adjusted for multiple</w:t>
      </w:r>
      <w:r w:rsidR="005563D5">
        <w:t xml:space="preserve"> </w:t>
      </w:r>
      <w:r>
        <w:t>comparisons</w:t>
      </w:r>
      <w:r w:rsidR="005563D5">
        <w:t xml:space="preserve">. </w:t>
      </w:r>
    </w:p>
    <w:p w14:paraId="77B13E58" w14:textId="77777777" w:rsidR="00025197" w:rsidRDefault="00025197" w:rsidP="00025197">
      <w:pPr>
        <w:rPr>
          <w:b/>
          <w:bCs/>
        </w:rPr>
      </w:pPr>
    </w:p>
    <w:p w14:paraId="72E6BC2F" w14:textId="725F386C" w:rsidR="00025197" w:rsidRDefault="00025197" w:rsidP="00025197">
      <w:pPr>
        <w:rPr>
          <w:b/>
          <w:bCs/>
        </w:rPr>
      </w:pPr>
      <w:r>
        <w:rPr>
          <w:b/>
          <w:bCs/>
        </w:rPr>
        <w:t>Figure S4. Top 10 Biomarkers for Distinguishing Healthy from Infected</w:t>
      </w:r>
    </w:p>
    <w:p w14:paraId="1B7AC013" w14:textId="22858310" w:rsidR="00D94709" w:rsidRPr="00D94709" w:rsidRDefault="00D94709" w:rsidP="00D94709">
      <w:pPr>
        <w:rPr>
          <w:b/>
          <w:bCs/>
        </w:rPr>
      </w:pPr>
      <w:r>
        <w:t xml:space="preserve">Comparisons of abundances of the top 10 features identified using EFS with violin plots showing differences in abundance and ROC curves produced by logistic regression wherein healthy status was coded as success (1) and EcB status was coded as failure (0).  Violin plot statistics indicate results of t tests adjusted for multiple comparisons. </w:t>
      </w:r>
    </w:p>
    <w:p w14:paraId="4256EACE" w14:textId="77777777" w:rsidR="00D94709" w:rsidRDefault="00D94709" w:rsidP="00025197">
      <w:pPr>
        <w:rPr>
          <w:b/>
          <w:bCs/>
        </w:rPr>
      </w:pPr>
    </w:p>
    <w:p w14:paraId="3C9B6BB3" w14:textId="0F1A8944" w:rsidR="00025197" w:rsidRPr="00025197" w:rsidRDefault="00D94709" w:rsidP="00025197">
      <w:pPr>
        <w:pStyle w:val="ListParagraph"/>
        <w:numPr>
          <w:ilvl w:val="0"/>
          <w:numId w:val="6"/>
        </w:numPr>
        <w:rPr>
          <w:b/>
          <w:bCs/>
        </w:rPr>
      </w:pPr>
      <w:r>
        <w:t>Proteomics</w:t>
      </w:r>
    </w:p>
    <w:p w14:paraId="73B56B32" w14:textId="2797D729" w:rsidR="00B46EA4" w:rsidRPr="00025197" w:rsidRDefault="00D94709" w:rsidP="00B46EA4">
      <w:pPr>
        <w:pStyle w:val="ListParagraph"/>
        <w:numPr>
          <w:ilvl w:val="0"/>
          <w:numId w:val="6"/>
        </w:numPr>
        <w:rPr>
          <w:b/>
          <w:bCs/>
        </w:rPr>
      </w:pPr>
      <w:r>
        <w:t>Metabolomics</w:t>
      </w:r>
    </w:p>
    <w:p w14:paraId="68398458" w14:textId="5733A7B3" w:rsidR="00025197" w:rsidRPr="00B46EA4" w:rsidRDefault="00025197" w:rsidP="00B46EA4">
      <w:pPr>
        <w:ind w:left="360"/>
        <w:rPr>
          <w:b/>
          <w:bCs/>
        </w:rPr>
      </w:pPr>
    </w:p>
    <w:p w14:paraId="53BC62D8" w14:textId="77777777" w:rsidR="00025197" w:rsidRDefault="00025197" w:rsidP="00025197">
      <w:pPr>
        <w:rPr>
          <w:b/>
          <w:bCs/>
        </w:rPr>
      </w:pPr>
    </w:p>
    <w:p w14:paraId="125EB7C4" w14:textId="77777777" w:rsidR="00025197" w:rsidRDefault="00025197" w:rsidP="00025197">
      <w:pPr>
        <w:rPr>
          <w:b/>
          <w:bCs/>
        </w:rPr>
      </w:pPr>
      <w:r>
        <w:rPr>
          <w:b/>
          <w:bCs/>
        </w:rPr>
        <w:t xml:space="preserve">Figure S5. Top 10 Biomarkers for Distinguishing Faecium from Faecalis </w:t>
      </w:r>
    </w:p>
    <w:p w14:paraId="5B2DA43A" w14:textId="7CAA31DD" w:rsidR="00D94709" w:rsidRPr="00D94709" w:rsidRDefault="00D94709" w:rsidP="00D94709">
      <w:pPr>
        <w:rPr>
          <w:b/>
          <w:bCs/>
        </w:rPr>
      </w:pPr>
      <w:r>
        <w:t xml:space="preserve">Comparisons of abundances of the top 10 features identified using EFS with violin plots showing differences in abundance and ROC curves produced by logistic regression wherein </w:t>
      </w:r>
      <w:r w:rsidRPr="00D94709">
        <w:rPr>
          <w:i/>
          <w:iCs/>
        </w:rPr>
        <w:t>E. faecalis</w:t>
      </w:r>
      <w:r>
        <w:t xml:space="preserve"> status was coded as success (1) and </w:t>
      </w:r>
      <w:r w:rsidRPr="00D94709">
        <w:rPr>
          <w:i/>
          <w:iCs/>
        </w:rPr>
        <w:t>E. faecium</w:t>
      </w:r>
      <w:r>
        <w:t xml:space="preserve"> status was coded as failure (0).  Violin plot statistics indicate results of t tests adjusted for multiple comparisons. </w:t>
      </w:r>
    </w:p>
    <w:p w14:paraId="481B5235" w14:textId="77777777" w:rsidR="00D94709" w:rsidRDefault="00D94709" w:rsidP="00025197">
      <w:pPr>
        <w:rPr>
          <w:b/>
          <w:bCs/>
        </w:rPr>
      </w:pPr>
    </w:p>
    <w:p w14:paraId="7B6F0F4D" w14:textId="1653607B" w:rsidR="00B46EA4" w:rsidRPr="00025197" w:rsidRDefault="00D94709" w:rsidP="00B46EA4">
      <w:pPr>
        <w:pStyle w:val="ListParagraph"/>
        <w:numPr>
          <w:ilvl w:val="0"/>
          <w:numId w:val="7"/>
        </w:numPr>
        <w:rPr>
          <w:b/>
          <w:bCs/>
        </w:rPr>
      </w:pPr>
      <w:r>
        <w:t>Proteomics</w:t>
      </w:r>
    </w:p>
    <w:p w14:paraId="6EAAF89A" w14:textId="766891A4" w:rsidR="00B46EA4" w:rsidRPr="00025197" w:rsidRDefault="00D94709" w:rsidP="00B46EA4">
      <w:pPr>
        <w:pStyle w:val="ListParagraph"/>
        <w:numPr>
          <w:ilvl w:val="0"/>
          <w:numId w:val="7"/>
        </w:numPr>
        <w:rPr>
          <w:b/>
          <w:bCs/>
        </w:rPr>
      </w:pPr>
      <w:r>
        <w:t>Metabolomics</w:t>
      </w:r>
    </w:p>
    <w:p w14:paraId="2397412C" w14:textId="77777777" w:rsidR="00025197" w:rsidRDefault="00025197" w:rsidP="00025197">
      <w:pPr>
        <w:rPr>
          <w:b/>
          <w:bCs/>
        </w:rPr>
      </w:pPr>
    </w:p>
    <w:p w14:paraId="6E0C99FB" w14:textId="77777777" w:rsidR="00025197" w:rsidRDefault="00025197" w:rsidP="00025197">
      <w:pPr>
        <w:rPr>
          <w:b/>
          <w:bCs/>
        </w:rPr>
      </w:pPr>
    </w:p>
    <w:p w14:paraId="57B7BEF9" w14:textId="77777777" w:rsidR="00025197" w:rsidRDefault="00025197" w:rsidP="00025197">
      <w:pPr>
        <w:rPr>
          <w:b/>
          <w:bCs/>
        </w:rPr>
      </w:pPr>
    </w:p>
    <w:p w14:paraId="56BC9C10" w14:textId="77777777" w:rsidR="00025197" w:rsidRDefault="00025197" w:rsidP="00025197">
      <w:pPr>
        <w:rPr>
          <w:b/>
          <w:bCs/>
        </w:rPr>
      </w:pPr>
      <w:r>
        <w:rPr>
          <w:b/>
          <w:bCs/>
        </w:rPr>
        <w:t xml:space="preserve">Figure S6. Top 10 Biomarkers for Distinguishing Mortality from Survival </w:t>
      </w:r>
    </w:p>
    <w:p w14:paraId="5E958BCD" w14:textId="248CFF4E" w:rsidR="00D94709" w:rsidRDefault="00D94709" w:rsidP="00025197">
      <w:r>
        <w:t xml:space="preserve">Comparisons of abundances of the top 10 features identified using EFS with violin plots showing differences in abundance and ROC curves produced by logistic regression wherein </w:t>
      </w:r>
      <w:r w:rsidRPr="00980772">
        <w:t>survival</w:t>
      </w:r>
      <w:r>
        <w:t xml:space="preserve"> status was coded as success (1) and </w:t>
      </w:r>
      <w:r w:rsidRPr="00980772">
        <w:t>mortality</w:t>
      </w:r>
      <w:r>
        <w:t xml:space="preserve"> status was coded as failure (0).  Violin plot statistics indicate results of t tests adjusted for multiple comparisons</w:t>
      </w:r>
      <w:r>
        <w:t>.</w:t>
      </w:r>
    </w:p>
    <w:p w14:paraId="71590995" w14:textId="77777777" w:rsidR="00D94709" w:rsidRDefault="00D94709" w:rsidP="00025197">
      <w:pPr>
        <w:rPr>
          <w:b/>
          <w:bCs/>
        </w:rPr>
      </w:pPr>
    </w:p>
    <w:p w14:paraId="422B199E" w14:textId="3B7D4E18" w:rsidR="00B46EA4" w:rsidRPr="00025197" w:rsidRDefault="00D94709" w:rsidP="00B46EA4">
      <w:pPr>
        <w:pStyle w:val="ListParagraph"/>
        <w:numPr>
          <w:ilvl w:val="0"/>
          <w:numId w:val="8"/>
        </w:numPr>
        <w:rPr>
          <w:b/>
          <w:bCs/>
        </w:rPr>
      </w:pPr>
      <w:r>
        <w:t>Proteomics</w:t>
      </w:r>
    </w:p>
    <w:p w14:paraId="0A8297BF" w14:textId="41322334" w:rsidR="00B46EA4" w:rsidRPr="00025197" w:rsidRDefault="00D94709" w:rsidP="00B46EA4">
      <w:pPr>
        <w:pStyle w:val="ListParagraph"/>
        <w:numPr>
          <w:ilvl w:val="0"/>
          <w:numId w:val="8"/>
        </w:numPr>
        <w:rPr>
          <w:b/>
          <w:bCs/>
        </w:rPr>
      </w:pPr>
      <w:r>
        <w:t>Metabolomics</w:t>
      </w:r>
    </w:p>
    <w:p w14:paraId="5AEFF231" w14:textId="77777777" w:rsidR="00B46EA4" w:rsidRDefault="00B46EA4" w:rsidP="00025197">
      <w:pPr>
        <w:rPr>
          <w:b/>
          <w:bCs/>
        </w:rPr>
      </w:pPr>
    </w:p>
    <w:p w14:paraId="59BEFCF9" w14:textId="77777777" w:rsidR="00025197" w:rsidRDefault="00025197" w:rsidP="00025197">
      <w:pPr>
        <w:rPr>
          <w:b/>
          <w:bCs/>
        </w:rPr>
      </w:pPr>
    </w:p>
    <w:p w14:paraId="6C397480" w14:textId="77777777" w:rsidR="00025197" w:rsidRDefault="00025197" w:rsidP="00025197">
      <w:pPr>
        <w:rPr>
          <w:b/>
          <w:bCs/>
        </w:rPr>
      </w:pPr>
    </w:p>
    <w:p w14:paraId="1CBC050E" w14:textId="77777777" w:rsidR="00025197" w:rsidRDefault="00025197" w:rsidP="00025197">
      <w:pPr>
        <w:rPr>
          <w:b/>
          <w:bCs/>
        </w:rPr>
      </w:pPr>
      <w:r>
        <w:rPr>
          <w:b/>
          <w:bCs/>
        </w:rPr>
        <w:t>Figure S7. Assessment of Top 10 Biomarkers for Potentially Confounding Variables</w:t>
      </w:r>
    </w:p>
    <w:p w14:paraId="6533E042" w14:textId="3483CFAE" w:rsidR="00304074" w:rsidRPr="00304074" w:rsidRDefault="00624A5B" w:rsidP="00025197">
      <w:r>
        <w:t>P</w:t>
      </w:r>
      <w:r w:rsidR="00304074">
        <w:t xml:space="preserve">-values resulting from testing for significant associations of top identified features with clinical metadata. </w:t>
      </w:r>
      <w:r w:rsidR="00A64710">
        <w:t>C</w:t>
      </w:r>
      <w:r w:rsidR="00A64710" w:rsidRPr="00A64710">
        <w:t>ategorical metadata associations were determined using M</w:t>
      </w:r>
      <w:r w:rsidR="00A64710">
        <w:t xml:space="preserve">ann-Whitney </w:t>
      </w:r>
      <w:r w:rsidR="00A64710" w:rsidRPr="00A64710">
        <w:t>U</w:t>
      </w:r>
      <w:r w:rsidR="00A64710">
        <w:t xml:space="preserve"> test </w:t>
      </w:r>
      <w:r w:rsidR="00EE4945">
        <w:t>/Wilcoxon rank-sum test</w:t>
      </w:r>
      <w:r w:rsidR="00A64710" w:rsidRPr="00A64710">
        <w:t xml:space="preserve"> </w:t>
      </w:r>
      <w:r w:rsidR="00A64710">
        <w:t xml:space="preserve">(when only two categories </w:t>
      </w:r>
      <w:r w:rsidR="00EE4945">
        <w:t>were</w:t>
      </w:r>
      <w:r w:rsidR="00A64710">
        <w:t xml:space="preserve"> present) </w:t>
      </w:r>
      <w:r w:rsidR="00A64710" w:rsidRPr="00A64710">
        <w:t>or Kruskall-</w:t>
      </w:r>
      <w:proofErr w:type="gramStart"/>
      <w:r w:rsidR="00A64710" w:rsidRPr="00A64710">
        <w:t>Wallis</w:t>
      </w:r>
      <w:proofErr w:type="gramEnd"/>
      <w:r w:rsidR="00A64710" w:rsidRPr="00A64710">
        <w:t xml:space="preserve"> test </w:t>
      </w:r>
      <w:r w:rsidR="00A64710">
        <w:t xml:space="preserve">(when more than two categories </w:t>
      </w:r>
      <w:r w:rsidR="00EE4945">
        <w:t>were</w:t>
      </w:r>
      <w:r w:rsidR="00A64710">
        <w:t xml:space="preserve"> present)</w:t>
      </w:r>
      <w:r w:rsidR="00A64710" w:rsidRPr="00A64710">
        <w:t>. Continuous metadata associations were determined using Pearson correlation</w:t>
      </w:r>
      <w:r w:rsidR="00A64710">
        <w:t>.</w:t>
      </w:r>
    </w:p>
    <w:p w14:paraId="18997ABA" w14:textId="77777777" w:rsidR="00304074" w:rsidRDefault="00304074" w:rsidP="00025197">
      <w:pPr>
        <w:rPr>
          <w:b/>
          <w:bCs/>
        </w:rPr>
      </w:pPr>
    </w:p>
    <w:p w14:paraId="27E2847C" w14:textId="77777777" w:rsidR="00304074" w:rsidRDefault="00304074" w:rsidP="00025197">
      <w:pPr>
        <w:rPr>
          <w:b/>
          <w:bCs/>
        </w:rPr>
      </w:pPr>
    </w:p>
    <w:p w14:paraId="2B0DFFA4" w14:textId="67879A73" w:rsidR="00980772" w:rsidRDefault="00304074" w:rsidP="00980772">
      <w:pPr>
        <w:pStyle w:val="ListParagraph"/>
        <w:numPr>
          <w:ilvl w:val="0"/>
          <w:numId w:val="10"/>
        </w:numPr>
      </w:pPr>
      <w:r w:rsidRPr="00A64710">
        <w:rPr>
          <w:i/>
          <w:iCs/>
        </w:rPr>
        <w:t>E. faecalis</w:t>
      </w:r>
      <w:r>
        <w:t xml:space="preserve"> vs </w:t>
      </w:r>
      <w:r w:rsidRPr="00A64710">
        <w:rPr>
          <w:i/>
          <w:iCs/>
        </w:rPr>
        <w:t>E. faecium</w:t>
      </w:r>
      <w:r>
        <w:t xml:space="preserve"> top proteomic features</w:t>
      </w:r>
      <w:r w:rsidR="00A64710">
        <w:t>.</w:t>
      </w:r>
    </w:p>
    <w:p w14:paraId="7AF4EB06" w14:textId="3AE3ACD8" w:rsidR="00980772" w:rsidRDefault="00304074" w:rsidP="00980772">
      <w:pPr>
        <w:pStyle w:val="ListParagraph"/>
        <w:numPr>
          <w:ilvl w:val="0"/>
          <w:numId w:val="10"/>
        </w:numPr>
      </w:pPr>
      <w:r w:rsidRPr="00A64710">
        <w:rPr>
          <w:i/>
          <w:iCs/>
        </w:rPr>
        <w:t>E. faecalis</w:t>
      </w:r>
      <w:r>
        <w:t xml:space="preserve"> vs </w:t>
      </w:r>
      <w:r w:rsidRPr="00A64710">
        <w:rPr>
          <w:i/>
          <w:iCs/>
        </w:rPr>
        <w:t>E. faecium</w:t>
      </w:r>
      <w:r>
        <w:t xml:space="preserve"> top metabolomic features</w:t>
      </w:r>
    </w:p>
    <w:p w14:paraId="564CD405" w14:textId="72C6C754" w:rsidR="00980772" w:rsidRDefault="00D94709" w:rsidP="00980772">
      <w:pPr>
        <w:pStyle w:val="ListParagraph"/>
        <w:numPr>
          <w:ilvl w:val="0"/>
          <w:numId w:val="10"/>
        </w:numPr>
      </w:pPr>
      <w:r>
        <w:t xml:space="preserve">Mortality </w:t>
      </w:r>
      <w:r w:rsidR="00304074">
        <w:t xml:space="preserve">vs </w:t>
      </w:r>
      <w:r w:rsidR="00A64710">
        <w:t>s</w:t>
      </w:r>
      <w:r w:rsidR="00304074">
        <w:t>urvival top proteomic features</w:t>
      </w:r>
    </w:p>
    <w:p w14:paraId="32CFAE4B" w14:textId="354935CA" w:rsidR="00980772" w:rsidRDefault="00D94709" w:rsidP="00980772">
      <w:pPr>
        <w:pStyle w:val="ListParagraph"/>
        <w:numPr>
          <w:ilvl w:val="0"/>
          <w:numId w:val="10"/>
        </w:numPr>
      </w:pPr>
      <w:r>
        <w:t>Mortality</w:t>
      </w:r>
      <w:r w:rsidR="00A64710">
        <w:t xml:space="preserve"> vs survival top metabolomic features</w:t>
      </w:r>
    </w:p>
    <w:p w14:paraId="37404748" w14:textId="77777777" w:rsidR="00980772" w:rsidRPr="00980772" w:rsidRDefault="00980772" w:rsidP="00980772">
      <w:pPr>
        <w:pStyle w:val="ListParagraph"/>
      </w:pPr>
    </w:p>
    <w:p w14:paraId="665780E9" w14:textId="77777777" w:rsidR="00025197" w:rsidRDefault="00025197" w:rsidP="00025197">
      <w:pPr>
        <w:rPr>
          <w:b/>
          <w:bCs/>
        </w:rPr>
      </w:pPr>
    </w:p>
    <w:p w14:paraId="741AAB7F" w14:textId="1797F94C" w:rsidR="00025197" w:rsidRDefault="00025197" w:rsidP="00025197">
      <w:pPr>
        <w:rPr>
          <w:b/>
          <w:bCs/>
        </w:rPr>
      </w:pPr>
      <w:r>
        <w:rPr>
          <w:b/>
          <w:bCs/>
        </w:rPr>
        <w:t>Figure S8. Cytokine Inference</w:t>
      </w:r>
      <w:r w:rsidR="00304074">
        <w:rPr>
          <w:b/>
          <w:bCs/>
        </w:rPr>
        <w:t xml:space="preserve"> from Significantly Increased Proteins. </w:t>
      </w:r>
    </w:p>
    <w:p w14:paraId="21B5E2FE" w14:textId="58D0B49C" w:rsidR="00B46EA4" w:rsidRDefault="00D22460" w:rsidP="00B46EA4">
      <w:pPr>
        <w:pStyle w:val="ListParagraph"/>
        <w:numPr>
          <w:ilvl w:val="0"/>
          <w:numId w:val="9"/>
        </w:numPr>
      </w:pPr>
      <w:r>
        <w:t>Network of proteins and interactions with a panel of cytokines colored by whether they were significantly enriched in EcB infection</w:t>
      </w:r>
      <w:r w:rsidR="00304074">
        <w:t xml:space="preserve"> (compared to healthy volunteers- </w:t>
      </w:r>
      <w:r>
        <w:t xml:space="preserve">orange), </w:t>
      </w:r>
      <w:r w:rsidRPr="00D22460">
        <w:rPr>
          <w:i/>
          <w:iCs/>
        </w:rPr>
        <w:t xml:space="preserve">E. faecalis </w:t>
      </w:r>
      <w:r>
        <w:t>(</w:t>
      </w:r>
      <w:r w:rsidR="00304074">
        <w:t>compared to healthy volunteers- n</w:t>
      </w:r>
      <w:r>
        <w:t>avy),</w:t>
      </w:r>
      <w:r w:rsidR="00304074">
        <w:t xml:space="preserve"> </w:t>
      </w:r>
      <w:r w:rsidR="00304074" w:rsidRPr="00D22460">
        <w:rPr>
          <w:i/>
          <w:iCs/>
        </w:rPr>
        <w:t>E. faecium</w:t>
      </w:r>
      <w:r w:rsidR="00304074">
        <w:t xml:space="preserve"> (</w:t>
      </w:r>
      <w:r w:rsidR="00304074">
        <w:t xml:space="preserve">compared to healthy volunteers- </w:t>
      </w:r>
      <w:r w:rsidR="00304074">
        <w:t>teal)</w:t>
      </w:r>
      <w:r w:rsidR="00304074">
        <w:t xml:space="preserve">, or </w:t>
      </w:r>
      <w:r>
        <w:t>healthy volunteers</w:t>
      </w:r>
      <w:r w:rsidR="00304074">
        <w:t xml:space="preserve"> (compared to EcB infection- yellow).</w:t>
      </w:r>
    </w:p>
    <w:p w14:paraId="060F3443" w14:textId="349F4184" w:rsidR="00D22460" w:rsidRDefault="008401B3" w:rsidP="00B46EA4">
      <w:pPr>
        <w:pStyle w:val="ListParagraph"/>
        <w:numPr>
          <w:ilvl w:val="0"/>
          <w:numId w:val="9"/>
        </w:numPr>
      </w:pPr>
      <w:r>
        <w:t xml:space="preserve">Diagram of the logic and statistics used to infer cytokine abundance. </w:t>
      </w:r>
    </w:p>
    <w:p w14:paraId="0400DF25" w14:textId="0D99EB1C" w:rsidR="00D22460" w:rsidRDefault="00D22460" w:rsidP="00B46EA4">
      <w:pPr>
        <w:pStyle w:val="ListParagraph"/>
        <w:numPr>
          <w:ilvl w:val="0"/>
          <w:numId w:val="9"/>
        </w:numPr>
      </w:pPr>
      <w:r>
        <w:t>P</w:t>
      </w:r>
      <w:r w:rsidR="00304074">
        <w:t>-</w:t>
      </w:r>
      <w:r>
        <w:t>values</w:t>
      </w:r>
      <w:r w:rsidR="00304074">
        <w:t xml:space="preserve"> and direction of change</w:t>
      </w:r>
      <w:r>
        <w:t xml:space="preserve"> of cytokines included in </w:t>
      </w:r>
      <w:r w:rsidR="005563D5">
        <w:t xml:space="preserve">cytokine inference screening </w:t>
      </w:r>
      <w:r>
        <w:t>panel</w:t>
      </w:r>
      <w:r w:rsidR="00304074">
        <w:t xml:space="preserve">. </w:t>
      </w:r>
      <w:r>
        <w:t xml:space="preserve">Size of dots represent direction of change with large being increased, and small being decreased. Colors represent the </w:t>
      </w:r>
      <w:r w:rsidR="005563D5">
        <w:t>sample type.</w:t>
      </w:r>
    </w:p>
    <w:p w14:paraId="707902EF" w14:textId="15E7B6C4" w:rsidR="00025197" w:rsidRDefault="00D22460" w:rsidP="00025197">
      <w:pPr>
        <w:pStyle w:val="ListParagraph"/>
        <w:numPr>
          <w:ilvl w:val="0"/>
          <w:numId w:val="9"/>
        </w:numPr>
      </w:pPr>
      <w:r>
        <w:t xml:space="preserve">Network highlighting associations of significantly increased proteins observed in EcB infection and </w:t>
      </w:r>
      <w:r w:rsidR="00096386">
        <w:t xml:space="preserve">expected interactions with </w:t>
      </w:r>
      <w:r>
        <w:t>TNF alpha.</w:t>
      </w:r>
    </w:p>
    <w:p w14:paraId="59DD0DBD" w14:textId="77777777" w:rsidR="00096386" w:rsidRDefault="00096386" w:rsidP="00096386">
      <w:pPr>
        <w:pStyle w:val="ListParagraph"/>
      </w:pPr>
    </w:p>
    <w:p w14:paraId="0E0F3FC6" w14:textId="77777777" w:rsidR="00096386" w:rsidRPr="00096386" w:rsidRDefault="00096386" w:rsidP="00096386">
      <w:pPr>
        <w:pStyle w:val="ListParagraph"/>
      </w:pPr>
    </w:p>
    <w:p w14:paraId="3E3216EE" w14:textId="77777777" w:rsidR="00025197" w:rsidRDefault="00025197" w:rsidP="00025197">
      <w:pPr>
        <w:rPr>
          <w:b/>
          <w:bCs/>
        </w:rPr>
      </w:pPr>
      <w:r>
        <w:rPr>
          <w:b/>
          <w:bCs/>
        </w:rPr>
        <w:t xml:space="preserve">Figure S9. Clustering of Clinical Isolates of Enterococcus by Gene Content. </w:t>
      </w:r>
    </w:p>
    <w:p w14:paraId="3127849C" w14:textId="2560C8BA" w:rsidR="00B8732E" w:rsidRDefault="00B8732E" w:rsidP="00B8732E">
      <w:r>
        <w:t xml:space="preserve">Unsupervised clustering of </w:t>
      </w:r>
      <w:r w:rsidRPr="00B8732E">
        <w:rPr>
          <w:i/>
          <w:iCs/>
        </w:rPr>
        <w:t>de novo</w:t>
      </w:r>
      <w:r>
        <w:t xml:space="preserve"> assemblies of strains isolated from EcB patients in this study, as conducted using the binary distance metric and complete </w:t>
      </w:r>
      <w:r w:rsidRPr="008401B3">
        <w:t>agglomeration</w:t>
      </w:r>
      <w:r>
        <w:t xml:space="preserve"> method. X axis indicates genes in pan genome, color indicates presence (red) or absence (blue) of gene. Colored bars on the Y axis represent whether the patient succumbed to mortality (red) or survived (blue)</w:t>
      </w:r>
    </w:p>
    <w:p w14:paraId="068A6746" w14:textId="77777777" w:rsidR="00B8732E" w:rsidRDefault="00B8732E" w:rsidP="00B8732E"/>
    <w:p w14:paraId="0B443E0C" w14:textId="77777777" w:rsidR="00B8732E" w:rsidRDefault="00B8732E" w:rsidP="00B8732E"/>
    <w:p w14:paraId="73B5E245" w14:textId="497810B2" w:rsidR="008401B3" w:rsidRPr="00B8732E" w:rsidRDefault="00B8732E" w:rsidP="008401B3">
      <w:pPr>
        <w:pStyle w:val="ListParagraph"/>
        <w:numPr>
          <w:ilvl w:val="0"/>
          <w:numId w:val="11"/>
        </w:numPr>
        <w:rPr>
          <w:i/>
          <w:iCs/>
        </w:rPr>
      </w:pPr>
      <w:r w:rsidRPr="00B8732E">
        <w:rPr>
          <w:i/>
          <w:iCs/>
        </w:rPr>
        <w:t>E. faecalis</w:t>
      </w:r>
      <w:r w:rsidR="00D94709">
        <w:rPr>
          <w:i/>
          <w:iCs/>
        </w:rPr>
        <w:t xml:space="preserve"> </w:t>
      </w:r>
      <w:r w:rsidR="00D94709">
        <w:t>isolates</w:t>
      </w:r>
    </w:p>
    <w:p w14:paraId="02CD3CBD" w14:textId="0ABF4A07" w:rsidR="00B8732E" w:rsidRPr="00B8732E" w:rsidRDefault="00B8732E" w:rsidP="008401B3">
      <w:pPr>
        <w:pStyle w:val="ListParagraph"/>
        <w:numPr>
          <w:ilvl w:val="0"/>
          <w:numId w:val="11"/>
        </w:numPr>
        <w:rPr>
          <w:i/>
          <w:iCs/>
        </w:rPr>
      </w:pPr>
      <w:r w:rsidRPr="00B8732E">
        <w:rPr>
          <w:i/>
          <w:iCs/>
        </w:rPr>
        <w:t>E. faecium</w:t>
      </w:r>
      <w:r w:rsidR="00D94709">
        <w:rPr>
          <w:i/>
          <w:iCs/>
        </w:rPr>
        <w:t xml:space="preserve"> </w:t>
      </w:r>
      <w:r w:rsidR="00D94709">
        <w:t>isolates</w:t>
      </w:r>
    </w:p>
    <w:p w14:paraId="7AC137B4" w14:textId="77777777" w:rsidR="00025197" w:rsidRDefault="00025197" w:rsidP="00025197">
      <w:pPr>
        <w:rPr>
          <w:b/>
          <w:bCs/>
        </w:rPr>
      </w:pPr>
    </w:p>
    <w:p w14:paraId="7575D96A" w14:textId="77777777" w:rsidR="00025197" w:rsidRDefault="00025197" w:rsidP="00025197">
      <w:pPr>
        <w:rPr>
          <w:b/>
          <w:bCs/>
        </w:rPr>
      </w:pPr>
    </w:p>
    <w:p w14:paraId="22A6829A" w14:textId="77777777" w:rsidR="00025197" w:rsidRPr="002C43DD" w:rsidRDefault="00025197" w:rsidP="00025197">
      <w:pPr>
        <w:rPr>
          <w:b/>
          <w:bCs/>
        </w:rPr>
      </w:pPr>
      <w:r>
        <w:rPr>
          <w:b/>
          <w:bCs/>
        </w:rPr>
        <w:t xml:space="preserve">Figure S10. Assessment of Confounding Variable Effects </w:t>
      </w:r>
    </w:p>
    <w:p w14:paraId="4A95C458" w14:textId="7E71F133" w:rsidR="00AC1566" w:rsidRDefault="00B46EA4" w:rsidP="00B46EA4">
      <w:pPr>
        <w:pStyle w:val="ListParagraph"/>
        <w:numPr>
          <w:ilvl w:val="0"/>
          <w:numId w:val="12"/>
        </w:numPr>
      </w:pPr>
      <w:r>
        <w:t xml:space="preserve">Differences in immunoglobulin abundances between </w:t>
      </w:r>
      <w:r w:rsidRPr="00B46EA4">
        <w:rPr>
          <w:i/>
          <w:iCs/>
        </w:rPr>
        <w:t>E. faecalis</w:t>
      </w:r>
      <w:r>
        <w:t xml:space="preserve"> and </w:t>
      </w:r>
      <w:r w:rsidRPr="00B46EA4">
        <w:rPr>
          <w:i/>
          <w:iCs/>
        </w:rPr>
        <w:t>E. faecium</w:t>
      </w:r>
      <w:r>
        <w:t xml:space="preserve"> bacteremia when filtered to only include patients that had not gotten any organ transplant. Statistics show the results of t tests adjusted for multiple comparisons. </w:t>
      </w:r>
    </w:p>
    <w:p w14:paraId="2D642A73" w14:textId="087B336C" w:rsidR="00B46EA4" w:rsidRDefault="00B46EA4" w:rsidP="00B46EA4">
      <w:pPr>
        <w:pStyle w:val="ListParagraph"/>
        <w:numPr>
          <w:ilvl w:val="0"/>
          <w:numId w:val="12"/>
        </w:numPr>
      </w:pPr>
      <w:r>
        <w:t>Differences in biomarkers identified to</w:t>
      </w:r>
      <w:r w:rsidR="008401B3">
        <w:t xml:space="preserve"> be significantly associated with smoking</w:t>
      </w:r>
      <w:r>
        <w:t xml:space="preserve"> </w:t>
      </w:r>
      <w:r w:rsidR="00D22460">
        <w:t xml:space="preserve">when filtered to only </w:t>
      </w:r>
      <w:r w:rsidR="008401B3">
        <w:t>nonsmoking patients</w:t>
      </w:r>
      <w:r w:rsidR="00D22460">
        <w:t xml:space="preserve">. Statistics show the results of t tests. </w:t>
      </w:r>
    </w:p>
    <w:sectPr w:rsidR="00B46EA4" w:rsidSect="000B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0EA3"/>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2B34EF"/>
    <w:multiLevelType w:val="hybridMultilevel"/>
    <w:tmpl w:val="529224D4"/>
    <w:lvl w:ilvl="0" w:tplc="30662610">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A7F80"/>
    <w:multiLevelType w:val="hybridMultilevel"/>
    <w:tmpl w:val="E724FEC8"/>
    <w:lvl w:ilvl="0" w:tplc="D2B6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93FCE"/>
    <w:multiLevelType w:val="hybridMultilevel"/>
    <w:tmpl w:val="1D1AC516"/>
    <w:lvl w:ilvl="0" w:tplc="701098B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60A7C"/>
    <w:multiLevelType w:val="hybridMultilevel"/>
    <w:tmpl w:val="DAAEBE72"/>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72DC3"/>
    <w:multiLevelType w:val="hybridMultilevel"/>
    <w:tmpl w:val="DAAEBE72"/>
    <w:lvl w:ilvl="0" w:tplc="93EEB24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D3C7F"/>
    <w:multiLevelType w:val="hybridMultilevel"/>
    <w:tmpl w:val="B522873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F4F19"/>
    <w:multiLevelType w:val="hybridMultilevel"/>
    <w:tmpl w:val="AF8AE796"/>
    <w:lvl w:ilvl="0" w:tplc="0842459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5155A"/>
    <w:multiLevelType w:val="hybridMultilevel"/>
    <w:tmpl w:val="92926F3A"/>
    <w:lvl w:ilvl="0" w:tplc="81A067EC">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25CF4"/>
    <w:multiLevelType w:val="hybridMultilevel"/>
    <w:tmpl w:val="A0C07178"/>
    <w:lvl w:ilvl="0" w:tplc="62FCF02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17563E"/>
    <w:multiLevelType w:val="hybridMultilevel"/>
    <w:tmpl w:val="1D1AC516"/>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DE7658C"/>
    <w:multiLevelType w:val="hybridMultilevel"/>
    <w:tmpl w:val="F710DCC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75344">
    <w:abstractNumId w:val="2"/>
  </w:num>
  <w:num w:numId="2" w16cid:durableId="629240401">
    <w:abstractNumId w:val="7"/>
  </w:num>
  <w:num w:numId="3" w16cid:durableId="2129663654">
    <w:abstractNumId w:val="3"/>
  </w:num>
  <w:num w:numId="4" w16cid:durableId="1338996744">
    <w:abstractNumId w:val="10"/>
  </w:num>
  <w:num w:numId="5" w16cid:durableId="1691293404">
    <w:abstractNumId w:val="9"/>
  </w:num>
  <w:num w:numId="6" w16cid:durableId="1672483955">
    <w:abstractNumId w:val="5"/>
  </w:num>
  <w:num w:numId="7" w16cid:durableId="2050835993">
    <w:abstractNumId w:val="4"/>
  </w:num>
  <w:num w:numId="8" w16cid:durableId="1017660781">
    <w:abstractNumId w:val="0"/>
  </w:num>
  <w:num w:numId="9" w16cid:durableId="1276903473">
    <w:abstractNumId w:val="11"/>
  </w:num>
  <w:num w:numId="10" w16cid:durableId="103616751">
    <w:abstractNumId w:val="8"/>
  </w:num>
  <w:num w:numId="11" w16cid:durableId="1547987502">
    <w:abstractNumId w:val="1"/>
  </w:num>
  <w:num w:numId="12" w16cid:durableId="152913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97"/>
    <w:rsid w:val="00025197"/>
    <w:rsid w:val="00096386"/>
    <w:rsid w:val="000B503E"/>
    <w:rsid w:val="00145366"/>
    <w:rsid w:val="00304074"/>
    <w:rsid w:val="003703F0"/>
    <w:rsid w:val="004156C3"/>
    <w:rsid w:val="005563D5"/>
    <w:rsid w:val="00624A5B"/>
    <w:rsid w:val="008401B3"/>
    <w:rsid w:val="00980772"/>
    <w:rsid w:val="00A272E1"/>
    <w:rsid w:val="00A64710"/>
    <w:rsid w:val="00AC1566"/>
    <w:rsid w:val="00B46EA4"/>
    <w:rsid w:val="00B8732E"/>
    <w:rsid w:val="00D22460"/>
    <w:rsid w:val="00D94709"/>
    <w:rsid w:val="00EE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6EAEE"/>
  <w15:chartTrackingRefBased/>
  <w15:docId w15:val="{3AF4064A-9C22-D848-852D-B4B63922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197"/>
  </w:style>
  <w:style w:type="paragraph" w:styleId="Heading1">
    <w:name w:val="heading 1"/>
    <w:basedOn w:val="Normal"/>
    <w:next w:val="Normal"/>
    <w:link w:val="Heading1Char"/>
    <w:uiPriority w:val="9"/>
    <w:qFormat/>
    <w:rsid w:val="00025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1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1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1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1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197"/>
    <w:rPr>
      <w:rFonts w:eastAsiaTheme="majorEastAsia" w:cstheme="majorBidi"/>
      <w:color w:val="272727" w:themeColor="text1" w:themeTint="D8"/>
    </w:rPr>
  </w:style>
  <w:style w:type="paragraph" w:styleId="Title">
    <w:name w:val="Title"/>
    <w:basedOn w:val="Normal"/>
    <w:next w:val="Normal"/>
    <w:link w:val="TitleChar"/>
    <w:uiPriority w:val="10"/>
    <w:qFormat/>
    <w:rsid w:val="000251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1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1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5197"/>
    <w:rPr>
      <w:i/>
      <w:iCs/>
      <w:color w:val="404040" w:themeColor="text1" w:themeTint="BF"/>
    </w:rPr>
  </w:style>
  <w:style w:type="paragraph" w:styleId="ListParagraph">
    <w:name w:val="List Paragraph"/>
    <w:basedOn w:val="Normal"/>
    <w:uiPriority w:val="34"/>
    <w:qFormat/>
    <w:rsid w:val="00025197"/>
    <w:pPr>
      <w:ind w:left="720"/>
      <w:contextualSpacing/>
    </w:pPr>
  </w:style>
  <w:style w:type="character" w:styleId="IntenseEmphasis">
    <w:name w:val="Intense Emphasis"/>
    <w:basedOn w:val="DefaultParagraphFont"/>
    <w:uiPriority w:val="21"/>
    <w:qFormat/>
    <w:rsid w:val="00025197"/>
    <w:rPr>
      <w:i/>
      <w:iCs/>
      <w:color w:val="0F4761" w:themeColor="accent1" w:themeShade="BF"/>
    </w:rPr>
  </w:style>
  <w:style w:type="paragraph" w:styleId="IntenseQuote">
    <w:name w:val="Intense Quote"/>
    <w:basedOn w:val="Normal"/>
    <w:next w:val="Normal"/>
    <w:link w:val="IntenseQuoteChar"/>
    <w:uiPriority w:val="30"/>
    <w:qFormat/>
    <w:rsid w:val="00025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197"/>
    <w:rPr>
      <w:i/>
      <w:iCs/>
      <w:color w:val="0F4761" w:themeColor="accent1" w:themeShade="BF"/>
    </w:rPr>
  </w:style>
  <w:style w:type="character" w:styleId="IntenseReference">
    <w:name w:val="Intense Reference"/>
    <w:basedOn w:val="DefaultParagraphFont"/>
    <w:uiPriority w:val="32"/>
    <w:qFormat/>
    <w:rsid w:val="00025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5</cp:revision>
  <dcterms:created xsi:type="dcterms:W3CDTF">2024-03-29T20:33:00Z</dcterms:created>
  <dcterms:modified xsi:type="dcterms:W3CDTF">2024-04-01T19:25:00Z</dcterms:modified>
</cp:coreProperties>
</file>