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1176" w:type="dxa"/>
        <w:tblInd w:w="-416" w:type="dxa"/>
        <w:tblLook w:val="04A0" w:firstRow="1" w:lastRow="0" w:firstColumn="1" w:lastColumn="0" w:noHBand="0" w:noVBand="1"/>
      </w:tblPr>
      <w:tblGrid>
        <w:gridCol w:w="1518"/>
        <w:gridCol w:w="2673"/>
        <w:gridCol w:w="6403"/>
        <w:gridCol w:w="582"/>
      </w:tblGrid>
      <w:tr w:rsidR="00A219DD" w:rsidRPr="00C05202" w14:paraId="4A671526" w14:textId="77777777" w:rsidTr="00A219DD">
        <w:trPr>
          <w:trHeight w:val="309"/>
        </w:trPr>
        <w:tc>
          <w:tcPr>
            <w:tcW w:w="1518" w:type="dxa"/>
            <w:noWrap/>
            <w:hideMark/>
          </w:tcPr>
          <w:p w14:paraId="71B03A85" w14:textId="77777777" w:rsidR="00A219DD" w:rsidRPr="00C05202" w:rsidRDefault="00A219DD" w:rsidP="005B448B">
            <w:pPr>
              <w:rPr>
                <w:b/>
                <w:bCs/>
              </w:rPr>
            </w:pPr>
            <w:r w:rsidRPr="00C05202">
              <w:rPr>
                <w:b/>
                <w:bCs/>
              </w:rPr>
              <w:t>Protease</w:t>
            </w:r>
          </w:p>
        </w:tc>
        <w:tc>
          <w:tcPr>
            <w:tcW w:w="2673" w:type="dxa"/>
            <w:noWrap/>
            <w:hideMark/>
          </w:tcPr>
          <w:p w14:paraId="10C1F44F" w14:textId="77777777" w:rsidR="00A219DD" w:rsidRPr="00C05202" w:rsidRDefault="00A219DD" w:rsidP="005B448B">
            <w:pPr>
              <w:rPr>
                <w:b/>
                <w:bCs/>
              </w:rPr>
            </w:pPr>
            <w:r w:rsidRPr="00C05202">
              <w:rPr>
                <w:b/>
                <w:bCs/>
              </w:rPr>
              <w:t>Positional Specificity</w:t>
            </w:r>
          </w:p>
        </w:tc>
        <w:tc>
          <w:tcPr>
            <w:tcW w:w="6403" w:type="dxa"/>
            <w:noWrap/>
            <w:hideMark/>
          </w:tcPr>
          <w:p w14:paraId="7BC63511" w14:textId="77777777" w:rsidR="00A219DD" w:rsidRPr="00C05202" w:rsidRDefault="00A219DD" w:rsidP="005B448B">
            <w:pPr>
              <w:rPr>
                <w:b/>
                <w:bCs/>
              </w:rPr>
            </w:pPr>
            <w:r w:rsidRPr="00C05202">
              <w:rPr>
                <w:b/>
                <w:bCs/>
              </w:rPr>
              <w:t>Amino Acid Specificity</w:t>
            </w:r>
          </w:p>
        </w:tc>
        <w:tc>
          <w:tcPr>
            <w:tcW w:w="582" w:type="dxa"/>
            <w:noWrap/>
            <w:hideMark/>
          </w:tcPr>
          <w:p w14:paraId="7DEEBA1E" w14:textId="5E07281A" w:rsidR="00A219DD" w:rsidRPr="00C05202" w:rsidRDefault="00A219DD" w:rsidP="005B448B">
            <w:pPr>
              <w:rPr>
                <w:b/>
                <w:bCs/>
              </w:rPr>
            </w:pPr>
            <w:r w:rsidRPr="00C05202">
              <w:rPr>
                <w:b/>
                <w:bCs/>
              </w:rPr>
              <w:t>Ref</w:t>
            </w:r>
          </w:p>
        </w:tc>
      </w:tr>
      <w:tr w:rsidR="00A219DD" w:rsidRPr="00C05202" w14:paraId="7534D664" w14:textId="77777777" w:rsidTr="00A219DD">
        <w:trPr>
          <w:trHeight w:val="664"/>
        </w:trPr>
        <w:tc>
          <w:tcPr>
            <w:tcW w:w="1518" w:type="dxa"/>
            <w:noWrap/>
            <w:hideMark/>
          </w:tcPr>
          <w:p w14:paraId="6FA31D35" w14:textId="77777777" w:rsidR="00A219DD" w:rsidRPr="00C05202" w:rsidRDefault="00A219DD" w:rsidP="005B448B">
            <w:r w:rsidRPr="00C05202">
              <w:t>Cathepsin A</w:t>
            </w:r>
          </w:p>
        </w:tc>
        <w:tc>
          <w:tcPr>
            <w:tcW w:w="2673" w:type="dxa"/>
            <w:noWrap/>
            <w:hideMark/>
          </w:tcPr>
          <w:p w14:paraId="5FA46241" w14:textId="77777777" w:rsidR="00A219DD" w:rsidRPr="00C05202" w:rsidRDefault="00A219DD" w:rsidP="005B448B">
            <w:r w:rsidRPr="00C05202">
              <w:t xml:space="preserve">Carboxypeptidase </w:t>
            </w:r>
          </w:p>
        </w:tc>
        <w:tc>
          <w:tcPr>
            <w:tcW w:w="6403" w:type="dxa"/>
            <w:hideMark/>
          </w:tcPr>
          <w:p w14:paraId="405A35F3" w14:textId="7F10EE61" w:rsidR="00A219DD" w:rsidRPr="00C05202" w:rsidRDefault="00A219DD" w:rsidP="005B448B">
            <w:r w:rsidRPr="00D6476A">
              <w:t>Removes hydrophobic amino acids (e.g. Phe and Leu) from the C-terminus of substrates when additional hydrophobic amino acids are present in</w:t>
            </w:r>
            <w:r>
              <w:t xml:space="preserve"> P1</w:t>
            </w:r>
          </w:p>
        </w:tc>
        <w:tc>
          <w:tcPr>
            <w:tcW w:w="582" w:type="dxa"/>
            <w:noWrap/>
            <w:hideMark/>
          </w:tcPr>
          <w:p w14:paraId="5FD4790D" w14:textId="77777777" w:rsidR="00A219DD" w:rsidRPr="00C05202" w:rsidRDefault="00A219DD" w:rsidP="005B448B">
            <w:r>
              <w:fldChar w:fldCharType="begin"/>
            </w:r>
            <w:r>
              <w:instrText xml:space="preserve"> ADDIN ZOTERO_ITEM CSL_CITATION {"citationID":"mrAL8jBv","properties":{"formattedCitation":"\\super 4\\nosupersub{}","plainCitation":"4","noteIndex":0},"citationItems":[{"id":6552,"uris":["http://zotero.org/users/6494753/items/9V4FU34U"],"itemData":{"id":6552,"type":"article-journal","container-title":"The EMBO Journal","DOI":"10.1093/emboj/cdg002","ISSN":"14602075","issue":"1","language":"en","license":"http://doi.wiley.com/10.1002/tdm_license_1.1","page":"47-59","source":"DOI.org (Crossref)","title":"Cathepsin A regulates chaperone-mediated autophagy through cleavage of the lysosomal receptor","volume":"22","author":[{"family":"Cuervo","given":"A. M."}],"issued":{"date-parts":[["2003",1,2]]}}}],"schema":"https://github.com/citation-style-language/schema/raw/master/csl-citation.json"} </w:instrText>
            </w:r>
            <w:r>
              <w:fldChar w:fldCharType="separate"/>
            </w:r>
            <w:r w:rsidRPr="00D6476A">
              <w:rPr>
                <w:rFonts w:ascii="Aptos" w:cs="Times New Roman"/>
                <w:vertAlign w:val="superscript"/>
              </w:rPr>
              <w:t>4</w:t>
            </w:r>
            <w:r>
              <w:fldChar w:fldCharType="end"/>
            </w:r>
          </w:p>
        </w:tc>
      </w:tr>
      <w:tr w:rsidR="00A219DD" w:rsidRPr="00C05202" w14:paraId="5C458F4E" w14:textId="77777777" w:rsidTr="00A219DD">
        <w:trPr>
          <w:trHeight w:val="664"/>
        </w:trPr>
        <w:tc>
          <w:tcPr>
            <w:tcW w:w="1518" w:type="dxa"/>
            <w:noWrap/>
            <w:hideMark/>
          </w:tcPr>
          <w:p w14:paraId="07119F09" w14:textId="77777777" w:rsidR="00A219DD" w:rsidRPr="00C05202" w:rsidRDefault="00A219DD" w:rsidP="005B448B">
            <w:r w:rsidRPr="00C05202">
              <w:t>Cathepsin B</w:t>
            </w:r>
          </w:p>
        </w:tc>
        <w:tc>
          <w:tcPr>
            <w:tcW w:w="2673" w:type="dxa"/>
            <w:noWrap/>
            <w:hideMark/>
          </w:tcPr>
          <w:p w14:paraId="4A0ED48A" w14:textId="77777777" w:rsidR="00A219DD" w:rsidRPr="00C05202" w:rsidRDefault="00A219DD" w:rsidP="005B448B">
            <w:r w:rsidRPr="00C05202">
              <w:t xml:space="preserve">Dipeptidyl carboxypeptidase </w:t>
            </w:r>
          </w:p>
        </w:tc>
        <w:tc>
          <w:tcPr>
            <w:tcW w:w="6403" w:type="dxa"/>
            <w:hideMark/>
          </w:tcPr>
          <w:p w14:paraId="35FC9BC8" w14:textId="77777777" w:rsidR="00A219DD" w:rsidRPr="00C05202" w:rsidRDefault="00A219DD" w:rsidP="005B448B">
            <w:r w:rsidRPr="00D6476A">
              <w:t>Removes dipeptides from the C-terminus when either positively charged (Arg, Lys) or hydrophobic amino acids are in the P1 and P2 position </w:t>
            </w:r>
          </w:p>
        </w:tc>
        <w:tc>
          <w:tcPr>
            <w:tcW w:w="582" w:type="dxa"/>
            <w:noWrap/>
            <w:hideMark/>
          </w:tcPr>
          <w:p w14:paraId="36F125D8" w14:textId="77777777" w:rsidR="00A219DD" w:rsidRPr="00C05202" w:rsidRDefault="00A219DD" w:rsidP="005B448B">
            <w:r>
              <w:fldChar w:fldCharType="begin"/>
            </w:r>
            <w:r>
              <w:instrText xml:space="preserve"> ADDIN ZOTERO_ITEM CSL_CITATION {"citationID":"8eH5cHt0","properties":{"formattedCitation":"\\super 5\\nosupersub{}","plainCitation":"5","noteIndex":0},"citationItems":[{"id":6397,"uris":["http://zotero.org/users/6494753/items/7ZXRMV39"],"itemData":{"id":6397,"type":"article-journal","abstract":"Cathepsin B is a cysteine protease that normally functions within acidic lysosomes for protein degradation, but in numerous human diseases, cathepsin B translocates to the cytosol having neutral pH where the enzyme activates inﬂammation and cell death. Cathepsin B is active at both the neutral pH 7.2 of the cytosol and the acidic pH 4.6 within lysosomes. We evaluated the hypothesis that cathepsin B may possess pH-dependent cleavage preferences that can be utilized for design of a selective neutral pH inhibitor by (1) analysis of di</w:instrText>
            </w:r>
            <w:r>
              <w:rPr>
                <w:rFonts w:ascii="Cambria Math" w:hAnsi="Cambria Math" w:cs="Cambria Math"/>
              </w:rPr>
              <w:instrText>ﬀ</w:instrText>
            </w:r>
            <w:r>
              <w:instrText xml:space="preserve">erential cathepsin B cleavage proﬁles at neutral pH compared to acidic pH using multiplex substrate proﬁling by mass spectrometry (MSP-MS), (2) design of pH-selective peptide−7amino-4-methylcoumarin (AMC) substrates, and (3) design and validation of Z-Arg-Lysacyloxymethyl ketone (AOMK) as a selective neutral pH inhibitor. Cathepsin B displayed preferences for cleaving peptides with Arg in the P2 position at pH 7.2 and Glu in the P2 position at pH 4.6, represented by its primary dipeptidyl carboxypeptidase and modest endopeptidase activity. These properties led to design of the substrate Z-Arg-Lys−AMC having neutral pH selectivity, and its modiﬁcation with the AOMK warhead to result in the inhibitor Z-Arg-Lys−AOMK. This irreversible inhibitor displays nanomolar potency with 100-fold selectivity for inhibition of cathepsin B at pH 7.2 compared to pH 4.6, shows speciﬁcity for cathepsin B over other cysteine cathepsins, and is cell permeable and inhibits intracellular cathepsin B. These ﬁndings demonstrate that cathepsin B possesses pH-dependent cleavage properties that can lead to development of a potent, neutral pH inhibitor of this enzyme.","container-title":"ACS Chemical Biology","DOI":"10.1021/acschembio.1c00138","ISSN":"1554-8929, 1554-8937","issue":"9","journalAbbreviation":"ACS Chem. Biol.","language":"en","license":"https://creativecommons.org/licenses/by-nc-nd/4.0/","page":"1628-1643","source":"DOI.org (Crossref)","title":"Selective Neutral pH Inhibitor of Cathepsin B Designed Based on Cleavage Preferences at Cytosolic and Lysosomal pH Conditions","volume":"16","author":[{"family":"Yoon","given":"Michael C."},{"family":"Solania","given":"Angelo"},{"family":"Jiang","given":"Zhenze"},{"family":"Christy","given":"Mitchell P."},{"family":"Podvin","given":"Sonia"},{"family":"Mosier","given":"Charles"},{"family":"Lietz","given":"Christopher B."},{"family":"Ito","given":"Gen"},{"family":"Gerwick","given":"William H."},{"family":"Wolan","given":"Dennis W."},{"family":"Hook","given":"Gregory"},{"family":"O’Donoghue","given":"Anthony J."},{"family":"Hook","given":"Vivian"}],"issued":{"date-parts":[["2021",9,17]]}}}],"schema":"https://github.com/citation-style-language/schema/raw/master/csl-citation.json"} </w:instrText>
            </w:r>
            <w:r>
              <w:fldChar w:fldCharType="separate"/>
            </w:r>
            <w:r w:rsidRPr="00D6476A">
              <w:rPr>
                <w:rFonts w:ascii="Aptos" w:cs="Times New Roman"/>
                <w:vertAlign w:val="superscript"/>
              </w:rPr>
              <w:t>5</w:t>
            </w:r>
            <w:r>
              <w:fldChar w:fldCharType="end"/>
            </w:r>
          </w:p>
        </w:tc>
      </w:tr>
      <w:tr w:rsidR="00A219DD" w:rsidRPr="00C05202" w14:paraId="7245069B" w14:textId="77777777" w:rsidTr="00A219DD">
        <w:trPr>
          <w:trHeight w:val="664"/>
        </w:trPr>
        <w:tc>
          <w:tcPr>
            <w:tcW w:w="1518" w:type="dxa"/>
            <w:noWrap/>
            <w:hideMark/>
          </w:tcPr>
          <w:p w14:paraId="73979A3F" w14:textId="77777777" w:rsidR="00A219DD" w:rsidRPr="00C05202" w:rsidRDefault="00A219DD" w:rsidP="005B448B">
            <w:r w:rsidRPr="00C05202">
              <w:t>Cathepsin C</w:t>
            </w:r>
          </w:p>
        </w:tc>
        <w:tc>
          <w:tcPr>
            <w:tcW w:w="2673" w:type="dxa"/>
            <w:noWrap/>
            <w:hideMark/>
          </w:tcPr>
          <w:p w14:paraId="1A0546D8" w14:textId="77777777" w:rsidR="00A219DD" w:rsidRPr="00C05202" w:rsidRDefault="00A219DD" w:rsidP="005B448B">
            <w:r w:rsidRPr="00C05202">
              <w:t>Dipeptidyl aminopeptidase</w:t>
            </w:r>
          </w:p>
        </w:tc>
        <w:tc>
          <w:tcPr>
            <w:tcW w:w="6403" w:type="dxa"/>
            <w:hideMark/>
          </w:tcPr>
          <w:p w14:paraId="577B8BC8" w14:textId="77777777" w:rsidR="00A219DD" w:rsidRPr="00C05202" w:rsidRDefault="00A219DD" w:rsidP="005B448B">
            <w:r w:rsidRPr="00D6476A">
              <w:t>Removes dipeptides from the N-terminus with broad specificity</w:t>
            </w:r>
          </w:p>
        </w:tc>
        <w:tc>
          <w:tcPr>
            <w:tcW w:w="582" w:type="dxa"/>
            <w:noWrap/>
            <w:hideMark/>
          </w:tcPr>
          <w:p w14:paraId="39AE6427" w14:textId="77777777" w:rsidR="00A219DD" w:rsidRPr="00C05202" w:rsidRDefault="00A219DD" w:rsidP="005B448B">
            <w:r>
              <w:fldChar w:fldCharType="begin"/>
            </w:r>
            <w:r>
              <w:instrText xml:space="preserve"> ADDIN ZOTERO_ITEM CSL_CITATION {"citationID":"9coM7lT6","properties":{"formattedCitation":"\\super 1\\nosupersub{}","plainCitation":"1","noteIndex":0},"citationItems":[{"id":6488,"uris":["http://zotero.org/users/6494753/items/BBUKKP3H"],"itemData":{"id":6488,"type":"article-journal","abstract":"Neuropeptides mediate cell−cell signaling in the nervous and endocrine systems. The neuropeptidome is the spectrum of peptides generated from precursors by proteolysis within dense core secretory vesicles (DCSV). DCSV neuropeptides and contents are released to the extracellular environment where further processing for neuropeptide formation may occur. To assess the DCSV proteolytic capacity for production of neuropeptidomes at intravesicular pH 5.5 and extracellular pH 7.2, neuropeptidomics, proteomics, and protease assays were conducted using chroma</w:instrText>
            </w:r>
            <w:r>
              <w:rPr>
                <w:rFonts w:ascii="Cambria Math" w:hAnsi="Cambria Math" w:cs="Cambria Math"/>
              </w:rPr>
              <w:instrText>ﬃ</w:instrText>
            </w:r>
            <w:r>
              <w:instrText>n granules (CG) puriﬁed from adrenal medulla. CG are an established model of DCSV. The CG neuropeptidome consisted of 1239 unique peptides derived from 15 proneuropeptides that were colocalized with 64 proteases. Distinct CG neuropeptidomes were generated at the internal DCSV pH of 5.5 compared to the extracellular pH of 7.2. Classspeciﬁc protease inhibitors di</w:instrText>
            </w:r>
            <w:r>
              <w:rPr>
                <w:rFonts w:ascii="Cambria Math" w:hAnsi="Cambria Math" w:cs="Cambria Math"/>
              </w:rPr>
              <w:instrText>ﬀ</w:instrText>
            </w:r>
            <w:r>
              <w:instrText xml:space="preserve">erentially regulated neuropeptidome production involving aspartic, cysteine, serine, and metallo proteases. The substrate cleavage properties of CG proteases were assessed by multiplex substrate proﬁling by mass spectrometry (MSP-MS) that uses a synthetic peptide library containing diverse cleavage sites for endopeptidases and exopeptidases. Parallel inhibitor-sensitive cleavages for neuropeptidome production and peptide library proteolysis led to elucidation of six CG proteases involved in neuropeptidome production, represented by cathepsins A, B, C, D, and L and carboxypeptidase E (CPE). The MSP-MS proﬁles of these six enzymes represented the majority of CG proteolytic cleavages utilized for neuropeptidome production. These ﬁndings provide new insight into the DCSV proteolytic system for production of distinct neuropeptidomes at the internal CG pH of 5.5 and at the extracellular pH of 7.2.","container-title":"ACS Chemical Neuroscience","DOI":"10.1021/acschemneuro.1c00133","ISSN":"1948-7193, 1948-7193","issue":"13","journalAbbreviation":"ACS Chem. Neurosci.","language":"en","license":"https://creativecommons.org/licenses/by-nc-nd/4.0/","page":"2385-2398","source":"DOI.org (Crossref)","title":"Differential Neuropeptidomes of Dense Core Secretory Vesicles (DCSV) Produced at Intravesicular and Extracellular pH Conditions by Proteolytic Processing","volume":"12","author":[{"family":"Jiang","given":"Zhenze"},{"family":"Lietz","given":"Christopher B."},{"family":"Podvin","given":"Sonia"},{"family":"Yoon","given":"Michael C."},{"family":"Toneff","given":"Thomas"},{"family":"Hook","given":"Vivian"},{"family":"O’Donoghue","given":"Anthony J."}],"issued":{"date-parts":[["2021",7,7]]}}}],"schema":"https://github.com/citation-style-language/schema/raw/master/csl-citation.json"} </w:instrText>
            </w:r>
            <w:r>
              <w:fldChar w:fldCharType="separate"/>
            </w:r>
            <w:r w:rsidRPr="00D6476A">
              <w:rPr>
                <w:rFonts w:ascii="Aptos" w:cs="Times New Roman"/>
                <w:vertAlign w:val="superscript"/>
              </w:rPr>
              <w:t>1</w:t>
            </w:r>
            <w:r>
              <w:fldChar w:fldCharType="end"/>
            </w:r>
          </w:p>
        </w:tc>
      </w:tr>
      <w:tr w:rsidR="00A219DD" w:rsidRPr="00C05202" w14:paraId="323A141C" w14:textId="77777777" w:rsidTr="00A219DD">
        <w:trPr>
          <w:trHeight w:val="664"/>
        </w:trPr>
        <w:tc>
          <w:tcPr>
            <w:tcW w:w="1518" w:type="dxa"/>
            <w:noWrap/>
            <w:hideMark/>
          </w:tcPr>
          <w:p w14:paraId="5D1B4B5D" w14:textId="77777777" w:rsidR="00A219DD" w:rsidRPr="00C05202" w:rsidRDefault="00A219DD" w:rsidP="005B448B">
            <w:r w:rsidRPr="00C05202">
              <w:t>Cathepsin D</w:t>
            </w:r>
          </w:p>
        </w:tc>
        <w:tc>
          <w:tcPr>
            <w:tcW w:w="2673" w:type="dxa"/>
            <w:noWrap/>
            <w:hideMark/>
          </w:tcPr>
          <w:p w14:paraId="7B270D91" w14:textId="77777777" w:rsidR="00A219DD" w:rsidRPr="00C05202" w:rsidRDefault="00A219DD" w:rsidP="005B448B">
            <w:r w:rsidRPr="00C05202">
              <w:t>Endopeptidase</w:t>
            </w:r>
          </w:p>
        </w:tc>
        <w:tc>
          <w:tcPr>
            <w:tcW w:w="6403" w:type="dxa"/>
            <w:hideMark/>
          </w:tcPr>
          <w:p w14:paraId="24406B43" w14:textId="77777777" w:rsidR="00A219DD" w:rsidRPr="00C05202" w:rsidRDefault="00A219DD" w:rsidP="005B448B">
            <w:r w:rsidRPr="00D6476A">
              <w:t>Cleaves between hydrophobic amino acids (e.g. Phe, Leu, Tyr)</w:t>
            </w:r>
          </w:p>
        </w:tc>
        <w:tc>
          <w:tcPr>
            <w:tcW w:w="582" w:type="dxa"/>
            <w:noWrap/>
            <w:hideMark/>
          </w:tcPr>
          <w:p w14:paraId="565FBF48" w14:textId="77777777" w:rsidR="00A219DD" w:rsidRPr="00C05202" w:rsidRDefault="00A219DD" w:rsidP="005B448B">
            <w:r>
              <w:fldChar w:fldCharType="begin"/>
            </w:r>
            <w:r>
              <w:instrText xml:space="preserve"> ADDIN ZOTERO_ITEM CSL_CITATION {"citationID":"R6bQowVo","properties":{"formattedCitation":"\\super 6\\nosupersub{}","plainCitation":"6","noteIndex":0},"citationItems":[{"id":6554,"uris":["http://zotero.org/users/6494753/items/3ACXRWHR"],"itemData":{"id":6554,"type":"article-journal","abstract":"Purpose: Pancreatic cysts are estimated to be present in 2%–3% of the adult population. Unfortunately, current diagnostics do not accurately distinguish benign cysts from those that can progress into invasive cancer. Misregulated pericellular proteolysis is a hallmark of malignancy, and therefore, we used a global approach to discover protease activities that differentiate benign nonmucinous cysts from premalignant mucinous cysts.","container-title":"Clinical Cancer Research","DOI":"10.1158/1078-0432.CCR-16-2987","ISSN":"1078-0432, 1557-3265","issue":"16","language":"en","page":"4865-4874","source":"DOI.org (Crossref)","title":"Global Protease Activity Profiling Provides Differential Diagnosis of Pancreatic Cysts","volume":"23","author":[{"family":"Ivry","given":"Sam L."},{"family":"Sharib","given":"Jeremy M."},{"family":"Dominguez","given":"Dana A."},{"family":"Roy","given":"Nilotpal"},{"family":"Hatcher","given":"Stacy E."},{"family":"Yip-Schneider","given":"Michele T."},{"family":"Schmidt","given":"C. Max"},{"family":"Brand","given":"Randall E."},{"family":"Park","given":"Walter G."},{"family":"Hebrok","given":"Matthias"},{"family":"Kim","given":"Grace E."},{"family":"O'Donoghue","given":"Anthony J."},{"family":"Kirkwood","given":"Kimberly S."},{"family":"Craik","given":"Charles S."}],"issued":{"date-parts":[["2017",8,15]]}}}],"schema":"https://github.com/citation-style-language/schema/raw/master/csl-citation.json"} </w:instrText>
            </w:r>
            <w:r>
              <w:fldChar w:fldCharType="separate"/>
            </w:r>
            <w:r w:rsidRPr="00D6476A">
              <w:rPr>
                <w:rFonts w:ascii="Aptos" w:cs="Times New Roman"/>
                <w:vertAlign w:val="superscript"/>
              </w:rPr>
              <w:t>6</w:t>
            </w:r>
            <w:r>
              <w:fldChar w:fldCharType="end"/>
            </w:r>
          </w:p>
        </w:tc>
      </w:tr>
    </w:tbl>
    <w:p w14:paraId="26A41D1A" w14:textId="588C2275" w:rsidR="00AC1566" w:rsidRDefault="00AC1566"/>
    <w:sectPr w:rsidR="00AC1566" w:rsidSect="00A219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DD"/>
    <w:rsid w:val="00145366"/>
    <w:rsid w:val="003703F0"/>
    <w:rsid w:val="005770B6"/>
    <w:rsid w:val="00A219DD"/>
    <w:rsid w:val="00AC1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0CEE8C"/>
  <w15:chartTrackingRefBased/>
  <w15:docId w15:val="{A22410C9-1D07-9A43-8AAF-E14BC3B66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9DD"/>
  </w:style>
  <w:style w:type="paragraph" w:styleId="Heading1">
    <w:name w:val="heading 1"/>
    <w:basedOn w:val="Normal"/>
    <w:next w:val="Normal"/>
    <w:link w:val="Heading1Char"/>
    <w:uiPriority w:val="9"/>
    <w:qFormat/>
    <w:rsid w:val="00A21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1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1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1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1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19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19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19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19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1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1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1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1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1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1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1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19DD"/>
    <w:rPr>
      <w:rFonts w:eastAsiaTheme="majorEastAsia" w:cstheme="majorBidi"/>
      <w:color w:val="272727" w:themeColor="text1" w:themeTint="D8"/>
    </w:rPr>
  </w:style>
  <w:style w:type="paragraph" w:styleId="Title">
    <w:name w:val="Title"/>
    <w:basedOn w:val="Normal"/>
    <w:next w:val="Normal"/>
    <w:link w:val="TitleChar"/>
    <w:uiPriority w:val="10"/>
    <w:qFormat/>
    <w:rsid w:val="00A219D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19D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1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19D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219DD"/>
    <w:rPr>
      <w:i/>
      <w:iCs/>
      <w:color w:val="404040" w:themeColor="text1" w:themeTint="BF"/>
    </w:rPr>
  </w:style>
  <w:style w:type="paragraph" w:styleId="ListParagraph">
    <w:name w:val="List Paragraph"/>
    <w:basedOn w:val="Normal"/>
    <w:uiPriority w:val="34"/>
    <w:qFormat/>
    <w:rsid w:val="00A219DD"/>
    <w:pPr>
      <w:ind w:left="720"/>
      <w:contextualSpacing/>
    </w:pPr>
  </w:style>
  <w:style w:type="character" w:styleId="IntenseEmphasis">
    <w:name w:val="Intense Emphasis"/>
    <w:basedOn w:val="DefaultParagraphFont"/>
    <w:uiPriority w:val="21"/>
    <w:qFormat/>
    <w:rsid w:val="00A219DD"/>
    <w:rPr>
      <w:i/>
      <w:iCs/>
      <w:color w:val="0F4761" w:themeColor="accent1" w:themeShade="BF"/>
    </w:rPr>
  </w:style>
  <w:style w:type="paragraph" w:styleId="IntenseQuote">
    <w:name w:val="Intense Quote"/>
    <w:basedOn w:val="Normal"/>
    <w:next w:val="Normal"/>
    <w:link w:val="IntenseQuoteChar"/>
    <w:uiPriority w:val="30"/>
    <w:qFormat/>
    <w:rsid w:val="00A21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19DD"/>
    <w:rPr>
      <w:i/>
      <w:iCs/>
      <w:color w:val="0F4761" w:themeColor="accent1" w:themeShade="BF"/>
    </w:rPr>
  </w:style>
  <w:style w:type="character" w:styleId="IntenseReference">
    <w:name w:val="Intense Reference"/>
    <w:basedOn w:val="DefaultParagraphFont"/>
    <w:uiPriority w:val="32"/>
    <w:qFormat/>
    <w:rsid w:val="00A219DD"/>
    <w:rPr>
      <w:b/>
      <w:bCs/>
      <w:smallCaps/>
      <w:color w:val="0F4761" w:themeColor="accent1" w:themeShade="BF"/>
      <w:spacing w:val="5"/>
    </w:rPr>
  </w:style>
  <w:style w:type="table" w:styleId="TableGrid">
    <w:name w:val="Table Grid"/>
    <w:basedOn w:val="TableNormal"/>
    <w:uiPriority w:val="39"/>
    <w:rsid w:val="00A21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B26D1-9A0A-0B44-A74F-7B9FEC593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1381</Words>
  <Characters>7873</Characters>
  <Application>Microsoft Office Word</Application>
  <DocSecurity>0</DocSecurity>
  <Lines>65</Lines>
  <Paragraphs>18</Paragraphs>
  <ScaleCrop>false</ScaleCrop>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1</cp:revision>
  <cp:lastPrinted>2024-10-29T17:20:00Z</cp:lastPrinted>
  <dcterms:created xsi:type="dcterms:W3CDTF">2024-10-29T17:12:00Z</dcterms:created>
  <dcterms:modified xsi:type="dcterms:W3CDTF">2024-10-29T17:20:00Z</dcterms:modified>
</cp:coreProperties>
</file>