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64D29" w:rsidRDefault="00000000">
      <w:pPr>
        <w:pStyle w:val="Heading1"/>
        <w:keepNext w:val="0"/>
        <w:keepLines w:val="0"/>
        <w:spacing w:before="0" w:after="0"/>
        <w:rPr>
          <w:color w:val="0E101A"/>
          <w:sz w:val="46"/>
          <w:szCs w:val="46"/>
        </w:rPr>
      </w:pPr>
      <w:bookmarkStart w:id="0" w:name="_3no5jz4waii7" w:colFirst="0" w:colLast="0"/>
      <w:bookmarkEnd w:id="0"/>
      <w:r>
        <w:rPr>
          <w:color w:val="0E101A"/>
          <w:sz w:val="46"/>
          <w:szCs w:val="46"/>
        </w:rPr>
        <w:t>Review mspms</w:t>
      </w:r>
    </w:p>
    <w:p w14:paraId="00000002" w14:textId="77777777" w:rsidR="00064D29" w:rsidRDefault="00064D29"/>
    <w:p w14:paraId="00000003" w14:textId="77777777" w:rsidR="00064D29" w:rsidRDefault="00000000">
      <w:pPr>
        <w:rPr>
          <w:color w:val="0E101A"/>
        </w:rPr>
      </w:pPr>
      <w:r>
        <w:rPr>
          <w:color w:val="0E101A"/>
        </w:rPr>
        <w:t xml:space="preserve">The manuscript introduces </w:t>
      </w:r>
      <w:r>
        <w:rPr>
          <w:i/>
          <w:color w:val="0E101A"/>
        </w:rPr>
        <w:t>MSPMs</w:t>
      </w:r>
      <w:r>
        <w:rPr>
          <w:color w:val="0E101A"/>
        </w:rPr>
        <w:t xml:space="preserve">, an R/Bioconductor package with a Shiny interface for standardized analysis of Multiplex Substrate Profiling by Mass Spectrometry (MSP-MS) data. The authors claim it is the first dedicated, publicly available software for MSP-MS, addressing the current reliance on ad hoc, non-reproducible workflows. The tool integrates established Bioconductor data structures, implements normalization, imputation, statistical testing, and visualization functions, and includes an R-based reimplementation of the </w:t>
      </w:r>
      <w:r>
        <w:rPr>
          <w:i/>
          <w:color w:val="0E101A"/>
        </w:rPr>
        <w:t>iceLogo</w:t>
      </w:r>
      <w:r>
        <w:rPr>
          <w:color w:val="0E101A"/>
        </w:rPr>
        <w:t xml:space="preserve"> algorithm for motif analysis. Validation using cathepsin datasets demonstrates that </w:t>
      </w:r>
      <w:r>
        <w:rPr>
          <w:i/>
          <w:color w:val="0E101A"/>
        </w:rPr>
        <w:t>mspms</w:t>
      </w:r>
      <w:r>
        <w:rPr>
          <w:color w:val="0E101A"/>
        </w:rPr>
        <w:t xml:space="preserve"> reproduces known substrate specificities. Overall, the work's novelty lies in providing a reproducible, accessible, and extensible platform for MSP-MS data analysis.</w:t>
      </w:r>
    </w:p>
    <w:p w14:paraId="00000004" w14:textId="77777777" w:rsidR="00064D29" w:rsidRDefault="00064D29">
      <w:pPr>
        <w:pStyle w:val="Heading1"/>
        <w:keepNext w:val="0"/>
        <w:keepLines w:val="0"/>
        <w:spacing w:before="0" w:after="0"/>
        <w:rPr>
          <w:color w:val="0E101A"/>
          <w:sz w:val="46"/>
          <w:szCs w:val="46"/>
        </w:rPr>
      </w:pPr>
      <w:bookmarkStart w:id="1" w:name="_tf95j82eu9a0" w:colFirst="0" w:colLast="0"/>
      <w:bookmarkEnd w:id="1"/>
    </w:p>
    <w:p w14:paraId="00000005" w14:textId="77777777" w:rsidR="00064D29" w:rsidRDefault="00000000">
      <w:pPr>
        <w:pStyle w:val="Heading1"/>
        <w:keepNext w:val="0"/>
        <w:keepLines w:val="0"/>
        <w:spacing w:before="0" w:after="0"/>
        <w:rPr>
          <w:color w:val="0E101A"/>
          <w:sz w:val="46"/>
          <w:szCs w:val="46"/>
        </w:rPr>
      </w:pPr>
      <w:bookmarkStart w:id="2" w:name="_cgthdrw95x9m" w:colFirst="0" w:colLast="0"/>
      <w:bookmarkEnd w:id="2"/>
      <w:r>
        <w:rPr>
          <w:color w:val="0E101A"/>
          <w:sz w:val="46"/>
          <w:szCs w:val="46"/>
        </w:rPr>
        <w:t>Concerns:</w:t>
      </w:r>
    </w:p>
    <w:p w14:paraId="00000006" w14:textId="77777777" w:rsidR="00064D29" w:rsidRDefault="00064D29">
      <w:pPr>
        <w:pStyle w:val="Heading2"/>
        <w:keepNext w:val="0"/>
        <w:keepLines w:val="0"/>
        <w:spacing w:before="0" w:after="0"/>
        <w:rPr>
          <w:color w:val="0E101A"/>
          <w:sz w:val="34"/>
          <w:szCs w:val="34"/>
        </w:rPr>
      </w:pPr>
      <w:bookmarkStart w:id="3" w:name="_s4xbswpfcbcp" w:colFirst="0" w:colLast="0"/>
      <w:bookmarkEnd w:id="3"/>
    </w:p>
    <w:p w14:paraId="00000007" w14:textId="77777777" w:rsidR="00064D29" w:rsidRDefault="00000000">
      <w:pPr>
        <w:pStyle w:val="Heading2"/>
        <w:keepNext w:val="0"/>
        <w:keepLines w:val="0"/>
        <w:spacing w:before="0" w:after="0"/>
        <w:rPr>
          <w:color w:val="0E101A"/>
          <w:sz w:val="34"/>
          <w:szCs w:val="34"/>
        </w:rPr>
      </w:pPr>
      <w:bookmarkStart w:id="4" w:name="_y8mvx42cup13" w:colFirst="0" w:colLast="0"/>
      <w:bookmarkEnd w:id="4"/>
      <w:r>
        <w:rPr>
          <w:color w:val="0E101A"/>
          <w:sz w:val="34"/>
          <w:szCs w:val="34"/>
        </w:rPr>
        <w:t>Introduction</w:t>
      </w:r>
    </w:p>
    <w:p w14:paraId="00000008" w14:textId="77777777" w:rsidR="00064D29" w:rsidRDefault="00064D29">
      <w:pPr>
        <w:rPr>
          <w:i/>
          <w:color w:val="0E101A"/>
        </w:rPr>
      </w:pPr>
    </w:p>
    <w:p w14:paraId="00000009" w14:textId="77777777" w:rsidR="00064D29" w:rsidRDefault="00000000">
      <w:pPr>
        <w:rPr>
          <w:color w:val="0E101A"/>
        </w:rPr>
      </w:pPr>
      <w:r>
        <w:rPr>
          <w:color w:val="0E101A"/>
        </w:rPr>
        <w:t>The claim that mspms is "the first publicly available platform for MSP-MS data analysis" may be overstated. Before mspms, MSP-MS data analysis relied on several publicly available tools and pipelines. For example, the MSP-</w:t>
      </w:r>
      <w:proofErr w:type="spellStart"/>
      <w:r>
        <w:rPr>
          <w:color w:val="0E101A"/>
        </w:rPr>
        <w:t>Xtractor</w:t>
      </w:r>
      <w:proofErr w:type="spellEnd"/>
      <w:r>
        <w:rPr>
          <w:color w:val="0E101A"/>
        </w:rPr>
        <w:t xml:space="preserve"> software (publicly downloadable and cited in numerous papers) for cleavage extraction, </w:t>
      </w:r>
      <w:proofErr w:type="spellStart"/>
      <w:r>
        <w:rPr>
          <w:color w:val="0E101A"/>
        </w:rPr>
        <w:t>doi</w:t>
      </w:r>
      <w:proofErr w:type="spellEnd"/>
      <w:r>
        <w:rPr>
          <w:color w:val="0E101A"/>
        </w:rPr>
        <w:t xml:space="preserve">: 10.1016/j.cgh.2015.08.038, and the UCSD lab's R scripts (shared via GitHub) for statistical analysis https://github.com/briannahurysz/MSP-MS. Moreover, a standardized analysis protocol was published in 2023, effectively making the know-how publicly accessible: </w:t>
      </w:r>
      <w:hyperlink r:id="rId5">
        <w:r>
          <w:rPr>
            <w:color w:val="1155CC"/>
            <w:u w:val="single"/>
          </w:rPr>
          <w:t>https://doi.org/10.1038/s41598-025-11635-1</w:t>
        </w:r>
      </w:hyperlink>
      <w:r>
        <w:rPr>
          <w:color w:val="0E101A"/>
        </w:rPr>
        <w:t>.</w:t>
      </w:r>
    </w:p>
    <w:p w14:paraId="0000000A" w14:textId="77777777" w:rsidR="00064D29" w:rsidRDefault="00064D29">
      <w:pPr>
        <w:rPr>
          <w:i/>
          <w:color w:val="0E101A"/>
        </w:rPr>
      </w:pPr>
    </w:p>
    <w:p w14:paraId="0000000B" w14:textId="77777777" w:rsidR="00064D29" w:rsidRDefault="00000000">
      <w:pPr>
        <w:rPr>
          <w:color w:val="0E101A"/>
        </w:rPr>
      </w:pPr>
      <w:r>
        <w:rPr>
          <w:color w:val="0E101A"/>
        </w:rPr>
        <w:t xml:space="preserve">While the authors convincingly motivate the need for </w:t>
      </w:r>
      <w:proofErr w:type="spellStart"/>
      <w:proofErr w:type="gramStart"/>
      <w:r>
        <w:rPr>
          <w:color w:val="0E101A"/>
        </w:rPr>
        <w:t>a</w:t>
      </w:r>
      <w:proofErr w:type="spellEnd"/>
      <w:proofErr w:type="gramEnd"/>
      <w:r>
        <w:rPr>
          <w:color w:val="0E101A"/>
        </w:rPr>
        <w:t xml:space="preserve"> </w:t>
      </w:r>
      <w:proofErr w:type="gramStart"/>
      <w:r>
        <w:rPr>
          <w:color w:val="0E101A"/>
        </w:rPr>
        <w:t>open source</w:t>
      </w:r>
      <w:proofErr w:type="gramEnd"/>
      <w:r>
        <w:rPr>
          <w:color w:val="0E101A"/>
        </w:rPr>
        <w:t xml:space="preserve"> MSP-MS analysis tool, they should summarize how MSP-MS data were </w:t>
      </w:r>
      <w:proofErr w:type="spellStart"/>
      <w:r>
        <w:rPr>
          <w:color w:val="0E101A"/>
        </w:rPr>
        <w:t>analyzed</w:t>
      </w:r>
      <w:proofErr w:type="spellEnd"/>
      <w:r>
        <w:rPr>
          <w:color w:val="0E101A"/>
        </w:rPr>
        <w:t xml:space="preserve"> in previous publications (e.g., O'Donoghue et al. 2012; Jiang et al. 2021) as well as with: 10.1016/j.cgh.2015.08.038, </w:t>
      </w:r>
    </w:p>
    <w:p w14:paraId="0000000C" w14:textId="77777777" w:rsidR="00064D29" w:rsidRDefault="00000000">
      <w:pPr>
        <w:rPr>
          <w:color w:val="0E101A"/>
        </w:rPr>
      </w:pPr>
      <w:hyperlink r:id="rId6">
        <w:r>
          <w:rPr>
            <w:color w:val="1155CC"/>
            <w:u w:val="single"/>
          </w:rPr>
          <w:t>https://github.com/briannahurysz/MSP-MS</w:t>
        </w:r>
      </w:hyperlink>
      <w:r>
        <w:rPr>
          <w:color w:val="0E101A"/>
        </w:rPr>
        <w:t xml:space="preserve"> or </w:t>
      </w:r>
      <w:hyperlink r:id="rId7">
        <w:r>
          <w:rPr>
            <w:color w:val="1155CC"/>
            <w:u w:val="single"/>
          </w:rPr>
          <w:t>https://doi.org/10.1038/s41598-025-11635-1</w:t>
        </w:r>
      </w:hyperlink>
      <w:r>
        <w:rPr>
          <w:color w:val="0E101A"/>
        </w:rPr>
        <w:br/>
        <w:t>, even if those relied on custom or unpublished scripts. This information would contextualize their claim that no dedicated software previously existed and highlight the advances represented by MSPMs.</w:t>
      </w:r>
    </w:p>
    <w:p w14:paraId="0000000D" w14:textId="77777777" w:rsidR="00064D29" w:rsidRDefault="00064D29">
      <w:pPr>
        <w:rPr>
          <w:i/>
          <w:color w:val="0E101A"/>
        </w:rPr>
      </w:pPr>
    </w:p>
    <w:p w14:paraId="0000000E" w14:textId="77777777" w:rsidR="00064D29" w:rsidRDefault="00000000">
      <w:pPr>
        <w:rPr>
          <w:color w:val="0E101A"/>
        </w:rPr>
      </w:pPr>
      <w:r>
        <w:rPr>
          <w:color w:val="0E101A"/>
        </w:rPr>
        <w:t xml:space="preserve">In addition, the authors should clarify </w:t>
      </w:r>
      <w:r>
        <w:rPr>
          <w:b/>
          <w:color w:val="0E101A"/>
        </w:rPr>
        <w:t xml:space="preserve">why MSP-MS data are </w:t>
      </w:r>
      <w:proofErr w:type="spellStart"/>
      <w:r>
        <w:rPr>
          <w:b/>
          <w:color w:val="0E101A"/>
        </w:rPr>
        <w:t>analyzed</w:t>
      </w:r>
      <w:proofErr w:type="spellEnd"/>
      <w:r>
        <w:rPr>
          <w:b/>
          <w:color w:val="0E101A"/>
        </w:rPr>
        <w:t xml:space="preserve"> using label-free intensity-based quantification</w:t>
      </w:r>
      <w:r>
        <w:rPr>
          <w:color w:val="0E101A"/>
        </w:rPr>
        <w:t xml:space="preserve"> rather than alternative approaches such as spectral counting. Since the peptide library is well-defined and lacks protein-level inference, the rationale for using continuous intensity measures rather than discrete spectral events is not immediately evident. A brief justification—such as improved dynamic range, better suitability for short synthetic peptides, or compatibility with downstream normalization and imputation—would help readers understand the analytical design and strengthen the study's methodological transparency.</w:t>
      </w:r>
    </w:p>
    <w:p w14:paraId="0000000F" w14:textId="77777777" w:rsidR="00064D29" w:rsidRDefault="00064D29">
      <w:pPr>
        <w:rPr>
          <w:color w:val="0E101A"/>
        </w:rPr>
      </w:pPr>
    </w:p>
    <w:p w14:paraId="00000010" w14:textId="77777777" w:rsidR="00064D29" w:rsidRDefault="00064D29">
      <w:pPr>
        <w:rPr>
          <w:color w:val="0E101A"/>
        </w:rPr>
      </w:pPr>
    </w:p>
    <w:p w14:paraId="00000011" w14:textId="77777777" w:rsidR="00064D29" w:rsidRDefault="00000000">
      <w:pPr>
        <w:rPr>
          <w:color w:val="0E101A"/>
        </w:rPr>
      </w:pPr>
      <w:r>
        <w:rPr>
          <w:color w:val="0E101A"/>
        </w:rPr>
        <w:lastRenderedPageBreak/>
        <w:t xml:space="preserve">Furthermore, the manuscript would benefit from a concise explanation of the choice of upstream proteomics software. The authors employ three search platforms, PEAKS, Proteome Discoverer, and FragPipe, but the rationale for this selection is not discussed. While FragPipe is freely available for academic use, it remains closed source, as do all three tools. Clarifying whether the goal was to benchmark </w:t>
      </w:r>
      <w:r>
        <w:rPr>
          <w:i/>
          <w:color w:val="0E101A"/>
        </w:rPr>
        <w:t>mspms</w:t>
      </w:r>
      <w:r>
        <w:rPr>
          <w:color w:val="0E101A"/>
        </w:rPr>
        <w:t xml:space="preserve"> against commonly used, non-open-source solutions or to demonstrate compatibility with existing workflows would help readers understand the scope of the validation. Given the manuscript's emphasis on transparency and reproducibility, it would also be valuable to include at least one fully open-source pipeline (e.g., Comet coupled with </w:t>
      </w:r>
      <w:proofErr w:type="spellStart"/>
      <w:r>
        <w:rPr>
          <w:color w:val="0E101A"/>
        </w:rPr>
        <w:t>FlashLFQ</w:t>
      </w:r>
      <w:proofErr w:type="spellEnd"/>
      <w:r>
        <w:rPr>
          <w:color w:val="0E101A"/>
        </w:rPr>
        <w:t xml:space="preserve"> or Sage) in the comparison to illustrate how </w:t>
      </w:r>
      <w:r>
        <w:rPr>
          <w:i/>
          <w:color w:val="0E101A"/>
        </w:rPr>
        <w:t>mspms</w:t>
      </w:r>
      <w:r>
        <w:rPr>
          <w:color w:val="0E101A"/>
        </w:rPr>
        <w:t xml:space="preserve"> performs within a genuinely open and reproducible analysis framework.</w:t>
      </w:r>
    </w:p>
    <w:p w14:paraId="00000012" w14:textId="77777777" w:rsidR="00064D29" w:rsidRDefault="00064D29">
      <w:pPr>
        <w:pStyle w:val="Heading2"/>
        <w:keepNext w:val="0"/>
        <w:keepLines w:val="0"/>
        <w:spacing w:before="0" w:after="0"/>
        <w:rPr>
          <w:color w:val="0E101A"/>
          <w:sz w:val="34"/>
          <w:szCs w:val="34"/>
        </w:rPr>
      </w:pPr>
      <w:bookmarkStart w:id="5" w:name="_btaj7s9684ke" w:colFirst="0" w:colLast="0"/>
      <w:bookmarkEnd w:id="5"/>
    </w:p>
    <w:p w14:paraId="00000013" w14:textId="77777777" w:rsidR="00064D29" w:rsidRDefault="00000000">
      <w:pPr>
        <w:pStyle w:val="Heading2"/>
        <w:keepNext w:val="0"/>
        <w:keepLines w:val="0"/>
        <w:spacing w:before="0" w:after="0"/>
        <w:rPr>
          <w:color w:val="0E101A"/>
          <w:sz w:val="34"/>
          <w:szCs w:val="34"/>
        </w:rPr>
      </w:pPr>
      <w:bookmarkStart w:id="6" w:name="_o22dck14k39q" w:colFirst="0" w:colLast="0"/>
      <w:bookmarkEnd w:id="6"/>
      <w:r>
        <w:rPr>
          <w:color w:val="0E101A"/>
          <w:sz w:val="34"/>
          <w:szCs w:val="34"/>
        </w:rPr>
        <w:t>Material and Methods</w:t>
      </w:r>
    </w:p>
    <w:p w14:paraId="00000014" w14:textId="77777777" w:rsidR="00064D29" w:rsidRDefault="00064D29">
      <w:pPr>
        <w:rPr>
          <w:color w:val="0E101A"/>
        </w:rPr>
      </w:pPr>
    </w:p>
    <w:p w14:paraId="00000015" w14:textId="77777777" w:rsidR="00064D29" w:rsidRDefault="00000000">
      <w:pPr>
        <w:rPr>
          <w:color w:val="0E101A"/>
        </w:rPr>
      </w:pPr>
      <w:r>
        <w:rPr>
          <w:color w:val="0E101A"/>
        </w:rPr>
        <w:t>In the "Data used for Study" section, the description of the peptide library is insufficient. Given that the library defines the entire MSP-MS assay, the authors should summarize its key characteristics (e.g., that it consists of 228 rationally designed 14-mer peptides, covering diverse amino acid contexts)</w:t>
      </w:r>
    </w:p>
    <w:p w14:paraId="00000016" w14:textId="77777777" w:rsidR="00064D29" w:rsidRDefault="00064D29">
      <w:pPr>
        <w:rPr>
          <w:color w:val="0E101A"/>
        </w:rPr>
      </w:pPr>
    </w:p>
    <w:p w14:paraId="00000017" w14:textId="77777777" w:rsidR="00064D29" w:rsidRDefault="00000000">
      <w:pPr>
        <w:rPr>
          <w:color w:val="0E101A"/>
        </w:rPr>
      </w:pPr>
      <w:r>
        <w:rPr>
          <w:color w:val="0E101A"/>
        </w:rPr>
        <w:t xml:space="preserve">In the </w:t>
      </w:r>
      <w:r>
        <w:rPr>
          <w:b/>
          <w:color w:val="0E101A"/>
        </w:rPr>
        <w:t>Preprocessing</w:t>
      </w:r>
      <w:r>
        <w:rPr>
          <w:color w:val="0E101A"/>
        </w:rPr>
        <w:t xml:space="preserve"> section, the authors refer to "the scissile bond" without defining the term. As this concept is central to protease specificity analysis, a short explanatory sentence—e.g., "the scissile bond refers to the peptide bond cleaved by the protease (between the P1 and P1′ residues)", would improve clarity, especially for readers from the computational proteomics community.</w:t>
      </w:r>
    </w:p>
    <w:p w14:paraId="00000018" w14:textId="77777777" w:rsidR="00064D29" w:rsidRDefault="00064D29">
      <w:pPr>
        <w:rPr>
          <w:color w:val="0E101A"/>
        </w:rPr>
      </w:pPr>
    </w:p>
    <w:p w14:paraId="00000019" w14:textId="77777777" w:rsidR="00064D29" w:rsidRDefault="00000000">
      <w:pPr>
        <w:rPr>
          <w:color w:val="0E101A"/>
        </w:rPr>
      </w:pPr>
      <w:r>
        <w:rPr>
          <w:color w:val="0E101A"/>
        </w:rPr>
        <w:t xml:space="preserve">In the </w:t>
      </w:r>
      <w:r>
        <w:rPr>
          <w:b/>
          <w:color w:val="0E101A"/>
        </w:rPr>
        <w:t>Data Processing</w:t>
      </w:r>
      <w:r>
        <w:rPr>
          <w:color w:val="0E101A"/>
        </w:rPr>
        <w:t xml:space="preserve"> section, the described workflow includes log₂ transformation, normalization, imputation, and then "reverse log₂" transformation. It is unclear why the data are exponentiated again, as statistical analysis (including t-tests and </w:t>
      </w:r>
      <w:proofErr w:type="spellStart"/>
      <w:r>
        <w:rPr>
          <w:color w:val="0E101A"/>
        </w:rPr>
        <w:t>limma</w:t>
      </w:r>
      <w:proofErr w:type="spellEnd"/>
      <w:r>
        <w:rPr>
          <w:color w:val="0E101A"/>
        </w:rPr>
        <w:t>) should usually be performed on the log₂-transformed scale to stabilize variance. The authors should clarify whether this back-transformation is applied only for visualization or report generation, or for downstream testing, since the latter would not be appropriate.</w:t>
      </w:r>
    </w:p>
    <w:p w14:paraId="0000001A" w14:textId="77777777" w:rsidR="00064D29" w:rsidRDefault="00064D29">
      <w:pPr>
        <w:rPr>
          <w:color w:val="0E101A"/>
        </w:rPr>
      </w:pPr>
    </w:p>
    <w:p w14:paraId="0000001B" w14:textId="77777777" w:rsidR="00064D29" w:rsidRDefault="00000000">
      <w:pPr>
        <w:rPr>
          <w:color w:val="0E101A"/>
        </w:rPr>
      </w:pPr>
      <w:r>
        <w:rPr>
          <w:color w:val="0E101A"/>
        </w:rPr>
        <w:t xml:space="preserve">In the </w:t>
      </w:r>
      <w:r>
        <w:rPr>
          <w:b/>
          <w:color w:val="0E101A"/>
        </w:rPr>
        <w:t>Data Processing</w:t>
      </w:r>
      <w:r>
        <w:rPr>
          <w:color w:val="0E101A"/>
        </w:rPr>
        <w:t xml:space="preserve"> section, the authors indicate that a new SummarizedExperiment is created for each preprocessing step ("log2_peptides", "log2_peptides_norm", etc.), which appears inconsistent with recommended QFeatures usage, where multiple processing stages are typically stored as separate assays within a single SummarizedExperiment object. The authors should clarify this design choice.</w:t>
      </w:r>
    </w:p>
    <w:p w14:paraId="0000001C" w14:textId="77777777" w:rsidR="00064D29" w:rsidRDefault="00064D29">
      <w:pPr>
        <w:rPr>
          <w:b/>
          <w:color w:val="0E101A"/>
        </w:rPr>
      </w:pPr>
    </w:p>
    <w:p w14:paraId="0000001D" w14:textId="77777777" w:rsidR="00064D29" w:rsidRDefault="00064D29">
      <w:pPr>
        <w:rPr>
          <w:b/>
          <w:color w:val="0E101A"/>
        </w:rPr>
      </w:pPr>
    </w:p>
    <w:p w14:paraId="0000001E" w14:textId="77777777" w:rsidR="00064D29" w:rsidRDefault="00000000">
      <w:pPr>
        <w:pStyle w:val="Heading3"/>
      </w:pPr>
      <w:bookmarkStart w:id="7" w:name="_2syfoi3qtta" w:colFirst="0" w:colLast="0"/>
      <w:bookmarkEnd w:id="7"/>
      <w:r>
        <w:t>iceLogo</w:t>
      </w:r>
    </w:p>
    <w:p w14:paraId="0000001F" w14:textId="77777777" w:rsidR="00064D29" w:rsidRDefault="00064D29">
      <w:pPr>
        <w:rPr>
          <w:color w:val="0E101A"/>
        </w:rPr>
      </w:pPr>
    </w:p>
    <w:p w14:paraId="00000020" w14:textId="77777777" w:rsidR="00064D29" w:rsidRDefault="00000000">
      <w:pPr>
        <w:rPr>
          <w:color w:val="0E101A"/>
        </w:rPr>
      </w:pPr>
      <w:r>
        <w:rPr>
          <w:color w:val="0E101A"/>
        </w:rPr>
        <w:t xml:space="preserve">The </w:t>
      </w:r>
      <w:r>
        <w:rPr>
          <w:i/>
          <w:color w:val="0E101A"/>
        </w:rPr>
        <w:t>iceLogo</w:t>
      </w:r>
      <w:r>
        <w:rPr>
          <w:color w:val="0E101A"/>
        </w:rPr>
        <w:t xml:space="preserve"> analysis is a central methodological and interpretative component of this manuscript. It is one of the key innovations of the </w:t>
      </w:r>
      <w:r>
        <w:rPr>
          <w:i/>
          <w:color w:val="0E101A"/>
        </w:rPr>
        <w:t>mspms</w:t>
      </w:r>
      <w:r>
        <w:rPr>
          <w:color w:val="0E101A"/>
        </w:rPr>
        <w:t xml:space="preserve"> package, with an R-based reimplementation of the original Java algorithm for visualizing amino acid preferences around the protease cleavage site. The approach is repeatedly referenced throughout the paper—in the Methods section as a distinct analytical module, in the Results, where multiple </w:t>
      </w:r>
      <w:r>
        <w:rPr>
          <w:color w:val="0E101A"/>
        </w:rPr>
        <w:lastRenderedPageBreak/>
        <w:t xml:space="preserve">figures (e.g., Figure 3D and Supplementary Figures 2 and 6) rely on it for interpreting substrate specificity, and again in the Discussion, where it is highlighted as a significant feature of the software. Because </w:t>
      </w:r>
      <w:r>
        <w:rPr>
          <w:i/>
          <w:color w:val="0E101A"/>
        </w:rPr>
        <w:t>iceLogo</w:t>
      </w:r>
      <w:r>
        <w:rPr>
          <w:color w:val="0E101A"/>
        </w:rPr>
        <w:t xml:space="preserve"> plots form an essential part of the package's novelty and the interpretation of biological results, the corresponding Methods description should be rewritten for clarity and completeness.</w:t>
      </w:r>
    </w:p>
    <w:p w14:paraId="00000021" w14:textId="77777777" w:rsidR="00064D29" w:rsidRDefault="00000000">
      <w:pPr>
        <w:rPr>
          <w:color w:val="0E101A"/>
        </w:rPr>
      </w:pPr>
      <w:r>
        <w:rPr>
          <w:color w:val="0E101A"/>
        </w:rPr>
        <w:t xml:space="preserve">The </w:t>
      </w:r>
      <w:r>
        <w:rPr>
          <w:i/>
          <w:color w:val="0E101A"/>
        </w:rPr>
        <w:t>iceLogo Analysis</w:t>
      </w:r>
      <w:r>
        <w:rPr>
          <w:color w:val="0E101A"/>
        </w:rPr>
        <w:t xml:space="preserve"> section is unclear in its current form because:</w:t>
      </w:r>
    </w:p>
    <w:p w14:paraId="00000022" w14:textId="77777777" w:rsidR="00064D29" w:rsidRDefault="00000000">
      <w:pPr>
        <w:numPr>
          <w:ilvl w:val="0"/>
          <w:numId w:val="1"/>
        </w:numPr>
      </w:pPr>
      <w:r>
        <w:rPr>
          <w:color w:val="0E101A"/>
        </w:rPr>
        <w:t xml:space="preserve">The description uses </w:t>
      </w:r>
      <w:r>
        <w:rPr>
          <w:b/>
          <w:color w:val="0E101A"/>
        </w:rPr>
        <w:t>ambiguous phrasing</w:t>
      </w:r>
      <w:r>
        <w:rPr>
          <w:color w:val="0E101A"/>
        </w:rPr>
        <w:t xml:space="preserve"> (e.g., "a count of the number of times an amino acid at each position is calculated"), making it difficult to follow the computational steps.</w:t>
      </w:r>
    </w:p>
    <w:p w14:paraId="00000023" w14:textId="77777777" w:rsidR="00064D29" w:rsidRDefault="00000000">
      <w:pPr>
        <w:numPr>
          <w:ilvl w:val="0"/>
          <w:numId w:val="1"/>
        </w:numPr>
      </w:pPr>
      <w:r>
        <w:rPr>
          <w:b/>
          <w:color w:val="0E101A"/>
        </w:rPr>
        <w:t>Key terms are undefined</w:t>
      </w:r>
      <w:r>
        <w:rPr>
          <w:color w:val="0E101A"/>
        </w:rPr>
        <w:t>, such as what constitutes the "experimental" and "reference" sets or what the "entire set" refers to when computing frequencies.</w:t>
      </w:r>
    </w:p>
    <w:p w14:paraId="00000024" w14:textId="77777777" w:rsidR="00064D29" w:rsidRDefault="00000000">
      <w:pPr>
        <w:numPr>
          <w:ilvl w:val="0"/>
          <w:numId w:val="1"/>
        </w:numPr>
      </w:pPr>
      <w:r>
        <w:rPr>
          <w:color w:val="0E101A"/>
        </w:rPr>
        <w:t xml:space="preserve">The </w:t>
      </w:r>
      <w:r>
        <w:rPr>
          <w:b/>
          <w:color w:val="0E101A"/>
        </w:rPr>
        <w:t>statistical procedure</w:t>
      </w:r>
      <w:r>
        <w:rPr>
          <w:color w:val="0E101A"/>
        </w:rPr>
        <w:t xml:space="preserve"> (standard deviation calculations, p-values, and thresholds) is described narratively, without clear equations or variable definitions.</w:t>
      </w:r>
    </w:p>
    <w:p w14:paraId="00000025" w14:textId="77777777" w:rsidR="00064D29" w:rsidRDefault="00000000">
      <w:pPr>
        <w:numPr>
          <w:ilvl w:val="0"/>
          <w:numId w:val="1"/>
        </w:numPr>
      </w:pPr>
      <w:r>
        <w:rPr>
          <w:color w:val="0E101A"/>
        </w:rPr>
        <w:t xml:space="preserve">Lack of reference to the </w:t>
      </w:r>
      <w:proofErr w:type="spellStart"/>
      <w:r>
        <w:rPr>
          <w:color w:val="0E101A"/>
        </w:rPr>
        <w:t>Wichure</w:t>
      </w:r>
      <w:proofErr w:type="spellEnd"/>
      <w:r>
        <w:rPr>
          <w:color w:val="0E101A"/>
        </w:rPr>
        <w:t xml:space="preserve"> Algorithm. Also, a sentence explaining how the algorithm obtains p-values would be helpful.</w:t>
      </w:r>
    </w:p>
    <w:p w14:paraId="00000026" w14:textId="77777777" w:rsidR="00064D29" w:rsidRDefault="00000000">
      <w:pPr>
        <w:numPr>
          <w:ilvl w:val="0"/>
          <w:numId w:val="1"/>
        </w:numPr>
      </w:pPr>
      <w:r>
        <w:rPr>
          <w:color w:val="0E101A"/>
        </w:rPr>
        <w:t xml:space="preserve">It is </w:t>
      </w:r>
      <w:r>
        <w:rPr>
          <w:b/>
          <w:color w:val="0E101A"/>
        </w:rPr>
        <w:t>unclear how the background frequencies</w:t>
      </w:r>
      <w:r>
        <w:rPr>
          <w:color w:val="0E101A"/>
        </w:rPr>
        <w:t xml:space="preserve"> are derived (from all possible scissile bonds, the peptide library, or observed peptides).</w:t>
      </w:r>
    </w:p>
    <w:p w14:paraId="00000027" w14:textId="77777777" w:rsidR="00064D29" w:rsidRDefault="00000000">
      <w:pPr>
        <w:numPr>
          <w:ilvl w:val="0"/>
          <w:numId w:val="1"/>
        </w:numPr>
      </w:pPr>
      <w:r>
        <w:rPr>
          <w:color w:val="0E101A"/>
        </w:rPr>
        <w:t xml:space="preserve">The </w:t>
      </w:r>
      <w:r>
        <w:rPr>
          <w:b/>
          <w:color w:val="0E101A"/>
        </w:rPr>
        <w:t>link between computed values and visual representation</w:t>
      </w:r>
      <w:r>
        <w:rPr>
          <w:color w:val="0E101A"/>
        </w:rPr>
        <w:t xml:space="preserve"> (how fold or percent change translates into letter heights in the logo) is not clearly explained. Including an example figure might help.</w:t>
      </w:r>
    </w:p>
    <w:p w14:paraId="00000028" w14:textId="77777777" w:rsidR="00064D29" w:rsidRDefault="00000000">
      <w:pPr>
        <w:numPr>
          <w:ilvl w:val="0"/>
          <w:numId w:val="1"/>
        </w:numPr>
      </w:pPr>
      <w:r>
        <w:rPr>
          <w:color w:val="0E101A"/>
        </w:rPr>
        <w:t>Overall, the section lacks a clear, stepwise explanation that would allow a reader to reproduce or verify the R-based reimplementation.</w:t>
      </w:r>
    </w:p>
    <w:p w14:paraId="00000029" w14:textId="77777777" w:rsidR="00064D29" w:rsidRDefault="00064D29">
      <w:pPr>
        <w:pStyle w:val="Heading1"/>
        <w:keepNext w:val="0"/>
        <w:keepLines w:val="0"/>
        <w:spacing w:before="0" w:after="0"/>
        <w:rPr>
          <w:color w:val="0E101A"/>
          <w:sz w:val="46"/>
          <w:szCs w:val="46"/>
        </w:rPr>
      </w:pPr>
      <w:bookmarkStart w:id="8" w:name="_tfo53m159du2" w:colFirst="0" w:colLast="0"/>
      <w:bookmarkEnd w:id="8"/>
    </w:p>
    <w:p w14:paraId="0000002A" w14:textId="77777777" w:rsidR="00064D29" w:rsidRDefault="00000000">
      <w:pPr>
        <w:pStyle w:val="Heading1"/>
        <w:keepNext w:val="0"/>
        <w:keepLines w:val="0"/>
        <w:spacing w:before="0" w:after="0"/>
        <w:rPr>
          <w:color w:val="0E101A"/>
          <w:sz w:val="46"/>
          <w:szCs w:val="46"/>
        </w:rPr>
      </w:pPr>
      <w:bookmarkStart w:id="9" w:name="_zewrwlyc157i" w:colFirst="0" w:colLast="0"/>
      <w:bookmarkEnd w:id="9"/>
      <w:r>
        <w:rPr>
          <w:color w:val="0E101A"/>
          <w:sz w:val="46"/>
          <w:szCs w:val="46"/>
        </w:rPr>
        <w:t>Discussion</w:t>
      </w:r>
    </w:p>
    <w:p w14:paraId="0000002B" w14:textId="77777777" w:rsidR="00064D29" w:rsidRDefault="00064D29">
      <w:pPr>
        <w:pStyle w:val="Heading2"/>
        <w:keepNext w:val="0"/>
        <w:keepLines w:val="0"/>
        <w:spacing w:before="0" w:after="0"/>
        <w:rPr>
          <w:color w:val="0E101A"/>
          <w:sz w:val="34"/>
          <w:szCs w:val="34"/>
        </w:rPr>
      </w:pPr>
      <w:bookmarkStart w:id="10" w:name="_9muabao7ctkv" w:colFirst="0" w:colLast="0"/>
      <w:bookmarkEnd w:id="10"/>
    </w:p>
    <w:p w14:paraId="0000002C" w14:textId="77777777" w:rsidR="00064D29" w:rsidRDefault="00000000">
      <w:pPr>
        <w:pStyle w:val="Heading2"/>
        <w:keepNext w:val="0"/>
        <w:keepLines w:val="0"/>
        <w:spacing w:before="0" w:after="0"/>
        <w:rPr>
          <w:color w:val="0E101A"/>
          <w:sz w:val="34"/>
          <w:szCs w:val="34"/>
        </w:rPr>
      </w:pPr>
      <w:bookmarkStart w:id="11" w:name="_6u9086w5qp28" w:colFirst="0" w:colLast="0"/>
      <w:bookmarkEnd w:id="11"/>
      <w:r>
        <w:rPr>
          <w:color w:val="0E101A"/>
          <w:sz w:val="34"/>
          <w:szCs w:val="34"/>
        </w:rPr>
        <w:t>Figure 3A</w:t>
      </w:r>
    </w:p>
    <w:p w14:paraId="0000002D" w14:textId="77777777" w:rsidR="00064D29" w:rsidRDefault="00064D29">
      <w:pPr>
        <w:rPr>
          <w:b/>
          <w:color w:val="0E101A"/>
        </w:rPr>
      </w:pPr>
    </w:p>
    <w:p w14:paraId="0000002E" w14:textId="77777777" w:rsidR="00064D29" w:rsidRDefault="00000000">
      <w:pPr>
        <w:rPr>
          <w:color w:val="0E101A"/>
        </w:rPr>
      </w:pPr>
      <w:r>
        <w:rPr>
          <w:color w:val="0E101A"/>
        </w:rPr>
        <w:t xml:space="preserve">Missing axis labels: The y-axes in the </w:t>
      </w:r>
      <w:proofErr w:type="spellStart"/>
      <w:r>
        <w:rPr>
          <w:color w:val="0E101A"/>
        </w:rPr>
        <w:t>center</w:t>
      </w:r>
      <w:proofErr w:type="spellEnd"/>
      <w:r>
        <w:rPr>
          <w:color w:val="0E101A"/>
        </w:rPr>
        <w:t xml:space="preserve"> and left columns (volcano plots and cleavage-position plots) lack labels, making it unclear what quantity is plotted. For instance, the cleavage-position plots should specify whether the y-axis represents "number of significant cleavage events" or "frequency."</w:t>
      </w:r>
    </w:p>
    <w:p w14:paraId="0000002F" w14:textId="77777777" w:rsidR="00064D29" w:rsidRDefault="00064D29">
      <w:pPr>
        <w:rPr>
          <w:color w:val="0E101A"/>
        </w:rPr>
      </w:pPr>
    </w:p>
    <w:p w14:paraId="00000030" w14:textId="77777777" w:rsidR="00064D29" w:rsidRDefault="00000000">
      <w:pPr>
        <w:rPr>
          <w:color w:val="0E101A"/>
        </w:rPr>
      </w:pPr>
      <w:r>
        <w:rPr>
          <w:color w:val="0E101A"/>
        </w:rPr>
        <w:t xml:space="preserve">Figure 3A, described in the legend as </w:t>
      </w:r>
      <w:r>
        <w:rPr>
          <w:i/>
          <w:color w:val="0E101A"/>
        </w:rPr>
        <w:t>"Summarized substrate specificities for cathepsin A–D as reported in the literature"</w:t>
      </w:r>
      <w:r>
        <w:rPr>
          <w:color w:val="0E101A"/>
        </w:rPr>
        <w:t>, is never referenced in the text. There is no sentence in the Results or Discussion that directs the reader to panel A or explains its purpose, i.e., that it provides the literature-based reference for comparison with panels B–D.</w:t>
      </w:r>
    </w:p>
    <w:p w14:paraId="00000031" w14:textId="77777777" w:rsidR="00064D29" w:rsidRDefault="00000000">
      <w:pPr>
        <w:rPr>
          <w:color w:val="0E101A"/>
        </w:rPr>
      </w:pPr>
      <w:r>
        <w:rPr>
          <w:color w:val="0E101A"/>
        </w:rPr>
        <w:t xml:space="preserve">In Figure 3D, the </w:t>
      </w:r>
      <w:r>
        <w:rPr>
          <w:i/>
          <w:color w:val="0E101A"/>
        </w:rPr>
        <w:t>iceLogo</w:t>
      </w:r>
      <w:r>
        <w:rPr>
          <w:color w:val="0E101A"/>
        </w:rPr>
        <w:t xml:space="preserve"> panels are challenging to interpret. It is not clear why residues denoted as "X", which usually represent missing or terminal positions, appear on the </w:t>
      </w:r>
      <w:r>
        <w:rPr>
          <w:i/>
          <w:color w:val="0E101A"/>
        </w:rPr>
        <w:t>left</w:t>
      </w:r>
      <w:r>
        <w:rPr>
          <w:color w:val="0E101A"/>
        </w:rPr>
        <w:t xml:space="preserve"> (N-terminal side) of the logo, even though cleavage, for cathepsin A and B, is described as occurring on the </w:t>
      </w:r>
      <w:r>
        <w:rPr>
          <w:i/>
          <w:color w:val="0E101A"/>
        </w:rPr>
        <w:t>right</w:t>
      </w:r>
      <w:r>
        <w:rPr>
          <w:color w:val="0E101A"/>
        </w:rPr>
        <w:t xml:space="preserve"> (C-terminal side). Moreover, the Methods do not state whether the </w:t>
      </w:r>
      <w:r>
        <w:rPr>
          <w:i/>
          <w:color w:val="0E101A"/>
        </w:rPr>
        <w:t>iceLogo</w:t>
      </w:r>
      <w:r>
        <w:rPr>
          <w:color w:val="0E101A"/>
        </w:rPr>
        <w:t xml:space="preserve"> plots were generated using all detected cleavage sites or whether they were filtered for the most frequent or significant cleavage positions.</w:t>
      </w:r>
    </w:p>
    <w:p w14:paraId="00000032" w14:textId="77777777" w:rsidR="00064D29" w:rsidRDefault="00000000">
      <w:pPr>
        <w:rPr>
          <w:color w:val="0E101A"/>
        </w:rPr>
      </w:pPr>
      <w:r>
        <w:rPr>
          <w:color w:val="0E101A"/>
        </w:rPr>
        <w:t xml:space="preserve">It is unclear how the quantities "percent change (PC)" and "fold change (FC)" described in the Methods are used in the iceLogo plots. The authors should specify which metric </w:t>
      </w:r>
      <w:r>
        <w:rPr>
          <w:color w:val="0E101A"/>
        </w:rPr>
        <w:lastRenderedPageBreak/>
        <w:t xml:space="preserve">underlies the logos shown in Figure 3D and Supplementary </w:t>
      </w:r>
      <w:proofErr w:type="gramStart"/>
      <w:r>
        <w:rPr>
          <w:color w:val="0E101A"/>
        </w:rPr>
        <w:t>Figures, and</w:t>
      </w:r>
      <w:proofErr w:type="gramEnd"/>
      <w:r>
        <w:rPr>
          <w:color w:val="0E101A"/>
        </w:rPr>
        <w:t xml:space="preserve"> clarify how statistical significance thresholds were applied in generating the letter heights.</w:t>
      </w:r>
    </w:p>
    <w:p w14:paraId="00000033" w14:textId="77777777" w:rsidR="00064D29" w:rsidRDefault="00000000">
      <w:pPr>
        <w:pStyle w:val="Heading2"/>
        <w:keepNext w:val="0"/>
        <w:keepLines w:val="0"/>
        <w:spacing w:before="0" w:after="0"/>
        <w:rPr>
          <w:color w:val="0E101A"/>
          <w:sz w:val="34"/>
          <w:szCs w:val="34"/>
        </w:rPr>
      </w:pPr>
      <w:bookmarkStart w:id="12" w:name="_14fpl1f16em" w:colFirst="0" w:colLast="0"/>
      <w:bookmarkEnd w:id="12"/>
      <w:r>
        <w:rPr>
          <w:color w:val="0E101A"/>
          <w:sz w:val="34"/>
          <w:szCs w:val="34"/>
        </w:rPr>
        <w:t>Further comments</w:t>
      </w:r>
    </w:p>
    <w:p w14:paraId="00000034" w14:textId="77777777" w:rsidR="00064D29" w:rsidRDefault="00000000">
      <w:pPr>
        <w:numPr>
          <w:ilvl w:val="0"/>
          <w:numId w:val="2"/>
        </w:numPr>
      </w:pPr>
      <w:r>
        <w:rPr>
          <w:color w:val="0E101A"/>
        </w:rPr>
        <w:t xml:space="preserve">Reduce repetition: Several sentences reiterate that </w:t>
      </w:r>
      <w:r>
        <w:rPr>
          <w:i/>
          <w:color w:val="0E101A"/>
        </w:rPr>
        <w:t>mspms</w:t>
      </w:r>
      <w:r>
        <w:rPr>
          <w:color w:val="0E101A"/>
        </w:rPr>
        <w:t xml:space="preserve"> "reliably capture expected substrate specificities.", which could be stated once, followed by more concrete quantitative results.</w:t>
      </w:r>
    </w:p>
    <w:p w14:paraId="00000035" w14:textId="77777777" w:rsidR="00064D29" w:rsidRDefault="00000000">
      <w:pPr>
        <w:numPr>
          <w:ilvl w:val="0"/>
          <w:numId w:val="2"/>
        </w:numPr>
      </w:pPr>
      <w:r>
        <w:rPr>
          <w:color w:val="0E101A"/>
        </w:rPr>
        <w:t>Add numerical context: Phrases like "numerous significantly upregulated peptides" could be replaced with counts or percentages to clarify.</w:t>
      </w:r>
    </w:p>
    <w:p w14:paraId="00000036" w14:textId="77777777" w:rsidR="00064D29" w:rsidRDefault="00000000">
      <w:pPr>
        <w:numPr>
          <w:ilvl w:val="0"/>
          <w:numId w:val="2"/>
        </w:numPr>
      </w:pPr>
      <w:r>
        <w:rPr>
          <w:color w:val="0E101A"/>
        </w:rPr>
        <w:t xml:space="preserve">Ensure consistency in terminology: Terms such as </w:t>
      </w:r>
      <w:r>
        <w:rPr>
          <w:i/>
          <w:color w:val="0E101A"/>
        </w:rPr>
        <w:t>"cleavage sites," "positions,"</w:t>
      </w:r>
      <w:r>
        <w:rPr>
          <w:color w:val="0E101A"/>
        </w:rPr>
        <w:t xml:space="preserve"> </w:t>
      </w:r>
      <w:r>
        <w:rPr>
          <w:i/>
          <w:color w:val="0E101A"/>
        </w:rPr>
        <w:t>"significant peptides,"</w:t>
      </w:r>
      <w:r>
        <w:rPr>
          <w:color w:val="0E101A"/>
        </w:rPr>
        <w:t xml:space="preserve"> and </w:t>
      </w:r>
      <w:r>
        <w:rPr>
          <w:i/>
          <w:color w:val="0E101A"/>
        </w:rPr>
        <w:t>"substrate specificity"</w:t>
      </w:r>
      <w:r>
        <w:rPr>
          <w:color w:val="0E101A"/>
        </w:rPr>
        <w:t xml:space="preserve"> are sometimes used interchangeably; define them once and use them consistently.</w:t>
      </w:r>
    </w:p>
    <w:p w14:paraId="00000037" w14:textId="77777777" w:rsidR="00064D29" w:rsidRDefault="00000000">
      <w:pPr>
        <w:numPr>
          <w:ilvl w:val="0"/>
          <w:numId w:val="2"/>
        </w:numPr>
      </w:pPr>
      <w:r>
        <w:rPr>
          <w:color w:val="0E101A"/>
        </w:rPr>
        <w:t>Highlight comparison outcomes: The comparison across PEAKS, PD, and FragPipe could be summarized more explicitly—e.g., with a concise table or numeric summary rather than only a qualitative description.</w:t>
      </w:r>
    </w:p>
    <w:p w14:paraId="00000038" w14:textId="77777777" w:rsidR="00064D29" w:rsidRDefault="00000000">
      <w:pPr>
        <w:numPr>
          <w:ilvl w:val="0"/>
          <w:numId w:val="2"/>
        </w:numPr>
      </w:pPr>
      <w:r>
        <w:rPr>
          <w:color w:val="0E101A"/>
        </w:rPr>
        <w:t xml:space="preserve">Clarify supplementary figure references: Supplementary Figures 1–5 </w:t>
      </w:r>
      <w:proofErr w:type="gramStart"/>
      <w:r>
        <w:rPr>
          <w:color w:val="0E101A"/>
        </w:rPr>
        <w:t>are</w:t>
      </w:r>
      <w:proofErr w:type="gramEnd"/>
      <w:r>
        <w:rPr>
          <w:color w:val="0E101A"/>
        </w:rPr>
        <w:t xml:space="preserve"> cited but not always explained; the text should briefly summarize what each demonstrates (correlation, agreement, peptide length distribution, etc.).</w:t>
      </w:r>
    </w:p>
    <w:p w14:paraId="00000039" w14:textId="77777777" w:rsidR="00064D29" w:rsidRDefault="00064D29">
      <w:pPr>
        <w:rPr>
          <w:color w:val="0E101A"/>
        </w:rPr>
      </w:pPr>
    </w:p>
    <w:p w14:paraId="0000003A" w14:textId="77777777" w:rsidR="00064D29" w:rsidRDefault="00000000">
      <w:pPr>
        <w:pStyle w:val="Heading1"/>
        <w:keepNext w:val="0"/>
        <w:keepLines w:val="0"/>
        <w:spacing w:before="0" w:after="0"/>
        <w:rPr>
          <w:color w:val="0E101A"/>
          <w:sz w:val="46"/>
          <w:szCs w:val="46"/>
        </w:rPr>
      </w:pPr>
      <w:bookmarkStart w:id="13" w:name="_gkpmqo12ek2f" w:colFirst="0" w:colLast="0"/>
      <w:bookmarkEnd w:id="13"/>
      <w:r>
        <w:rPr>
          <w:color w:val="0E101A"/>
          <w:sz w:val="46"/>
          <w:szCs w:val="46"/>
        </w:rPr>
        <w:t>Package Code</w:t>
      </w:r>
    </w:p>
    <w:p w14:paraId="0000003B" w14:textId="77777777" w:rsidR="00064D29" w:rsidRDefault="00064D29">
      <w:pPr>
        <w:rPr>
          <w:color w:val="0E101A"/>
        </w:rPr>
      </w:pPr>
    </w:p>
    <w:p w14:paraId="0000003C" w14:textId="77777777" w:rsidR="00064D29" w:rsidRDefault="00000000">
      <w:pPr>
        <w:rPr>
          <w:color w:val="0E101A"/>
        </w:rPr>
      </w:pPr>
      <w:r>
        <w:rPr>
          <w:color w:val="0E101A"/>
        </w:rPr>
        <w:t xml:space="preserve">The </w:t>
      </w:r>
      <w:r>
        <w:rPr>
          <w:i/>
          <w:color w:val="0E101A"/>
        </w:rPr>
        <w:t>mspms</w:t>
      </w:r>
      <w:r>
        <w:rPr>
          <w:color w:val="0E101A"/>
        </w:rPr>
        <w:t xml:space="preserve"> package exhibits strong attention to </w:t>
      </w:r>
      <w:r>
        <w:rPr>
          <w:b/>
          <w:color w:val="0E101A"/>
        </w:rPr>
        <w:t>testing</w:t>
      </w:r>
      <w:r>
        <w:rPr>
          <w:color w:val="0E101A"/>
        </w:rPr>
        <w:t>, with comprehensive test coverage and clear documentation. All exported functions are tested, including systematic validation of preprocessing and edge cases, ensuring reliability and maintainability. Documentation is well structured, with runnable examples and a detailed vignette that demonstrates complete workflows across supported data formats.</w:t>
      </w:r>
    </w:p>
    <w:p w14:paraId="0000003D" w14:textId="77777777" w:rsidR="00064D29" w:rsidRDefault="00000000">
      <w:pPr>
        <w:rPr>
          <w:color w:val="0E101A"/>
        </w:rPr>
      </w:pPr>
      <w:r>
        <w:rPr>
          <w:color w:val="0E101A"/>
        </w:rPr>
        <w:t>The functional organization into four logical categories—preprocessing (prepare_* functions), processing (</w:t>
      </w:r>
      <w:proofErr w:type="spellStart"/>
      <w:r>
        <w:rPr>
          <w:color w:val="0E101A"/>
        </w:rPr>
        <w:t>process_qf</w:t>
      </w:r>
      <w:proofErr w:type="spellEnd"/>
      <w:r>
        <w:rPr>
          <w:color w:val="0E101A"/>
        </w:rPr>
        <w:t>), statistics (</w:t>
      </w:r>
      <w:proofErr w:type="spellStart"/>
      <w:r>
        <w:rPr>
          <w:color w:val="0E101A"/>
        </w:rPr>
        <w:t>limma_stats</w:t>
      </w:r>
      <w:proofErr w:type="spellEnd"/>
      <w:r>
        <w:rPr>
          <w:color w:val="0E101A"/>
        </w:rPr>
        <w:t>, log2fc_t_test), and visualization (plot_* functions)—creates an intuitive API that mirrors the natural analysis workflow.</w:t>
      </w:r>
    </w:p>
    <w:p w14:paraId="0000003E" w14:textId="77777777" w:rsidR="00064D29" w:rsidRDefault="00000000">
      <w:pPr>
        <w:pStyle w:val="Heading1"/>
        <w:keepNext w:val="0"/>
        <w:keepLines w:val="0"/>
        <w:spacing w:before="0" w:after="0"/>
        <w:rPr>
          <w:color w:val="0E101A"/>
          <w:sz w:val="46"/>
          <w:szCs w:val="46"/>
        </w:rPr>
      </w:pPr>
      <w:bookmarkStart w:id="14" w:name="_qu80z2f499f3" w:colFirst="0" w:colLast="0"/>
      <w:bookmarkEnd w:id="14"/>
      <w:r>
        <w:rPr>
          <w:color w:val="0E101A"/>
          <w:sz w:val="46"/>
          <w:szCs w:val="46"/>
        </w:rPr>
        <w:t>Concerns</w:t>
      </w:r>
    </w:p>
    <w:p w14:paraId="0000003F" w14:textId="77777777" w:rsidR="00064D29" w:rsidRDefault="00064D29">
      <w:pPr>
        <w:pStyle w:val="Heading2"/>
        <w:keepNext w:val="0"/>
        <w:keepLines w:val="0"/>
        <w:spacing w:before="0" w:after="0"/>
        <w:rPr>
          <w:color w:val="0E101A"/>
          <w:sz w:val="34"/>
          <w:szCs w:val="34"/>
        </w:rPr>
      </w:pPr>
      <w:bookmarkStart w:id="15" w:name="_5jzjjmepukle" w:colFirst="0" w:colLast="0"/>
      <w:bookmarkEnd w:id="15"/>
    </w:p>
    <w:p w14:paraId="00000040" w14:textId="77777777" w:rsidR="00064D29" w:rsidRDefault="00000000">
      <w:pPr>
        <w:pStyle w:val="Heading2"/>
        <w:keepNext w:val="0"/>
        <w:keepLines w:val="0"/>
        <w:spacing w:before="0" w:after="0"/>
        <w:rPr>
          <w:color w:val="0E101A"/>
          <w:sz w:val="34"/>
          <w:szCs w:val="34"/>
        </w:rPr>
      </w:pPr>
      <w:bookmarkStart w:id="16" w:name="_ae7lx4k9mrqp" w:colFirst="0" w:colLast="0"/>
      <w:bookmarkEnd w:id="16"/>
      <w:r>
        <w:rPr>
          <w:color w:val="0E101A"/>
          <w:sz w:val="34"/>
          <w:szCs w:val="34"/>
        </w:rPr>
        <w:t xml:space="preserve">DRY </w:t>
      </w:r>
      <w:proofErr w:type="gramStart"/>
      <w:r>
        <w:rPr>
          <w:color w:val="0E101A"/>
          <w:sz w:val="34"/>
          <w:szCs w:val="34"/>
        </w:rPr>
        <w:t>Principle</w:t>
      </w:r>
      <w:proofErr w:type="gramEnd"/>
      <w:r>
        <w:rPr>
          <w:color w:val="0E101A"/>
          <w:sz w:val="34"/>
          <w:szCs w:val="34"/>
        </w:rPr>
        <w:t xml:space="preserve"> Violations</w:t>
      </w:r>
    </w:p>
    <w:p w14:paraId="00000041" w14:textId="77777777" w:rsidR="00064D29" w:rsidRDefault="00064D29">
      <w:pPr>
        <w:rPr>
          <w:color w:val="0E101A"/>
        </w:rPr>
      </w:pPr>
    </w:p>
    <w:p w14:paraId="00000042" w14:textId="77777777" w:rsidR="00064D29" w:rsidRDefault="00000000">
      <w:pPr>
        <w:rPr>
          <w:color w:val="0E101A"/>
        </w:rPr>
      </w:pPr>
      <w:r>
        <w:rPr>
          <w:color w:val="0E101A"/>
        </w:rPr>
        <w:t xml:space="preserve">The most egregious </w:t>
      </w:r>
      <w:r>
        <w:rPr>
          <w:b/>
          <w:color w:val="0E101A"/>
        </w:rPr>
        <w:t>DRY</w:t>
      </w:r>
      <w:r>
        <w:rPr>
          <w:color w:val="0E101A"/>
        </w:rPr>
        <w:t xml:space="preserve"> (Don't Repeat Yourself) violation occurs in the near-complete duplication of file validation logic across four functions — </w:t>
      </w:r>
      <w:proofErr w:type="spellStart"/>
      <w:r>
        <w:rPr>
          <w:color w:val="0E101A"/>
        </w:rPr>
        <w:t>check_file_is_valid_peaks</w:t>
      </w:r>
      <w:proofErr w:type="spellEnd"/>
      <w:r>
        <w:rPr>
          <w:color w:val="0E101A"/>
        </w:rPr>
        <w:t xml:space="preserve">, </w:t>
      </w:r>
      <w:proofErr w:type="spellStart"/>
      <w:r>
        <w:rPr>
          <w:color w:val="0E101A"/>
        </w:rPr>
        <w:t>check_file_is_valid_fragpipe</w:t>
      </w:r>
      <w:proofErr w:type="spellEnd"/>
      <w:r>
        <w:rPr>
          <w:color w:val="0E101A"/>
        </w:rPr>
        <w:t xml:space="preserve">, </w:t>
      </w:r>
      <w:proofErr w:type="spellStart"/>
      <w:r>
        <w:rPr>
          <w:color w:val="0E101A"/>
        </w:rPr>
        <w:t>check_file_is_valid_pd</w:t>
      </w:r>
      <w:proofErr w:type="spellEnd"/>
      <w:r>
        <w:rPr>
          <w:color w:val="0E101A"/>
        </w:rPr>
        <w:t xml:space="preserve">, and </w:t>
      </w:r>
      <w:proofErr w:type="spellStart"/>
      <w:r>
        <w:rPr>
          <w:color w:val="0E101A"/>
        </w:rPr>
        <w:t>check_file_is_valid_diann</w:t>
      </w:r>
      <w:proofErr w:type="spellEnd"/>
      <w:r>
        <w:rPr>
          <w:color w:val="0E101A"/>
        </w:rPr>
        <w:t xml:space="preserve"> — located in lines 11–115 of </w:t>
      </w:r>
      <w:proofErr w:type="spellStart"/>
      <w:r>
        <w:rPr>
          <w:i/>
          <w:color w:val="0E101A"/>
        </w:rPr>
        <w:t>preprocessing_helper_functions.R</w:t>
      </w:r>
      <w:proofErr w:type="spellEnd"/>
      <w:r>
        <w:rPr>
          <w:color w:val="0E101A"/>
        </w:rPr>
        <w:t xml:space="preserve">. Each follows the same pattern: defining expected columns, checking for missing columns using </w:t>
      </w:r>
      <w:proofErr w:type="gramStart"/>
      <w:r>
        <w:rPr>
          <w:color w:val="0E101A"/>
        </w:rPr>
        <w:t>%!in</w:t>
      </w:r>
      <w:proofErr w:type="gramEnd"/>
      <w:r>
        <w:rPr>
          <w:color w:val="0E101A"/>
        </w:rPr>
        <w:t xml:space="preserve">%, and throwing formatted errors. Together, these blocks account for roughly </w:t>
      </w:r>
      <w:r>
        <w:rPr>
          <w:b/>
          <w:color w:val="0E101A"/>
        </w:rPr>
        <w:t>100 duplicated lines</w:t>
      </w:r>
      <w:r>
        <w:rPr>
          <w:color w:val="0E101A"/>
        </w:rPr>
        <w:t xml:space="preserve"> of code.</w:t>
      </w:r>
    </w:p>
    <w:p w14:paraId="00000043" w14:textId="77777777" w:rsidR="00064D29" w:rsidRDefault="00000000">
      <w:pPr>
        <w:rPr>
          <w:color w:val="0E101A"/>
        </w:rPr>
      </w:pPr>
      <w:r>
        <w:rPr>
          <w:rFonts w:ascii="Arial Unicode MS" w:eastAsia="Arial Unicode MS" w:hAnsi="Arial Unicode MS" w:cs="Arial Unicode MS"/>
          <w:color w:val="0E101A"/>
        </w:rPr>
        <w:t xml:space="preserve">Similarly, the four prepare_* functions repeat an identical five-step workflow (read file → validate → transform → load colData → convert to QFeatures), resulting in roughly </w:t>
      </w:r>
      <w:r>
        <w:rPr>
          <w:b/>
          <w:color w:val="0E101A"/>
        </w:rPr>
        <w:t>150 lines of redundant code</w:t>
      </w:r>
      <w:r>
        <w:rPr>
          <w:color w:val="0E101A"/>
        </w:rPr>
        <w:t xml:space="preserve">. The </w:t>
      </w:r>
      <w:proofErr w:type="spellStart"/>
      <w:r>
        <w:rPr>
          <w:color w:val="0E101A"/>
        </w:rPr>
        <w:t>nterm_cleavage</w:t>
      </w:r>
      <w:proofErr w:type="spellEnd"/>
      <w:r>
        <w:rPr>
          <w:color w:val="0E101A"/>
        </w:rPr>
        <w:t xml:space="preserve"> and </w:t>
      </w:r>
      <w:proofErr w:type="spellStart"/>
      <w:r>
        <w:rPr>
          <w:color w:val="0E101A"/>
        </w:rPr>
        <w:t>cterm_cleavage</w:t>
      </w:r>
      <w:proofErr w:type="spellEnd"/>
      <w:r>
        <w:rPr>
          <w:color w:val="0E101A"/>
        </w:rPr>
        <w:t xml:space="preserve"> functions are about </w:t>
      </w:r>
      <w:r>
        <w:rPr>
          <w:b/>
          <w:color w:val="0E101A"/>
        </w:rPr>
        <w:t>95% identical</w:t>
      </w:r>
      <w:r>
        <w:rPr>
          <w:color w:val="0E101A"/>
        </w:rPr>
        <w:t xml:space="preserve">, differing only in direction (~80 duplicated lines). Finally, the </w:t>
      </w:r>
      <w:r>
        <w:rPr>
          <w:i/>
          <w:color w:val="0E101A"/>
        </w:rPr>
        <w:t>iceLogo</w:t>
      </w:r>
      <w:r>
        <w:rPr>
          <w:color w:val="0E101A"/>
        </w:rPr>
        <w:t xml:space="preserve"> pivot </w:t>
      </w:r>
      <w:r>
        <w:rPr>
          <w:color w:val="0E101A"/>
        </w:rPr>
        <w:lastRenderedPageBreak/>
        <w:t xml:space="preserve">operations in </w:t>
      </w:r>
      <w:proofErr w:type="spellStart"/>
      <w:r>
        <w:rPr>
          <w:color w:val="0E101A"/>
        </w:rPr>
        <w:t>prepare_sig_p_dif</w:t>
      </w:r>
      <w:proofErr w:type="spellEnd"/>
      <w:r>
        <w:rPr>
          <w:color w:val="0E101A"/>
        </w:rPr>
        <w:t xml:space="preserve"> and </w:t>
      </w:r>
      <w:proofErr w:type="spellStart"/>
      <w:r>
        <w:rPr>
          <w:color w:val="0E101A"/>
        </w:rPr>
        <w:t>prepare_fc</w:t>
      </w:r>
      <w:proofErr w:type="spellEnd"/>
      <w:r>
        <w:rPr>
          <w:color w:val="0E101A"/>
        </w:rPr>
        <w:t xml:space="preserve"> replicate </w:t>
      </w:r>
      <w:r>
        <w:rPr>
          <w:b/>
          <w:color w:val="0E101A"/>
        </w:rPr>
        <w:t>40 lines</w:t>
      </w:r>
      <w:r>
        <w:rPr>
          <w:color w:val="0E101A"/>
        </w:rPr>
        <w:t xml:space="preserve"> of identical transformation logic.</w:t>
      </w:r>
    </w:p>
    <w:p w14:paraId="00000044" w14:textId="77777777" w:rsidR="00064D29" w:rsidRDefault="00000000">
      <w:pPr>
        <w:rPr>
          <w:color w:val="0E101A"/>
        </w:rPr>
      </w:pPr>
      <w:r>
        <w:rPr>
          <w:color w:val="0E101A"/>
        </w:rPr>
        <w:t>Moreover, the current implementation contains two bugs. First, the error messages in the Proteome Discoverer and DIA-NN validators incorrectly reference "PEAKS file" rather than the appropriate software name (lines 86 and 111). Second, all four functions check if (length(</w:t>
      </w:r>
      <w:proofErr w:type="spellStart"/>
      <w:r>
        <w:rPr>
          <w:color w:val="0E101A"/>
        </w:rPr>
        <w:t>missing_names</w:t>
      </w:r>
      <w:proofErr w:type="spellEnd"/>
      <w:r>
        <w:rPr>
          <w:color w:val="0E101A"/>
        </w:rPr>
        <w:t>) &gt; 1) when they should check if (length(</w:t>
      </w:r>
      <w:proofErr w:type="spellStart"/>
      <w:r>
        <w:rPr>
          <w:color w:val="0E101A"/>
        </w:rPr>
        <w:t>missing_names</w:t>
      </w:r>
      <w:proofErr w:type="spellEnd"/>
      <w:r>
        <w:rPr>
          <w:color w:val="0E101A"/>
        </w:rPr>
        <w:t>) &gt; 0), meaning that files with exactly one missing column would incorrectly pass validation.</w:t>
      </w:r>
    </w:p>
    <w:p w14:paraId="00000045" w14:textId="77777777" w:rsidR="00064D29" w:rsidRDefault="00064D29">
      <w:pPr>
        <w:pStyle w:val="Heading2"/>
        <w:keepNext w:val="0"/>
        <w:keepLines w:val="0"/>
        <w:spacing w:before="0" w:after="0"/>
        <w:rPr>
          <w:color w:val="0E101A"/>
          <w:sz w:val="34"/>
          <w:szCs w:val="34"/>
        </w:rPr>
      </w:pPr>
      <w:bookmarkStart w:id="17" w:name="_4g7j4epax6jj" w:colFirst="0" w:colLast="0"/>
      <w:bookmarkEnd w:id="17"/>
    </w:p>
    <w:p w14:paraId="00000046" w14:textId="77777777" w:rsidR="00064D29" w:rsidRDefault="00000000">
      <w:pPr>
        <w:pStyle w:val="Heading2"/>
        <w:keepNext w:val="0"/>
        <w:keepLines w:val="0"/>
        <w:spacing w:before="0" w:after="0"/>
        <w:rPr>
          <w:color w:val="0E101A"/>
          <w:sz w:val="34"/>
          <w:szCs w:val="34"/>
        </w:rPr>
      </w:pPr>
      <w:bookmarkStart w:id="18" w:name="_dr0z508jfqmj" w:colFirst="0" w:colLast="0"/>
      <w:bookmarkEnd w:id="18"/>
      <w:r>
        <w:rPr>
          <w:color w:val="0E101A"/>
          <w:sz w:val="34"/>
          <w:szCs w:val="34"/>
        </w:rPr>
        <w:t>Structural and Architectural Issues</w:t>
      </w:r>
    </w:p>
    <w:p w14:paraId="00000047" w14:textId="77777777" w:rsidR="00064D29" w:rsidRDefault="00064D29">
      <w:pPr>
        <w:rPr>
          <w:color w:val="0E101A"/>
        </w:rPr>
      </w:pPr>
    </w:p>
    <w:p w14:paraId="00000048" w14:textId="77777777" w:rsidR="00064D29" w:rsidRDefault="00000000">
      <w:pPr>
        <w:rPr>
          <w:color w:val="0E101A"/>
        </w:rPr>
      </w:pPr>
      <w:r>
        <w:rPr>
          <w:color w:val="0E101A"/>
        </w:rPr>
        <w:t xml:space="preserve">The package exhibits </w:t>
      </w:r>
      <w:r>
        <w:rPr>
          <w:b/>
          <w:color w:val="0E101A"/>
        </w:rPr>
        <w:t>poor separation of concerns</w:t>
      </w:r>
      <w:r>
        <w:rPr>
          <w:color w:val="0E101A"/>
        </w:rPr>
        <w:t xml:space="preserve">. For example, the </w:t>
      </w:r>
      <w:proofErr w:type="spellStart"/>
      <w:r>
        <w:rPr>
          <w:color w:val="0E101A"/>
        </w:rPr>
        <w:t>prepared_to_qf</w:t>
      </w:r>
      <w:proofErr w:type="spellEnd"/>
      <w:r>
        <w:rPr>
          <w:color w:val="0E101A"/>
        </w:rPr>
        <w:t xml:space="preserve"> function (lines 344–404) mixes data transformation, validation, and QFeatures object creation within a single routine. Similarly, plotting functions such as </w:t>
      </w:r>
      <w:proofErr w:type="spellStart"/>
      <w:r>
        <w:rPr>
          <w:color w:val="0E101A"/>
        </w:rPr>
        <w:t>plot_heatmap</w:t>
      </w:r>
      <w:proofErr w:type="spellEnd"/>
      <w:r>
        <w:rPr>
          <w:color w:val="0E101A"/>
        </w:rPr>
        <w:t xml:space="preserve"> (lines 31–63) perform extensive internal data preparation rather than accepting </w:t>
      </w:r>
      <w:proofErr w:type="spellStart"/>
      <w:r>
        <w:rPr>
          <w:color w:val="0E101A"/>
        </w:rPr>
        <w:t>preprocessed</w:t>
      </w:r>
      <w:proofErr w:type="spellEnd"/>
      <w:r>
        <w:rPr>
          <w:color w:val="0E101A"/>
        </w:rPr>
        <w:t xml:space="preserve"> input, preventing users from inspecting or modifying the data before visualization.</w:t>
      </w:r>
    </w:p>
    <w:p w14:paraId="00000049" w14:textId="77777777" w:rsidR="00064D29" w:rsidRDefault="00064D29">
      <w:pPr>
        <w:pStyle w:val="Heading2"/>
        <w:keepNext w:val="0"/>
        <w:keepLines w:val="0"/>
        <w:spacing w:before="0" w:after="0"/>
        <w:rPr>
          <w:b/>
          <w:color w:val="0E101A"/>
          <w:sz w:val="34"/>
          <w:szCs w:val="34"/>
        </w:rPr>
      </w:pPr>
      <w:bookmarkStart w:id="19" w:name="_gdbacy249ty" w:colFirst="0" w:colLast="0"/>
      <w:bookmarkEnd w:id="19"/>
    </w:p>
    <w:p w14:paraId="0000004A" w14:textId="77777777" w:rsidR="00064D29" w:rsidRDefault="00000000">
      <w:pPr>
        <w:pStyle w:val="Heading2"/>
        <w:keepNext w:val="0"/>
        <w:keepLines w:val="0"/>
        <w:spacing w:before="0" w:after="0"/>
        <w:rPr>
          <w:color w:val="0E101A"/>
          <w:sz w:val="34"/>
          <w:szCs w:val="34"/>
        </w:rPr>
      </w:pPr>
      <w:bookmarkStart w:id="20" w:name="_4acc2n5qqgy5" w:colFirst="0" w:colLast="0"/>
      <w:bookmarkEnd w:id="20"/>
      <w:r>
        <w:rPr>
          <w:color w:val="0E101A"/>
          <w:sz w:val="34"/>
          <w:szCs w:val="34"/>
        </w:rPr>
        <w:t>Error handling and messaging</w:t>
      </w:r>
    </w:p>
    <w:p w14:paraId="0000004B" w14:textId="77777777" w:rsidR="00064D29" w:rsidRDefault="00064D29"/>
    <w:p w14:paraId="0000004C" w14:textId="77777777" w:rsidR="00064D29" w:rsidRDefault="00000000">
      <w:pPr>
        <w:rPr>
          <w:color w:val="0E101A"/>
        </w:rPr>
      </w:pPr>
      <w:r>
        <w:rPr>
          <w:color w:val="0E101A"/>
        </w:rPr>
        <w:t xml:space="preserve">Error handling and messaging vary widely in quality. Some messages are clear and informative (e.g., </w:t>
      </w:r>
      <w:proofErr w:type="spellStart"/>
      <w:r>
        <w:rPr>
          <w:color w:val="0E101A"/>
        </w:rPr>
        <w:t>prepare_</w:t>
      </w:r>
      <w:proofErr w:type="gramStart"/>
      <w:r>
        <w:rPr>
          <w:color w:val="0E101A"/>
        </w:rPr>
        <w:t>peaks.R</w:t>
      </w:r>
      <w:proofErr w:type="spellEnd"/>
      <w:proofErr w:type="gramEnd"/>
      <w:r>
        <w:rPr>
          <w:color w:val="0E101A"/>
        </w:rPr>
        <w:t xml:space="preserve">, line 34, reporting filtered peptides with percentages), while others contain spelling or copy-paste errors referencing the wrong software type. Additionally, the file </w:t>
      </w:r>
      <w:proofErr w:type="spellStart"/>
      <w:r>
        <w:rPr>
          <w:color w:val="0E101A"/>
        </w:rPr>
        <w:t>find_paired_</w:t>
      </w:r>
      <w:proofErr w:type="gramStart"/>
      <w:r>
        <w:rPr>
          <w:color w:val="0E101A"/>
        </w:rPr>
        <w:t>peptides.R</w:t>
      </w:r>
      <w:proofErr w:type="spellEnd"/>
      <w:proofErr w:type="gramEnd"/>
      <w:r>
        <w:rPr>
          <w:color w:val="0E101A"/>
        </w:rPr>
        <w:t xml:space="preserve"> appears to contain </w:t>
      </w:r>
      <w:r>
        <w:rPr>
          <w:b/>
          <w:color w:val="0E101A"/>
        </w:rPr>
        <w:t>exploratory code</w:t>
      </w:r>
      <w:r>
        <w:rPr>
          <w:color w:val="0E101A"/>
        </w:rPr>
        <w:t xml:space="preserve">, including library(ggplot2) on line 28 — a command that should never appear in production package code — suggesting that this file belongs under </w:t>
      </w:r>
      <w:proofErr w:type="spellStart"/>
      <w:r>
        <w:rPr>
          <w:color w:val="0E101A"/>
        </w:rPr>
        <w:t>inst</w:t>
      </w:r>
      <w:proofErr w:type="spellEnd"/>
      <w:r>
        <w:rPr>
          <w:color w:val="0E101A"/>
        </w:rPr>
        <w:t>/scripts/ rather than within the distributed codebase.</w:t>
      </w:r>
    </w:p>
    <w:p w14:paraId="0000004D" w14:textId="77777777" w:rsidR="00064D29" w:rsidRDefault="00064D29">
      <w:pPr>
        <w:pStyle w:val="Heading2"/>
        <w:keepNext w:val="0"/>
        <w:keepLines w:val="0"/>
        <w:spacing w:before="0" w:after="0"/>
        <w:rPr>
          <w:color w:val="0E101A"/>
          <w:sz w:val="34"/>
          <w:szCs w:val="34"/>
        </w:rPr>
      </w:pPr>
      <w:bookmarkStart w:id="21" w:name="_1lipxbgyrh70" w:colFirst="0" w:colLast="0"/>
      <w:bookmarkEnd w:id="21"/>
    </w:p>
    <w:p w14:paraId="0000004E" w14:textId="77777777" w:rsidR="00064D29" w:rsidRDefault="00000000">
      <w:pPr>
        <w:pStyle w:val="Heading2"/>
        <w:keepNext w:val="0"/>
        <w:keepLines w:val="0"/>
        <w:spacing w:before="0" w:after="0"/>
        <w:rPr>
          <w:color w:val="0E101A"/>
          <w:sz w:val="34"/>
          <w:szCs w:val="34"/>
        </w:rPr>
      </w:pPr>
      <w:bookmarkStart w:id="22" w:name="_dya6fg13cutp" w:colFirst="0" w:colLast="0"/>
      <w:bookmarkEnd w:id="22"/>
      <w:r>
        <w:rPr>
          <w:color w:val="0E101A"/>
          <w:sz w:val="34"/>
          <w:szCs w:val="34"/>
        </w:rPr>
        <w:t>Performance and Implementation Quality</w:t>
      </w:r>
    </w:p>
    <w:p w14:paraId="0000004F" w14:textId="77777777" w:rsidR="00064D29" w:rsidRDefault="00064D29"/>
    <w:p w14:paraId="00000050" w14:textId="77777777" w:rsidR="00064D29" w:rsidRDefault="00000000">
      <w:pPr>
        <w:rPr>
          <w:color w:val="0E101A"/>
        </w:rPr>
      </w:pPr>
      <w:r>
        <w:rPr>
          <w:color w:val="0E101A"/>
        </w:rPr>
        <w:t xml:space="preserve">The function </w:t>
      </w:r>
      <w:proofErr w:type="spellStart"/>
      <w:r>
        <w:rPr>
          <w:color w:val="0E101A"/>
        </w:rPr>
        <w:t>count_cleavages_per_pos</w:t>
      </w:r>
      <w:proofErr w:type="spellEnd"/>
      <w:r>
        <w:rPr>
          <w:color w:val="0E101A"/>
        </w:rPr>
        <w:t xml:space="preserve"> (lines 148–168 in </w:t>
      </w:r>
      <w:proofErr w:type="spellStart"/>
      <w:r>
        <w:rPr>
          <w:i/>
          <w:color w:val="0E101A"/>
        </w:rPr>
        <w:t>plotting_helper_</w:t>
      </w:r>
      <w:proofErr w:type="gramStart"/>
      <w:r>
        <w:rPr>
          <w:i/>
          <w:color w:val="0E101A"/>
        </w:rPr>
        <w:t>functions.R</w:t>
      </w:r>
      <w:proofErr w:type="spellEnd"/>
      <w:proofErr w:type="gramEnd"/>
      <w:r>
        <w:rPr>
          <w:color w:val="0E101A"/>
        </w:rPr>
        <w:t xml:space="preserve">) demonstrates a critical performance anti-pattern. It initializes an empty tibble using final &lt;- </w:t>
      </w:r>
      <w:proofErr w:type="gramStart"/>
      <w:r>
        <w:rPr>
          <w:color w:val="0E101A"/>
        </w:rPr>
        <w:t>tibble::tibble(</w:t>
      </w:r>
      <w:proofErr w:type="gramEnd"/>
      <w:r>
        <w:rPr>
          <w:color w:val="0E101A"/>
        </w:rPr>
        <w:t xml:space="preserve">) and then iteratively appends rows inside a loop via final &lt;- </w:t>
      </w:r>
      <w:proofErr w:type="gramStart"/>
      <w:r>
        <w:rPr>
          <w:color w:val="0E101A"/>
        </w:rPr>
        <w:t>dplyr::</w:t>
      </w:r>
      <w:proofErr w:type="spellStart"/>
      <w:proofErr w:type="gramEnd"/>
      <w:r>
        <w:rPr>
          <w:color w:val="0E101A"/>
        </w:rPr>
        <w:t>bind_</w:t>
      </w:r>
      <w:proofErr w:type="gramStart"/>
      <w:r>
        <w:rPr>
          <w:color w:val="0E101A"/>
        </w:rPr>
        <w:t>rows</w:t>
      </w:r>
      <w:proofErr w:type="spellEnd"/>
      <w:r>
        <w:rPr>
          <w:color w:val="0E101A"/>
        </w:rPr>
        <w:t>(</w:t>
      </w:r>
      <w:proofErr w:type="gramEnd"/>
      <w:r>
        <w:rPr>
          <w:color w:val="0E101A"/>
        </w:rPr>
        <w:t xml:space="preserve">final, out). This results in quadratic O(n²) complexity, as R must reallocate and copy the entire data frame at every iteration. The issue could be trivially avoided by pre-allocating a list and performing a single </w:t>
      </w:r>
      <w:proofErr w:type="spellStart"/>
      <w:r>
        <w:rPr>
          <w:color w:val="0E101A"/>
        </w:rPr>
        <w:t>bind_</w:t>
      </w:r>
      <w:proofErr w:type="gramStart"/>
      <w:r>
        <w:rPr>
          <w:color w:val="0E101A"/>
        </w:rPr>
        <w:t>rows</w:t>
      </w:r>
      <w:proofErr w:type="spellEnd"/>
      <w:r>
        <w:rPr>
          <w:color w:val="0E101A"/>
        </w:rPr>
        <w:t>(</w:t>
      </w:r>
      <w:proofErr w:type="gramEnd"/>
      <w:r>
        <w:rPr>
          <w:color w:val="0E101A"/>
        </w:rPr>
        <w:t>) call after the loop completes.</w:t>
      </w:r>
    </w:p>
    <w:p w14:paraId="00000051" w14:textId="77777777" w:rsidR="00064D29" w:rsidRDefault="00064D29"/>
    <w:sectPr w:rsidR="00064D2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811BB4F-5C10-5949-8943-C4541C372DDD}"/>
  </w:font>
  <w:font w:name="Arial">
    <w:panose1 w:val="020B0604020202020204"/>
    <w:charset w:val="00"/>
    <w:family w:val="swiss"/>
    <w:pitch w:val="variable"/>
    <w:sig w:usb0="E0002AFF" w:usb1="C0007843" w:usb2="00000009" w:usb3="00000000" w:csb0="000001FF" w:csb1="00000000"/>
    <w:embedRegular r:id="rId2" w:fontKey="{985FD068-A113-2F4B-909C-1B72377768A6}"/>
    <w:embedBold r:id="rId3" w:fontKey="{79B490A4-04FD-4149-BA89-567124816160}"/>
    <w:embedItalic r:id="rId4" w:fontKey="{185D367C-4B15-0044-AD77-D785E052C8F0}"/>
  </w:font>
  <w:font w:name="Arial Unicode MS">
    <w:panose1 w:val="020B0604020202020204"/>
    <w:charset w:val="80"/>
    <w:family w:val="swiss"/>
    <w:pitch w:val="variable"/>
    <w:sig w:usb0="F7FFAFFF" w:usb1="E9DFFFFF" w:usb2="0000003F" w:usb3="00000000" w:csb0="003F01FF" w:csb1="00000000"/>
    <w:embedRegular r:id="rId5" w:subsetted="1" w:fontKey="{15181FBF-2204-9945-81EE-8CEE89A9DA8D}"/>
  </w:font>
  <w:font w:name="Calibri">
    <w:panose1 w:val="020F0502020204030204"/>
    <w:charset w:val="00"/>
    <w:family w:val="swiss"/>
    <w:pitch w:val="variable"/>
    <w:sig w:usb0="E0002AFF" w:usb1="C000ACFF" w:usb2="00000009" w:usb3="00000000" w:csb0="000001FF" w:csb1="00000000"/>
    <w:embedRegular r:id="rId6" w:fontKey="{76B3CDE1-F3E6-F246-9EE2-8D509BB71887}"/>
  </w:font>
  <w:font w:name="Cambria">
    <w:panose1 w:val="02040503050406030204"/>
    <w:charset w:val="00"/>
    <w:family w:val="roman"/>
    <w:pitch w:val="variable"/>
    <w:sig w:usb0="E00002FF" w:usb1="400004FF" w:usb2="00000000" w:usb3="00000000" w:csb0="0000019F" w:csb1="00000000"/>
    <w:embedRegular r:id="rId7" w:fontKey="{37681347-5403-9C4A-BA2F-AC541A2D60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B0CFB"/>
    <w:multiLevelType w:val="multilevel"/>
    <w:tmpl w:val="3AC2A69E"/>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5FA38DF"/>
    <w:multiLevelType w:val="multilevel"/>
    <w:tmpl w:val="EFBC7FCA"/>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2293451">
    <w:abstractNumId w:val="1"/>
  </w:num>
  <w:num w:numId="2" w16cid:durableId="1047871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D29"/>
    <w:rsid w:val="00064D29"/>
    <w:rsid w:val="003A1E16"/>
    <w:rsid w:val="00977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815917D-D363-3248-B309-F4F64F31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38/s41598-025-11635-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riannahurysz/MSP-MS" TargetMode="External"/><Relationship Id="rId5" Type="http://schemas.openxmlformats.org/officeDocument/2006/relationships/hyperlink" Target="https://doi.org/10.1038/s41598-025-11635-1"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2038</Words>
  <Characters>11617</Characters>
  <Application>Microsoft Office Word</Application>
  <DocSecurity>0</DocSecurity>
  <Lines>96</Lines>
  <Paragraphs>27</Paragraphs>
  <ScaleCrop>false</ScaleCrop>
  <Company/>
  <LinksUpToDate>false</LinksUpToDate>
  <CharactersWithSpaces>13628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Bayne, Charlie</cp:lastModifiedBy>
  <cp:revision>2</cp:revision>
  <dcterms:created xsi:type="dcterms:W3CDTF">2025-11-04T18:04:00Z</dcterms:created>
  <dcterms:modified xsi:type="dcterms:W3CDTF">2025-11-04T18:04:00Z</dcterms:modified>
</cp:coreProperties>
</file>