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2BB80" w14:textId="77777777" w:rsidR="0083211F" w:rsidRPr="001A3EF0" w:rsidRDefault="0083211F" w:rsidP="0083211F">
      <w:pPr>
        <w:tabs>
          <w:tab w:val="left" w:pos="1260"/>
          <w:tab w:val="left" w:pos="8730"/>
        </w:tabs>
        <w:spacing w:after="0"/>
        <w:jc w:val="center"/>
        <w:rPr>
          <w:rFonts w:ascii="Times New Roman" w:hAnsi="Times New Roman"/>
        </w:rPr>
      </w:pPr>
      <w:r w:rsidRPr="009E3CD8">
        <w:rPr>
          <w:rFonts w:ascii="Times New Roman" w:hAnsi="Times New Roman"/>
          <w:noProof/>
        </w:rPr>
        <w:drawing>
          <wp:inline distT="0" distB="0" distL="0" distR="0" wp14:anchorId="359D7D47" wp14:editId="75DBCB5B">
            <wp:extent cx="1435735" cy="786765"/>
            <wp:effectExtent l="0" t="0" r="0" b="0"/>
            <wp:docPr id="1" name="Picture 1" descr="Description: SL_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L_coat of ar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735" cy="786765"/>
                    </a:xfrm>
                    <a:prstGeom prst="rect">
                      <a:avLst/>
                    </a:prstGeom>
                    <a:noFill/>
                    <a:ln>
                      <a:noFill/>
                    </a:ln>
                  </pic:spPr>
                </pic:pic>
              </a:graphicData>
            </a:graphic>
          </wp:inline>
        </w:drawing>
      </w:r>
    </w:p>
    <w:p w14:paraId="550FE7E7" w14:textId="77777777" w:rsidR="0083211F" w:rsidRDefault="0083211F" w:rsidP="0083211F">
      <w:pPr>
        <w:spacing w:after="0"/>
        <w:jc w:val="center"/>
        <w:rPr>
          <w:rFonts w:ascii="Times New Roman" w:hAnsi="Times New Roman"/>
          <w:b/>
        </w:rPr>
      </w:pPr>
      <w:r w:rsidRPr="00C4470D">
        <w:rPr>
          <w:rFonts w:ascii="Times New Roman" w:hAnsi="Times New Roman"/>
          <w:b/>
        </w:rPr>
        <w:t>GOVERNMENT OF SIERRA LEONE</w:t>
      </w:r>
    </w:p>
    <w:p w14:paraId="5E4070EB" w14:textId="77777777" w:rsidR="0083211F" w:rsidRDefault="0083211F" w:rsidP="0083211F">
      <w:pPr>
        <w:spacing w:after="0"/>
        <w:jc w:val="center"/>
        <w:rPr>
          <w:rFonts w:ascii="Times New Roman" w:hAnsi="Times New Roman"/>
          <w:b/>
        </w:rPr>
      </w:pPr>
      <w:r>
        <w:rPr>
          <w:rFonts w:ascii="Times New Roman" w:hAnsi="Times New Roman"/>
          <w:b/>
        </w:rPr>
        <w:t>MINISTRY OF PLANNING AND ECONOMIC DEVELOPMENT</w:t>
      </w:r>
    </w:p>
    <w:p w14:paraId="6938C5B4" w14:textId="77777777" w:rsidR="0083211F" w:rsidRPr="00C4470D" w:rsidRDefault="0083211F" w:rsidP="0083211F">
      <w:pPr>
        <w:spacing w:after="0"/>
        <w:jc w:val="center"/>
        <w:rPr>
          <w:rFonts w:ascii="Times New Roman" w:hAnsi="Times New Roman"/>
          <w:b/>
        </w:rPr>
      </w:pPr>
    </w:p>
    <w:p w14:paraId="42057E88" w14:textId="77777777" w:rsidR="0083211F" w:rsidRDefault="0083211F" w:rsidP="0083211F">
      <w:pPr>
        <w:pStyle w:val="ListParagraph"/>
        <w:tabs>
          <w:tab w:val="left" w:pos="426"/>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&lt;&gt;&lt;&gt;&lt;&gt;</w:t>
      </w:r>
    </w:p>
    <w:p w14:paraId="67D3EFB6" w14:textId="77777777" w:rsidR="0083211F" w:rsidRDefault="0083211F" w:rsidP="0083211F">
      <w:pPr>
        <w:pStyle w:val="ListParagraph"/>
        <w:tabs>
          <w:tab w:val="left" w:pos="426"/>
        </w:tabs>
        <w:spacing w:after="0" w:line="240" w:lineRule="auto"/>
        <w:ind w:left="0"/>
        <w:contextualSpacing w:val="0"/>
        <w:jc w:val="center"/>
        <w:rPr>
          <w:rFonts w:ascii="Times New Roman" w:hAnsi="Times New Roman" w:cs="Times New Roman"/>
          <w:b/>
          <w:sz w:val="24"/>
          <w:szCs w:val="24"/>
        </w:rPr>
      </w:pPr>
    </w:p>
    <w:p w14:paraId="489FFDD2" w14:textId="18E1ECE7" w:rsidR="007841B0" w:rsidRPr="005D725D" w:rsidRDefault="0003664C" w:rsidP="0083211F">
      <w:pPr>
        <w:pStyle w:val="ListParagraph"/>
        <w:tabs>
          <w:tab w:val="left" w:pos="426"/>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 xml:space="preserve">Revised </w:t>
      </w:r>
      <w:r w:rsidR="00534459">
        <w:rPr>
          <w:rFonts w:ascii="Times New Roman" w:hAnsi="Times New Roman" w:cs="Times New Roman"/>
          <w:b/>
          <w:sz w:val="24"/>
          <w:szCs w:val="24"/>
        </w:rPr>
        <w:t>Discussion</w:t>
      </w:r>
      <w:r w:rsidR="007841B0" w:rsidRPr="005D725D">
        <w:rPr>
          <w:rFonts w:ascii="Times New Roman" w:hAnsi="Times New Roman" w:cs="Times New Roman"/>
          <w:b/>
          <w:sz w:val="24"/>
          <w:szCs w:val="24"/>
        </w:rPr>
        <w:t xml:space="preserve"> Note on the Successor </w:t>
      </w:r>
      <w:r w:rsidR="0083211F">
        <w:rPr>
          <w:rFonts w:ascii="Times New Roman" w:hAnsi="Times New Roman" w:cs="Times New Roman"/>
          <w:b/>
          <w:sz w:val="24"/>
          <w:szCs w:val="24"/>
        </w:rPr>
        <w:t>t</w:t>
      </w:r>
      <w:r w:rsidR="007841B0" w:rsidRPr="005D725D">
        <w:rPr>
          <w:rFonts w:ascii="Times New Roman" w:hAnsi="Times New Roman" w:cs="Times New Roman"/>
          <w:b/>
          <w:sz w:val="24"/>
          <w:szCs w:val="24"/>
        </w:rPr>
        <w:t>o Sierra Leone’s Medium-Term National Development Plan</w:t>
      </w:r>
      <w:r w:rsidR="00B34955" w:rsidRPr="005D725D">
        <w:rPr>
          <w:rFonts w:ascii="Times New Roman" w:hAnsi="Times New Roman" w:cs="Times New Roman"/>
          <w:b/>
          <w:sz w:val="24"/>
          <w:szCs w:val="24"/>
        </w:rPr>
        <w:t xml:space="preserve"> 2019-2023</w:t>
      </w:r>
    </w:p>
    <w:p w14:paraId="3CD93FED" w14:textId="77777777" w:rsidR="0083211F" w:rsidRDefault="0083211F" w:rsidP="0083211F">
      <w:pPr>
        <w:pBdr>
          <w:bottom w:val="single" w:sz="6" w:space="1" w:color="auto"/>
        </w:pBdr>
        <w:spacing w:after="0" w:line="240" w:lineRule="auto"/>
        <w:jc w:val="center"/>
        <w:rPr>
          <w:rFonts w:ascii="Times New Roman" w:hAnsi="Times New Roman" w:cs="Times New Roman"/>
          <w:b/>
          <w:sz w:val="24"/>
          <w:szCs w:val="24"/>
        </w:rPr>
      </w:pPr>
    </w:p>
    <w:p w14:paraId="75762A61" w14:textId="3E339421" w:rsidR="007841B0" w:rsidRDefault="0003664C" w:rsidP="0083211F">
      <w:pPr>
        <w:pBdr>
          <w:bottom w:val="single" w:sz="6" w:space="1" w:color="auto"/>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r w:rsidR="00096F73">
        <w:rPr>
          <w:rFonts w:ascii="Times New Roman" w:hAnsi="Times New Roman" w:cs="Times New Roman"/>
          <w:b/>
          <w:sz w:val="24"/>
          <w:szCs w:val="24"/>
        </w:rPr>
        <w:t>/0</w:t>
      </w:r>
      <w:r>
        <w:rPr>
          <w:rFonts w:ascii="Times New Roman" w:hAnsi="Times New Roman" w:cs="Times New Roman"/>
          <w:b/>
          <w:sz w:val="24"/>
          <w:szCs w:val="24"/>
        </w:rPr>
        <w:t>8</w:t>
      </w:r>
      <w:r w:rsidR="00096F73">
        <w:rPr>
          <w:rFonts w:ascii="Times New Roman" w:hAnsi="Times New Roman" w:cs="Times New Roman"/>
          <w:b/>
          <w:sz w:val="24"/>
          <w:szCs w:val="24"/>
        </w:rPr>
        <w:t>/23</w:t>
      </w:r>
    </w:p>
    <w:p w14:paraId="5144CFC9" w14:textId="77777777" w:rsidR="0083211F" w:rsidRDefault="0083211F" w:rsidP="0083211F">
      <w:pPr>
        <w:pBdr>
          <w:bottom w:val="single" w:sz="6" w:space="1" w:color="auto"/>
        </w:pBdr>
        <w:spacing w:after="0" w:line="240" w:lineRule="auto"/>
        <w:rPr>
          <w:rFonts w:ascii="Times New Roman" w:hAnsi="Times New Roman" w:cs="Times New Roman"/>
          <w:b/>
          <w:sz w:val="24"/>
          <w:szCs w:val="24"/>
        </w:rPr>
      </w:pPr>
    </w:p>
    <w:p w14:paraId="57E4384C" w14:textId="77777777" w:rsidR="0083211F" w:rsidRDefault="0083211F" w:rsidP="0083211F">
      <w:pPr>
        <w:pBdr>
          <w:bottom w:val="single" w:sz="6" w:space="1" w:color="auto"/>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Forwarded by the Department of Planning, Policy and Research</w:t>
      </w:r>
    </w:p>
    <w:sdt>
      <w:sdtPr>
        <w:rPr>
          <w:rFonts w:asciiTheme="minorHAnsi" w:eastAsiaTheme="minorHAnsi" w:hAnsiTheme="minorHAnsi" w:cstheme="minorBidi"/>
          <w:color w:val="auto"/>
          <w:sz w:val="22"/>
          <w:szCs w:val="22"/>
        </w:rPr>
        <w:id w:val="705297619"/>
        <w:docPartObj>
          <w:docPartGallery w:val="Table of Contents"/>
          <w:docPartUnique/>
        </w:docPartObj>
      </w:sdtPr>
      <w:sdtEndPr>
        <w:rPr>
          <w:b/>
          <w:bCs/>
          <w:noProof/>
        </w:rPr>
      </w:sdtEndPr>
      <w:sdtContent>
        <w:p w14:paraId="69509320" w14:textId="77777777" w:rsidR="0083211F" w:rsidRPr="004931A3" w:rsidRDefault="0083211F">
          <w:pPr>
            <w:pStyle w:val="TOCHeading"/>
            <w:rPr>
              <w:b/>
            </w:rPr>
          </w:pPr>
          <w:r w:rsidRPr="004931A3">
            <w:rPr>
              <w:b/>
            </w:rPr>
            <w:t>Table of Contents</w:t>
          </w:r>
        </w:p>
        <w:p w14:paraId="53291275" w14:textId="77777777" w:rsidR="0083211F" w:rsidRDefault="0083211F" w:rsidP="0083211F">
          <w:pPr>
            <w:pStyle w:val="TOC1"/>
            <w:tabs>
              <w:tab w:val="right" w:leader="dot" w:pos="9350"/>
            </w:tabs>
            <w:spacing w:after="0" w:line="240" w:lineRule="auto"/>
            <w:rPr>
              <w:noProof/>
            </w:rPr>
          </w:pPr>
          <w:r>
            <w:fldChar w:fldCharType="begin"/>
          </w:r>
          <w:r>
            <w:instrText xml:space="preserve"> TOC \o "1-3" \h \z \u </w:instrText>
          </w:r>
          <w:r>
            <w:fldChar w:fldCharType="separate"/>
          </w:r>
          <w:hyperlink w:anchor="_Toc125729994" w:history="1">
            <w:r w:rsidRPr="00E22DF3">
              <w:rPr>
                <w:rStyle w:val="Hyperlink"/>
                <w:noProof/>
              </w:rPr>
              <w:t xml:space="preserve">A. </w:t>
            </w:r>
            <w:r w:rsidR="004931A3">
              <w:rPr>
                <w:rStyle w:val="Hyperlink"/>
                <w:noProof/>
              </w:rPr>
              <w:t xml:space="preserve">General </w:t>
            </w:r>
            <w:r w:rsidR="00B15FED">
              <w:rPr>
                <w:rStyle w:val="Hyperlink"/>
                <w:noProof/>
              </w:rPr>
              <w:t>b</w:t>
            </w:r>
            <w:r w:rsidR="004931A3">
              <w:rPr>
                <w:rStyle w:val="Hyperlink"/>
                <w:noProof/>
              </w:rPr>
              <w:t>ackground</w:t>
            </w:r>
            <w:r>
              <w:rPr>
                <w:noProof/>
                <w:webHidden/>
              </w:rPr>
              <w:tab/>
            </w:r>
            <w:r>
              <w:rPr>
                <w:noProof/>
                <w:webHidden/>
              </w:rPr>
              <w:fldChar w:fldCharType="begin"/>
            </w:r>
            <w:r>
              <w:rPr>
                <w:noProof/>
                <w:webHidden/>
              </w:rPr>
              <w:instrText xml:space="preserve"> PAGEREF _Toc125729994 \h </w:instrText>
            </w:r>
            <w:r>
              <w:rPr>
                <w:noProof/>
                <w:webHidden/>
              </w:rPr>
            </w:r>
            <w:r>
              <w:rPr>
                <w:noProof/>
                <w:webHidden/>
              </w:rPr>
              <w:fldChar w:fldCharType="separate"/>
            </w:r>
            <w:r>
              <w:rPr>
                <w:noProof/>
                <w:webHidden/>
              </w:rPr>
              <w:t>1</w:t>
            </w:r>
            <w:r>
              <w:rPr>
                <w:noProof/>
                <w:webHidden/>
              </w:rPr>
              <w:fldChar w:fldCharType="end"/>
            </w:r>
          </w:hyperlink>
        </w:p>
        <w:p w14:paraId="69B5F88E" w14:textId="77777777" w:rsidR="0083211F" w:rsidRDefault="00400627" w:rsidP="0083211F">
          <w:pPr>
            <w:pStyle w:val="TOC1"/>
            <w:tabs>
              <w:tab w:val="right" w:leader="dot" w:pos="9350"/>
            </w:tabs>
            <w:spacing w:after="0" w:line="240" w:lineRule="auto"/>
            <w:rPr>
              <w:noProof/>
            </w:rPr>
          </w:pPr>
          <w:hyperlink w:anchor="_Toc125729995" w:history="1">
            <w:r w:rsidR="0083211F" w:rsidRPr="00E22DF3">
              <w:rPr>
                <w:rStyle w:val="Hyperlink"/>
                <w:noProof/>
              </w:rPr>
              <w:t>B. Broad contexts and constraints the current plan has been implemented</w:t>
            </w:r>
            <w:r w:rsidR="0083211F">
              <w:rPr>
                <w:noProof/>
                <w:webHidden/>
              </w:rPr>
              <w:tab/>
            </w:r>
            <w:r w:rsidR="0083211F">
              <w:rPr>
                <w:noProof/>
                <w:webHidden/>
              </w:rPr>
              <w:fldChar w:fldCharType="begin"/>
            </w:r>
            <w:r w:rsidR="0083211F">
              <w:rPr>
                <w:noProof/>
                <w:webHidden/>
              </w:rPr>
              <w:instrText xml:space="preserve"> PAGEREF _Toc125729995 \h </w:instrText>
            </w:r>
            <w:r w:rsidR="0083211F">
              <w:rPr>
                <w:noProof/>
                <w:webHidden/>
              </w:rPr>
            </w:r>
            <w:r w:rsidR="0083211F">
              <w:rPr>
                <w:noProof/>
                <w:webHidden/>
              </w:rPr>
              <w:fldChar w:fldCharType="separate"/>
            </w:r>
            <w:r w:rsidR="0083211F">
              <w:rPr>
                <w:noProof/>
                <w:webHidden/>
              </w:rPr>
              <w:t>2</w:t>
            </w:r>
            <w:r w:rsidR="0083211F">
              <w:rPr>
                <w:noProof/>
                <w:webHidden/>
              </w:rPr>
              <w:fldChar w:fldCharType="end"/>
            </w:r>
          </w:hyperlink>
        </w:p>
        <w:p w14:paraId="050D4890" w14:textId="77777777" w:rsidR="0083211F" w:rsidRDefault="00400627" w:rsidP="0083211F">
          <w:pPr>
            <w:pStyle w:val="TOC1"/>
            <w:tabs>
              <w:tab w:val="right" w:leader="dot" w:pos="9350"/>
            </w:tabs>
            <w:spacing w:after="0" w:line="240" w:lineRule="auto"/>
            <w:rPr>
              <w:noProof/>
            </w:rPr>
          </w:pPr>
          <w:hyperlink w:anchor="_Toc125729996" w:history="1">
            <w:r w:rsidR="0083211F" w:rsidRPr="00E22DF3">
              <w:rPr>
                <w:rStyle w:val="Hyperlink"/>
                <w:noProof/>
              </w:rPr>
              <w:t>C. Summary of performance in the current plan implementation</w:t>
            </w:r>
            <w:r w:rsidR="0083211F">
              <w:rPr>
                <w:noProof/>
                <w:webHidden/>
              </w:rPr>
              <w:tab/>
            </w:r>
            <w:r w:rsidR="0083211F">
              <w:rPr>
                <w:noProof/>
                <w:webHidden/>
              </w:rPr>
              <w:fldChar w:fldCharType="begin"/>
            </w:r>
            <w:r w:rsidR="0083211F">
              <w:rPr>
                <w:noProof/>
                <w:webHidden/>
              </w:rPr>
              <w:instrText xml:space="preserve"> PAGEREF _Toc125729996 \h </w:instrText>
            </w:r>
            <w:r w:rsidR="0083211F">
              <w:rPr>
                <w:noProof/>
                <w:webHidden/>
              </w:rPr>
            </w:r>
            <w:r w:rsidR="0083211F">
              <w:rPr>
                <w:noProof/>
                <w:webHidden/>
              </w:rPr>
              <w:fldChar w:fldCharType="separate"/>
            </w:r>
            <w:r w:rsidR="0083211F">
              <w:rPr>
                <w:noProof/>
                <w:webHidden/>
              </w:rPr>
              <w:t>2</w:t>
            </w:r>
            <w:r w:rsidR="0083211F">
              <w:rPr>
                <w:noProof/>
                <w:webHidden/>
              </w:rPr>
              <w:fldChar w:fldCharType="end"/>
            </w:r>
          </w:hyperlink>
        </w:p>
        <w:p w14:paraId="69A58225" w14:textId="77777777" w:rsidR="0083211F" w:rsidRDefault="00400627" w:rsidP="0083211F">
          <w:pPr>
            <w:pStyle w:val="TOC1"/>
            <w:tabs>
              <w:tab w:val="right" w:leader="dot" w:pos="9350"/>
            </w:tabs>
            <w:spacing w:after="0" w:line="240" w:lineRule="auto"/>
            <w:rPr>
              <w:noProof/>
            </w:rPr>
          </w:pPr>
          <w:hyperlink w:anchor="_Toc125729997" w:history="1">
            <w:r w:rsidR="0083211F" w:rsidRPr="00E22DF3">
              <w:rPr>
                <w:rStyle w:val="Hyperlink"/>
                <w:noProof/>
              </w:rPr>
              <w:t>D. Challenges to implementation</w:t>
            </w:r>
            <w:r w:rsidR="0083211F">
              <w:rPr>
                <w:noProof/>
                <w:webHidden/>
              </w:rPr>
              <w:tab/>
            </w:r>
            <w:r w:rsidR="0083211F">
              <w:rPr>
                <w:noProof/>
                <w:webHidden/>
              </w:rPr>
              <w:fldChar w:fldCharType="begin"/>
            </w:r>
            <w:r w:rsidR="0083211F">
              <w:rPr>
                <w:noProof/>
                <w:webHidden/>
              </w:rPr>
              <w:instrText xml:space="preserve"> PAGEREF _Toc125729997 \h </w:instrText>
            </w:r>
            <w:r w:rsidR="0083211F">
              <w:rPr>
                <w:noProof/>
                <w:webHidden/>
              </w:rPr>
            </w:r>
            <w:r w:rsidR="0083211F">
              <w:rPr>
                <w:noProof/>
                <w:webHidden/>
              </w:rPr>
              <w:fldChar w:fldCharType="separate"/>
            </w:r>
            <w:r w:rsidR="0083211F">
              <w:rPr>
                <w:noProof/>
                <w:webHidden/>
              </w:rPr>
              <w:t>5</w:t>
            </w:r>
            <w:r w:rsidR="0083211F">
              <w:rPr>
                <w:noProof/>
                <w:webHidden/>
              </w:rPr>
              <w:fldChar w:fldCharType="end"/>
            </w:r>
          </w:hyperlink>
        </w:p>
        <w:p w14:paraId="0D7EAA60" w14:textId="77777777" w:rsidR="0083211F" w:rsidRDefault="00400627" w:rsidP="0083211F">
          <w:pPr>
            <w:pStyle w:val="TOC1"/>
            <w:tabs>
              <w:tab w:val="right" w:leader="dot" w:pos="9350"/>
            </w:tabs>
            <w:spacing w:after="0" w:line="240" w:lineRule="auto"/>
            <w:rPr>
              <w:noProof/>
            </w:rPr>
          </w:pPr>
          <w:hyperlink w:anchor="_Toc125729998" w:history="1">
            <w:r w:rsidR="0083211F" w:rsidRPr="00E22DF3">
              <w:rPr>
                <w:rStyle w:val="Hyperlink"/>
                <w:noProof/>
              </w:rPr>
              <w:t>E. Lessons learned</w:t>
            </w:r>
            <w:r w:rsidR="0083211F">
              <w:rPr>
                <w:noProof/>
                <w:webHidden/>
              </w:rPr>
              <w:tab/>
            </w:r>
            <w:r w:rsidR="0083211F">
              <w:rPr>
                <w:noProof/>
                <w:webHidden/>
              </w:rPr>
              <w:fldChar w:fldCharType="begin"/>
            </w:r>
            <w:r w:rsidR="0083211F">
              <w:rPr>
                <w:noProof/>
                <w:webHidden/>
              </w:rPr>
              <w:instrText xml:space="preserve"> PAGEREF _Toc125729998 \h </w:instrText>
            </w:r>
            <w:r w:rsidR="0083211F">
              <w:rPr>
                <w:noProof/>
                <w:webHidden/>
              </w:rPr>
            </w:r>
            <w:r w:rsidR="0083211F">
              <w:rPr>
                <w:noProof/>
                <w:webHidden/>
              </w:rPr>
              <w:fldChar w:fldCharType="separate"/>
            </w:r>
            <w:r w:rsidR="0083211F">
              <w:rPr>
                <w:noProof/>
                <w:webHidden/>
              </w:rPr>
              <w:t>5</w:t>
            </w:r>
            <w:r w:rsidR="0083211F">
              <w:rPr>
                <w:noProof/>
                <w:webHidden/>
              </w:rPr>
              <w:fldChar w:fldCharType="end"/>
            </w:r>
          </w:hyperlink>
        </w:p>
        <w:p w14:paraId="4F5ACBB0" w14:textId="77777777" w:rsidR="0083211F" w:rsidRDefault="00400627" w:rsidP="0083211F">
          <w:pPr>
            <w:pStyle w:val="TOC1"/>
            <w:tabs>
              <w:tab w:val="right" w:leader="dot" w:pos="9350"/>
            </w:tabs>
            <w:spacing w:after="0" w:line="240" w:lineRule="auto"/>
            <w:rPr>
              <w:noProof/>
            </w:rPr>
          </w:pPr>
          <w:hyperlink w:anchor="_Toc125729999" w:history="1">
            <w:r w:rsidR="004D2158">
              <w:rPr>
                <w:rStyle w:val="Hyperlink"/>
                <w:noProof/>
              </w:rPr>
              <w:t>F. Emerging strategic areas for c</w:t>
            </w:r>
            <w:r w:rsidR="0083211F" w:rsidRPr="00E22DF3">
              <w:rPr>
                <w:rStyle w:val="Hyperlink"/>
                <w:noProof/>
              </w:rPr>
              <w:t xml:space="preserve">onsideration in the </w:t>
            </w:r>
            <w:r w:rsidR="004D2158">
              <w:rPr>
                <w:rStyle w:val="Hyperlink"/>
                <w:noProof/>
              </w:rPr>
              <w:t>s</w:t>
            </w:r>
            <w:r w:rsidR="0083211F">
              <w:rPr>
                <w:rStyle w:val="Hyperlink"/>
                <w:noProof/>
              </w:rPr>
              <w:t>uccessor to the MTNDP</w:t>
            </w:r>
            <w:r w:rsidR="00ED57CA">
              <w:rPr>
                <w:rStyle w:val="Hyperlink"/>
                <w:noProof/>
              </w:rPr>
              <w:t xml:space="preserve"> 2019-2023</w:t>
            </w:r>
            <w:r w:rsidR="0083211F">
              <w:rPr>
                <w:noProof/>
                <w:webHidden/>
              </w:rPr>
              <w:tab/>
            </w:r>
            <w:r w:rsidR="0083211F">
              <w:rPr>
                <w:noProof/>
                <w:webHidden/>
              </w:rPr>
              <w:fldChar w:fldCharType="begin"/>
            </w:r>
            <w:r w:rsidR="0083211F">
              <w:rPr>
                <w:noProof/>
                <w:webHidden/>
              </w:rPr>
              <w:instrText xml:space="preserve"> PAGEREF _Toc125729999 \h </w:instrText>
            </w:r>
            <w:r w:rsidR="0083211F">
              <w:rPr>
                <w:noProof/>
                <w:webHidden/>
              </w:rPr>
            </w:r>
            <w:r w:rsidR="0083211F">
              <w:rPr>
                <w:noProof/>
                <w:webHidden/>
              </w:rPr>
              <w:fldChar w:fldCharType="separate"/>
            </w:r>
            <w:r w:rsidR="0083211F">
              <w:rPr>
                <w:noProof/>
                <w:webHidden/>
              </w:rPr>
              <w:t>6</w:t>
            </w:r>
            <w:r w:rsidR="0083211F">
              <w:rPr>
                <w:noProof/>
                <w:webHidden/>
              </w:rPr>
              <w:fldChar w:fldCharType="end"/>
            </w:r>
          </w:hyperlink>
        </w:p>
        <w:p w14:paraId="6944FC39" w14:textId="316F81AA" w:rsidR="0083211F" w:rsidRDefault="00400627" w:rsidP="0083211F">
          <w:pPr>
            <w:pStyle w:val="TOC1"/>
            <w:tabs>
              <w:tab w:val="right" w:leader="dot" w:pos="9350"/>
            </w:tabs>
            <w:spacing w:after="0" w:line="240" w:lineRule="auto"/>
            <w:rPr>
              <w:noProof/>
            </w:rPr>
          </w:pPr>
          <w:hyperlink w:anchor="_Toc125730000" w:history="1">
            <w:r w:rsidR="004D2158">
              <w:rPr>
                <w:rStyle w:val="Hyperlink"/>
                <w:noProof/>
              </w:rPr>
              <w:t>G. Proposed</w:t>
            </w:r>
            <w:r w:rsidR="0083211F" w:rsidRPr="00E22DF3">
              <w:rPr>
                <w:rStyle w:val="Hyperlink"/>
                <w:noProof/>
              </w:rPr>
              <w:t xml:space="preserve"> </w:t>
            </w:r>
            <w:r w:rsidR="00DF33C0">
              <w:rPr>
                <w:rStyle w:val="Hyperlink"/>
                <w:noProof/>
              </w:rPr>
              <w:t xml:space="preserve">direction and </w:t>
            </w:r>
            <w:r w:rsidR="00392A2B">
              <w:rPr>
                <w:rStyle w:val="Hyperlink"/>
                <w:noProof/>
              </w:rPr>
              <w:t>structure</w:t>
            </w:r>
            <w:r w:rsidR="0083211F" w:rsidRPr="00E22DF3">
              <w:rPr>
                <w:rStyle w:val="Hyperlink"/>
                <w:noProof/>
              </w:rPr>
              <w:t xml:space="preserve"> of the successor plan, MTNDP 2024-2028</w:t>
            </w:r>
            <w:r w:rsidR="0083211F">
              <w:rPr>
                <w:noProof/>
                <w:webHidden/>
              </w:rPr>
              <w:tab/>
            </w:r>
            <w:r w:rsidR="0083211F">
              <w:rPr>
                <w:noProof/>
                <w:webHidden/>
              </w:rPr>
              <w:fldChar w:fldCharType="begin"/>
            </w:r>
            <w:r w:rsidR="0083211F">
              <w:rPr>
                <w:noProof/>
                <w:webHidden/>
              </w:rPr>
              <w:instrText xml:space="preserve"> PAGEREF _Toc125730000 \h </w:instrText>
            </w:r>
            <w:r w:rsidR="0083211F">
              <w:rPr>
                <w:noProof/>
                <w:webHidden/>
              </w:rPr>
            </w:r>
            <w:r w:rsidR="0083211F">
              <w:rPr>
                <w:noProof/>
                <w:webHidden/>
              </w:rPr>
              <w:fldChar w:fldCharType="separate"/>
            </w:r>
            <w:r w:rsidR="0083211F">
              <w:rPr>
                <w:noProof/>
                <w:webHidden/>
              </w:rPr>
              <w:t>6</w:t>
            </w:r>
            <w:r w:rsidR="0083211F">
              <w:rPr>
                <w:noProof/>
                <w:webHidden/>
              </w:rPr>
              <w:fldChar w:fldCharType="end"/>
            </w:r>
          </w:hyperlink>
        </w:p>
        <w:p w14:paraId="168CF605" w14:textId="77777777" w:rsidR="0083211F" w:rsidRDefault="00400627" w:rsidP="0083211F">
          <w:pPr>
            <w:pStyle w:val="TOC1"/>
            <w:tabs>
              <w:tab w:val="right" w:leader="dot" w:pos="9350"/>
            </w:tabs>
            <w:spacing w:after="0" w:line="240" w:lineRule="auto"/>
            <w:rPr>
              <w:noProof/>
            </w:rPr>
          </w:pPr>
          <w:hyperlink w:anchor="_Toc125730008" w:history="1">
            <w:r w:rsidR="0083211F" w:rsidRPr="00E22DF3">
              <w:rPr>
                <w:rStyle w:val="Hyperlink"/>
                <w:noProof/>
              </w:rPr>
              <w:t>H. Conclusion</w:t>
            </w:r>
            <w:r w:rsidR="0083211F">
              <w:rPr>
                <w:noProof/>
                <w:webHidden/>
              </w:rPr>
              <w:tab/>
            </w:r>
            <w:r w:rsidR="0083211F">
              <w:rPr>
                <w:noProof/>
                <w:webHidden/>
              </w:rPr>
              <w:fldChar w:fldCharType="begin"/>
            </w:r>
            <w:r w:rsidR="0083211F">
              <w:rPr>
                <w:noProof/>
                <w:webHidden/>
              </w:rPr>
              <w:instrText xml:space="preserve"> PAGEREF _Toc125730008 \h </w:instrText>
            </w:r>
            <w:r w:rsidR="0083211F">
              <w:rPr>
                <w:noProof/>
                <w:webHidden/>
              </w:rPr>
            </w:r>
            <w:r w:rsidR="0083211F">
              <w:rPr>
                <w:noProof/>
                <w:webHidden/>
              </w:rPr>
              <w:fldChar w:fldCharType="separate"/>
            </w:r>
            <w:r w:rsidR="0083211F">
              <w:rPr>
                <w:noProof/>
                <w:webHidden/>
              </w:rPr>
              <w:t>7</w:t>
            </w:r>
            <w:r w:rsidR="0083211F">
              <w:rPr>
                <w:noProof/>
                <w:webHidden/>
              </w:rPr>
              <w:fldChar w:fldCharType="end"/>
            </w:r>
          </w:hyperlink>
        </w:p>
        <w:p w14:paraId="38C6D317" w14:textId="77777777" w:rsidR="004931A3" w:rsidRDefault="0083211F" w:rsidP="0083211F">
          <w:pPr>
            <w:pBdr>
              <w:bottom w:val="single" w:sz="6" w:space="1" w:color="auto"/>
            </w:pBdr>
            <w:spacing w:after="0" w:line="240" w:lineRule="auto"/>
            <w:rPr>
              <w:b/>
              <w:bCs/>
              <w:noProof/>
            </w:rPr>
          </w:pPr>
          <w:r>
            <w:rPr>
              <w:b/>
              <w:bCs/>
              <w:noProof/>
            </w:rPr>
            <w:fldChar w:fldCharType="end"/>
          </w:r>
        </w:p>
      </w:sdtContent>
    </w:sdt>
    <w:p w14:paraId="3E9CF8D1" w14:textId="77777777" w:rsidR="00EA3125" w:rsidRPr="004931A3" w:rsidRDefault="00602005" w:rsidP="004931A3">
      <w:pPr>
        <w:pStyle w:val="Heading1"/>
        <w:spacing w:before="360" w:after="240"/>
        <w:jc w:val="center"/>
        <w:rPr>
          <w:b/>
          <w:color w:val="0070C0"/>
        </w:rPr>
      </w:pPr>
      <w:bookmarkStart w:id="0" w:name="_Toc125729994"/>
      <w:r w:rsidRPr="004931A3">
        <w:rPr>
          <w:b/>
          <w:color w:val="0070C0"/>
        </w:rPr>
        <w:t xml:space="preserve">A. </w:t>
      </w:r>
      <w:r w:rsidR="004931A3">
        <w:rPr>
          <w:b/>
          <w:color w:val="0070C0"/>
        </w:rPr>
        <w:t xml:space="preserve">General </w:t>
      </w:r>
      <w:r w:rsidR="00CD6EE6">
        <w:rPr>
          <w:b/>
          <w:color w:val="0070C0"/>
        </w:rPr>
        <w:t>b</w:t>
      </w:r>
      <w:r w:rsidR="00EA3125" w:rsidRPr="004931A3">
        <w:rPr>
          <w:b/>
          <w:color w:val="0070C0"/>
        </w:rPr>
        <w:t xml:space="preserve">ackground </w:t>
      </w:r>
      <w:bookmarkEnd w:id="0"/>
    </w:p>
    <w:p w14:paraId="27022D23" w14:textId="567EF2A1" w:rsidR="00244F6E" w:rsidRPr="005D725D" w:rsidRDefault="00381F6A"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Sierra Leone is </w:t>
      </w:r>
      <w:r w:rsidR="00D735A0" w:rsidRPr="005D725D">
        <w:rPr>
          <w:rFonts w:ascii="Times New Roman" w:hAnsi="Times New Roman" w:cs="Times New Roman"/>
          <w:sz w:val="24"/>
          <w:szCs w:val="24"/>
        </w:rPr>
        <w:t>concluding the implementation of its fourth post-war national development plan</w:t>
      </w:r>
      <w:r w:rsidR="009B3DAB" w:rsidRPr="005D725D">
        <w:rPr>
          <w:rFonts w:ascii="Times New Roman" w:hAnsi="Times New Roman" w:cs="Times New Roman"/>
          <w:sz w:val="24"/>
          <w:szCs w:val="24"/>
        </w:rPr>
        <w:t xml:space="preserve"> </w:t>
      </w:r>
      <w:r w:rsidR="005B611F" w:rsidRPr="005D725D">
        <w:rPr>
          <w:rFonts w:ascii="Times New Roman" w:hAnsi="Times New Roman" w:cs="Times New Roman"/>
          <w:sz w:val="24"/>
          <w:szCs w:val="24"/>
        </w:rPr>
        <w:t>in</w:t>
      </w:r>
      <w:r w:rsidR="009B3DAB" w:rsidRPr="005D725D">
        <w:rPr>
          <w:rFonts w:ascii="Times New Roman" w:hAnsi="Times New Roman" w:cs="Times New Roman"/>
          <w:sz w:val="24"/>
          <w:szCs w:val="24"/>
        </w:rPr>
        <w:t xml:space="preserve"> 2023</w:t>
      </w:r>
      <w:r w:rsidR="00191EE0">
        <w:rPr>
          <w:rFonts w:ascii="Times New Roman" w:hAnsi="Times New Roman" w:cs="Times New Roman"/>
          <w:sz w:val="24"/>
          <w:szCs w:val="24"/>
        </w:rPr>
        <w:t>. As the previous</w:t>
      </w:r>
      <w:r w:rsidR="00AB04C2" w:rsidRPr="005D725D">
        <w:rPr>
          <w:rFonts w:ascii="Times New Roman" w:hAnsi="Times New Roman" w:cs="Times New Roman"/>
          <w:sz w:val="24"/>
          <w:szCs w:val="24"/>
        </w:rPr>
        <w:t xml:space="preserve"> </w:t>
      </w:r>
      <w:r w:rsidR="00191EE0">
        <w:rPr>
          <w:rFonts w:ascii="Times New Roman" w:hAnsi="Times New Roman" w:cs="Times New Roman"/>
          <w:sz w:val="24"/>
          <w:szCs w:val="24"/>
        </w:rPr>
        <w:t>plan</w:t>
      </w:r>
      <w:r w:rsidR="00933172">
        <w:rPr>
          <w:rFonts w:ascii="Times New Roman" w:hAnsi="Times New Roman" w:cs="Times New Roman"/>
          <w:sz w:val="24"/>
          <w:szCs w:val="24"/>
        </w:rPr>
        <w:t xml:space="preserve"> 2013-2018</w:t>
      </w:r>
      <w:r w:rsidR="00D735A0" w:rsidRPr="005D725D">
        <w:rPr>
          <w:rFonts w:ascii="Times New Roman" w:hAnsi="Times New Roman" w:cs="Times New Roman"/>
          <w:sz w:val="24"/>
          <w:szCs w:val="24"/>
        </w:rPr>
        <w:t>, the current Medium-Term National Development Plan</w:t>
      </w:r>
      <w:r w:rsidR="00AB04C2" w:rsidRPr="005D725D">
        <w:rPr>
          <w:rFonts w:ascii="Times New Roman" w:hAnsi="Times New Roman" w:cs="Times New Roman"/>
          <w:sz w:val="24"/>
          <w:szCs w:val="24"/>
        </w:rPr>
        <w:t xml:space="preserve"> (</w:t>
      </w:r>
      <w:r w:rsidR="008A4CAB" w:rsidRPr="005D725D">
        <w:rPr>
          <w:rFonts w:ascii="Times New Roman" w:hAnsi="Times New Roman" w:cs="Times New Roman"/>
          <w:sz w:val="24"/>
          <w:szCs w:val="24"/>
        </w:rPr>
        <w:t>MTNDP</w:t>
      </w:r>
      <w:r w:rsidR="00AB04C2" w:rsidRPr="005D725D">
        <w:rPr>
          <w:rFonts w:ascii="Times New Roman" w:hAnsi="Times New Roman" w:cs="Times New Roman"/>
          <w:sz w:val="24"/>
          <w:szCs w:val="24"/>
        </w:rPr>
        <w:t>)</w:t>
      </w:r>
      <w:r w:rsidR="00D735A0" w:rsidRPr="005D725D">
        <w:rPr>
          <w:rFonts w:ascii="Times New Roman" w:hAnsi="Times New Roman" w:cs="Times New Roman"/>
          <w:sz w:val="24"/>
          <w:szCs w:val="24"/>
        </w:rPr>
        <w:t xml:space="preserve"> was set for a five-year implementation period starting in 2019.</w:t>
      </w:r>
      <w:r w:rsidR="008A4CAB" w:rsidRPr="005D725D">
        <w:rPr>
          <w:rFonts w:ascii="Times New Roman" w:hAnsi="Times New Roman" w:cs="Times New Roman"/>
          <w:sz w:val="24"/>
          <w:szCs w:val="24"/>
        </w:rPr>
        <w:t xml:space="preserve"> </w:t>
      </w:r>
      <w:r w:rsidR="005B611F" w:rsidRPr="005D725D">
        <w:rPr>
          <w:rFonts w:ascii="Times New Roman" w:hAnsi="Times New Roman" w:cs="Times New Roman"/>
          <w:sz w:val="24"/>
          <w:szCs w:val="24"/>
        </w:rPr>
        <w:t>K</w:t>
      </w:r>
      <w:r w:rsidRPr="005D725D">
        <w:rPr>
          <w:rFonts w:ascii="Times New Roman" w:hAnsi="Times New Roman" w:cs="Times New Roman"/>
          <w:sz w:val="24"/>
          <w:szCs w:val="24"/>
        </w:rPr>
        <w:t xml:space="preserve">ey challenges encountered </w:t>
      </w:r>
      <w:r w:rsidR="005B611F" w:rsidRPr="005D725D">
        <w:rPr>
          <w:rFonts w:ascii="Times New Roman" w:hAnsi="Times New Roman" w:cs="Times New Roman"/>
          <w:sz w:val="24"/>
          <w:szCs w:val="24"/>
        </w:rPr>
        <w:t>in t</w:t>
      </w:r>
      <w:r w:rsidRPr="005D725D">
        <w:rPr>
          <w:rFonts w:ascii="Times New Roman" w:hAnsi="Times New Roman" w:cs="Times New Roman"/>
          <w:sz w:val="24"/>
          <w:szCs w:val="24"/>
        </w:rPr>
        <w:t xml:space="preserve">he preceding </w:t>
      </w:r>
      <w:r w:rsidR="009B3DAB" w:rsidRPr="005D725D">
        <w:rPr>
          <w:rFonts w:ascii="Times New Roman" w:hAnsi="Times New Roman" w:cs="Times New Roman"/>
          <w:sz w:val="24"/>
          <w:szCs w:val="24"/>
        </w:rPr>
        <w:t>plan</w:t>
      </w:r>
      <w:r w:rsidRPr="005D725D">
        <w:rPr>
          <w:rFonts w:ascii="Times New Roman" w:hAnsi="Times New Roman" w:cs="Times New Roman"/>
          <w:sz w:val="24"/>
          <w:szCs w:val="24"/>
        </w:rPr>
        <w:t xml:space="preserve"> </w:t>
      </w:r>
      <w:r w:rsidR="005B611F" w:rsidRPr="005D725D">
        <w:rPr>
          <w:rFonts w:ascii="Times New Roman" w:hAnsi="Times New Roman" w:cs="Times New Roman"/>
          <w:sz w:val="24"/>
          <w:szCs w:val="24"/>
        </w:rPr>
        <w:t xml:space="preserve">included </w:t>
      </w:r>
      <w:r w:rsidR="00007E27" w:rsidRPr="005D725D">
        <w:rPr>
          <w:rFonts w:ascii="Times New Roman" w:hAnsi="Times New Roman" w:cs="Times New Roman"/>
          <w:i/>
          <w:sz w:val="24"/>
          <w:szCs w:val="24"/>
        </w:rPr>
        <w:t>multiple external shocks</w:t>
      </w:r>
      <w:r w:rsidRPr="005D725D">
        <w:rPr>
          <w:rFonts w:ascii="Times New Roman" w:hAnsi="Times New Roman" w:cs="Times New Roman"/>
          <w:sz w:val="24"/>
          <w:szCs w:val="24"/>
        </w:rPr>
        <w:t xml:space="preserve"> and </w:t>
      </w:r>
      <w:r w:rsidR="00007E27" w:rsidRPr="005D725D">
        <w:rPr>
          <w:rFonts w:ascii="Times New Roman" w:hAnsi="Times New Roman" w:cs="Times New Roman"/>
          <w:i/>
          <w:sz w:val="24"/>
          <w:szCs w:val="24"/>
        </w:rPr>
        <w:t>weak governance across the public sector</w:t>
      </w:r>
      <w:r w:rsidR="00007E27" w:rsidRPr="005D725D">
        <w:rPr>
          <w:rFonts w:ascii="Times New Roman" w:hAnsi="Times New Roman" w:cs="Times New Roman"/>
          <w:sz w:val="24"/>
          <w:szCs w:val="24"/>
        </w:rPr>
        <w:t xml:space="preserve">. </w:t>
      </w:r>
      <w:r w:rsidR="00602122" w:rsidRPr="005D725D">
        <w:rPr>
          <w:rFonts w:ascii="Times New Roman" w:hAnsi="Times New Roman" w:cs="Times New Roman"/>
          <w:sz w:val="24"/>
          <w:szCs w:val="24"/>
        </w:rPr>
        <w:t xml:space="preserve">In 2018, </w:t>
      </w:r>
      <w:r w:rsidR="00007E27" w:rsidRPr="005D725D">
        <w:rPr>
          <w:rFonts w:ascii="Times New Roman" w:hAnsi="Times New Roman" w:cs="Times New Roman"/>
          <w:sz w:val="24"/>
          <w:szCs w:val="24"/>
        </w:rPr>
        <w:t>the New Direction</w:t>
      </w:r>
      <w:r w:rsidR="008A4CAB" w:rsidRPr="005D725D">
        <w:rPr>
          <w:rFonts w:ascii="Times New Roman" w:hAnsi="Times New Roman" w:cs="Times New Roman"/>
          <w:sz w:val="24"/>
          <w:szCs w:val="24"/>
        </w:rPr>
        <w:t xml:space="preserve"> Agenda</w:t>
      </w:r>
      <w:r w:rsidR="008E0EC4" w:rsidRPr="005D725D">
        <w:rPr>
          <w:rFonts w:ascii="Times New Roman" w:hAnsi="Times New Roman" w:cs="Times New Roman"/>
          <w:sz w:val="24"/>
          <w:szCs w:val="24"/>
        </w:rPr>
        <w:t xml:space="preserve"> </w:t>
      </w:r>
      <w:r w:rsidR="008A4CAB" w:rsidRPr="005D725D">
        <w:rPr>
          <w:rFonts w:ascii="Times New Roman" w:hAnsi="Times New Roman" w:cs="Times New Roman"/>
          <w:sz w:val="24"/>
          <w:szCs w:val="24"/>
        </w:rPr>
        <w:t>of Presi</w:t>
      </w:r>
      <w:r w:rsidR="00B34955" w:rsidRPr="005D725D">
        <w:rPr>
          <w:rFonts w:ascii="Times New Roman" w:hAnsi="Times New Roman" w:cs="Times New Roman"/>
          <w:sz w:val="24"/>
          <w:szCs w:val="24"/>
        </w:rPr>
        <w:t>dent Julius Maada Bio ushered</w:t>
      </w:r>
      <w:r w:rsidR="008A4CAB" w:rsidRPr="005D725D">
        <w:rPr>
          <w:rFonts w:ascii="Times New Roman" w:hAnsi="Times New Roman" w:cs="Times New Roman"/>
          <w:sz w:val="24"/>
          <w:szCs w:val="24"/>
        </w:rPr>
        <w:t xml:space="preserve"> </w:t>
      </w:r>
      <w:r w:rsidR="00602122" w:rsidRPr="005D725D">
        <w:rPr>
          <w:rFonts w:ascii="Times New Roman" w:hAnsi="Times New Roman" w:cs="Times New Roman"/>
          <w:sz w:val="24"/>
          <w:szCs w:val="24"/>
        </w:rPr>
        <w:t xml:space="preserve">a renewed vigour and determination in the public sector towards </w:t>
      </w:r>
      <w:r w:rsidR="001245DD" w:rsidRPr="005D725D">
        <w:rPr>
          <w:rFonts w:ascii="Times New Roman" w:hAnsi="Times New Roman" w:cs="Times New Roman"/>
          <w:sz w:val="24"/>
          <w:szCs w:val="24"/>
        </w:rPr>
        <w:t xml:space="preserve">producing a </w:t>
      </w:r>
      <w:r w:rsidR="00602122" w:rsidRPr="005D725D">
        <w:rPr>
          <w:rFonts w:ascii="Times New Roman" w:hAnsi="Times New Roman" w:cs="Times New Roman"/>
          <w:sz w:val="24"/>
          <w:szCs w:val="24"/>
        </w:rPr>
        <w:t>new</w:t>
      </w:r>
      <w:r w:rsidR="00EB61F3" w:rsidRPr="005D725D">
        <w:rPr>
          <w:rFonts w:ascii="Times New Roman" w:hAnsi="Times New Roman" w:cs="Times New Roman"/>
          <w:sz w:val="24"/>
          <w:szCs w:val="24"/>
        </w:rPr>
        <w:t xml:space="preserve"> </w:t>
      </w:r>
      <w:r w:rsidR="008A4CAB" w:rsidRPr="005D725D">
        <w:rPr>
          <w:rFonts w:ascii="Times New Roman" w:hAnsi="Times New Roman" w:cs="Times New Roman"/>
          <w:sz w:val="24"/>
          <w:szCs w:val="24"/>
        </w:rPr>
        <w:t xml:space="preserve">development plan </w:t>
      </w:r>
      <w:r w:rsidR="0067435E" w:rsidRPr="005D725D">
        <w:rPr>
          <w:rFonts w:ascii="Times New Roman" w:hAnsi="Times New Roman" w:cs="Times New Roman"/>
          <w:sz w:val="24"/>
          <w:szCs w:val="24"/>
        </w:rPr>
        <w:t xml:space="preserve">that will </w:t>
      </w:r>
      <w:r w:rsidR="00602122" w:rsidRPr="005D725D">
        <w:rPr>
          <w:rFonts w:ascii="Times New Roman" w:hAnsi="Times New Roman" w:cs="Times New Roman"/>
          <w:sz w:val="24"/>
          <w:szCs w:val="24"/>
        </w:rPr>
        <w:t xml:space="preserve">be </w:t>
      </w:r>
      <w:r w:rsidR="008A4CAB" w:rsidRPr="005D725D">
        <w:rPr>
          <w:rFonts w:ascii="Times New Roman" w:hAnsi="Times New Roman" w:cs="Times New Roman"/>
          <w:sz w:val="24"/>
          <w:szCs w:val="24"/>
        </w:rPr>
        <w:t xml:space="preserve">implemented </w:t>
      </w:r>
      <w:r w:rsidR="00602122" w:rsidRPr="005D725D">
        <w:rPr>
          <w:rFonts w:ascii="Times New Roman" w:hAnsi="Times New Roman" w:cs="Times New Roman"/>
          <w:sz w:val="24"/>
          <w:szCs w:val="24"/>
        </w:rPr>
        <w:t xml:space="preserve">on the back of </w:t>
      </w:r>
      <w:r w:rsidR="00244F6E" w:rsidRPr="005D725D">
        <w:rPr>
          <w:rFonts w:ascii="Times New Roman" w:hAnsi="Times New Roman" w:cs="Times New Roman"/>
          <w:sz w:val="24"/>
          <w:szCs w:val="24"/>
        </w:rPr>
        <w:t xml:space="preserve">a </w:t>
      </w:r>
      <w:r w:rsidR="00933172">
        <w:rPr>
          <w:rFonts w:ascii="Times New Roman" w:hAnsi="Times New Roman" w:cs="Times New Roman"/>
          <w:sz w:val="24"/>
          <w:szCs w:val="24"/>
        </w:rPr>
        <w:t xml:space="preserve">resilient economy and </w:t>
      </w:r>
      <w:r w:rsidR="00007E27" w:rsidRPr="005D725D">
        <w:rPr>
          <w:rFonts w:ascii="Times New Roman" w:hAnsi="Times New Roman" w:cs="Times New Roman"/>
          <w:sz w:val="24"/>
          <w:szCs w:val="24"/>
        </w:rPr>
        <w:t>sound national delivery mechanism</w:t>
      </w:r>
      <w:r w:rsidR="00244F6E" w:rsidRPr="005D725D">
        <w:rPr>
          <w:rFonts w:ascii="Times New Roman" w:hAnsi="Times New Roman" w:cs="Times New Roman"/>
          <w:sz w:val="24"/>
          <w:szCs w:val="24"/>
        </w:rPr>
        <w:t xml:space="preserve">. The </w:t>
      </w:r>
      <w:r w:rsidR="0067435E" w:rsidRPr="005D725D">
        <w:rPr>
          <w:rFonts w:ascii="Times New Roman" w:hAnsi="Times New Roman" w:cs="Times New Roman"/>
          <w:sz w:val="24"/>
          <w:szCs w:val="24"/>
        </w:rPr>
        <w:t>new</w:t>
      </w:r>
      <w:r w:rsidR="006A45D4" w:rsidRPr="005D725D">
        <w:rPr>
          <w:rFonts w:ascii="Times New Roman" w:hAnsi="Times New Roman" w:cs="Times New Roman"/>
          <w:sz w:val="24"/>
          <w:szCs w:val="24"/>
        </w:rPr>
        <w:t xml:space="preserve"> </w:t>
      </w:r>
      <w:r w:rsidR="00244F6E" w:rsidRPr="005D725D">
        <w:rPr>
          <w:rFonts w:ascii="Times New Roman" w:hAnsi="Times New Roman" w:cs="Times New Roman"/>
          <w:sz w:val="24"/>
          <w:szCs w:val="24"/>
        </w:rPr>
        <w:t xml:space="preserve">plan was launched in February 2019 with an </w:t>
      </w:r>
      <w:r w:rsidR="00007E27" w:rsidRPr="005D725D">
        <w:rPr>
          <w:rFonts w:ascii="Times New Roman" w:hAnsi="Times New Roman" w:cs="Times New Roman"/>
          <w:sz w:val="24"/>
          <w:szCs w:val="24"/>
        </w:rPr>
        <w:t xml:space="preserve">utmost political </w:t>
      </w:r>
      <w:r w:rsidR="00244F6E" w:rsidRPr="005D725D">
        <w:rPr>
          <w:rFonts w:ascii="Times New Roman" w:hAnsi="Times New Roman" w:cs="Times New Roman"/>
          <w:sz w:val="24"/>
          <w:szCs w:val="24"/>
        </w:rPr>
        <w:t xml:space="preserve">determination </w:t>
      </w:r>
      <w:r w:rsidR="006A45D4" w:rsidRPr="005D725D">
        <w:rPr>
          <w:rFonts w:ascii="Times New Roman" w:hAnsi="Times New Roman" w:cs="Times New Roman"/>
          <w:sz w:val="24"/>
          <w:szCs w:val="24"/>
        </w:rPr>
        <w:t xml:space="preserve">to </w:t>
      </w:r>
      <w:r w:rsidR="00007E27" w:rsidRPr="005D725D">
        <w:rPr>
          <w:rFonts w:ascii="Times New Roman" w:hAnsi="Times New Roman" w:cs="Times New Roman"/>
          <w:sz w:val="24"/>
          <w:szCs w:val="24"/>
        </w:rPr>
        <w:t>backstop</w:t>
      </w:r>
      <w:r w:rsidR="00244F6E" w:rsidRPr="005D725D">
        <w:rPr>
          <w:rFonts w:ascii="Times New Roman" w:hAnsi="Times New Roman" w:cs="Times New Roman"/>
          <w:sz w:val="24"/>
          <w:szCs w:val="24"/>
        </w:rPr>
        <w:t xml:space="preserve">, </w:t>
      </w:r>
      <w:r w:rsidR="00007E27" w:rsidRPr="005D725D">
        <w:rPr>
          <w:rFonts w:ascii="Times New Roman" w:hAnsi="Times New Roman" w:cs="Times New Roman"/>
          <w:sz w:val="24"/>
          <w:szCs w:val="24"/>
        </w:rPr>
        <w:t xml:space="preserve">expedite and sustain </w:t>
      </w:r>
      <w:r w:rsidR="00706C4F">
        <w:rPr>
          <w:rFonts w:ascii="Times New Roman" w:hAnsi="Times New Roman" w:cs="Times New Roman"/>
          <w:sz w:val="24"/>
          <w:szCs w:val="24"/>
        </w:rPr>
        <w:t xml:space="preserve">optimal </w:t>
      </w:r>
      <w:r w:rsidR="00007E27" w:rsidRPr="005D725D">
        <w:rPr>
          <w:rFonts w:ascii="Times New Roman" w:hAnsi="Times New Roman" w:cs="Times New Roman"/>
          <w:sz w:val="24"/>
          <w:szCs w:val="24"/>
        </w:rPr>
        <w:t>public service delivery.</w:t>
      </w:r>
    </w:p>
    <w:p w14:paraId="198A6EEF" w14:textId="77777777" w:rsidR="008E0EC4" w:rsidRPr="005D725D" w:rsidRDefault="008E0EC4"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The </w:t>
      </w:r>
      <w:r w:rsidR="004203B6">
        <w:rPr>
          <w:rFonts w:ascii="Times New Roman" w:hAnsi="Times New Roman" w:cs="Times New Roman"/>
          <w:sz w:val="24"/>
          <w:szCs w:val="24"/>
        </w:rPr>
        <w:t>MTNDP 2019-2023</w:t>
      </w:r>
      <w:r w:rsidRPr="005D725D">
        <w:rPr>
          <w:rFonts w:ascii="Times New Roman" w:hAnsi="Times New Roman" w:cs="Times New Roman"/>
          <w:sz w:val="24"/>
          <w:szCs w:val="24"/>
        </w:rPr>
        <w:t xml:space="preserve"> </w:t>
      </w:r>
      <w:r w:rsidR="006A45D4" w:rsidRPr="005D725D">
        <w:rPr>
          <w:rFonts w:ascii="Times New Roman" w:hAnsi="Times New Roman" w:cs="Times New Roman"/>
          <w:sz w:val="24"/>
          <w:szCs w:val="24"/>
        </w:rPr>
        <w:t xml:space="preserve">placed </w:t>
      </w:r>
      <w:r w:rsidRPr="005D725D">
        <w:rPr>
          <w:rFonts w:ascii="Times New Roman" w:hAnsi="Times New Roman" w:cs="Times New Roman"/>
          <w:i/>
          <w:sz w:val="24"/>
          <w:szCs w:val="24"/>
        </w:rPr>
        <w:t>human capital development</w:t>
      </w:r>
      <w:r w:rsidRPr="005D725D">
        <w:rPr>
          <w:rFonts w:ascii="Times New Roman" w:hAnsi="Times New Roman" w:cs="Times New Roman"/>
          <w:sz w:val="24"/>
          <w:szCs w:val="24"/>
        </w:rPr>
        <w:t xml:space="preserve"> at the highest pinnacle </w:t>
      </w:r>
      <w:r w:rsidR="001245DD" w:rsidRPr="005D725D">
        <w:rPr>
          <w:rFonts w:ascii="Times New Roman" w:hAnsi="Times New Roman" w:cs="Times New Roman"/>
          <w:sz w:val="24"/>
          <w:szCs w:val="24"/>
        </w:rPr>
        <w:t xml:space="preserve">of the </w:t>
      </w:r>
      <w:r w:rsidR="006A45D4" w:rsidRPr="005D725D">
        <w:rPr>
          <w:rFonts w:ascii="Times New Roman" w:hAnsi="Times New Roman" w:cs="Times New Roman"/>
          <w:sz w:val="24"/>
          <w:szCs w:val="24"/>
        </w:rPr>
        <w:t>government’s agenda. It</w:t>
      </w:r>
      <w:r w:rsidR="001245DD" w:rsidRPr="005D725D">
        <w:rPr>
          <w:rFonts w:ascii="Times New Roman" w:hAnsi="Times New Roman" w:cs="Times New Roman"/>
          <w:sz w:val="24"/>
          <w:szCs w:val="24"/>
        </w:rPr>
        <w:t xml:space="preserve"> </w:t>
      </w:r>
      <w:r w:rsidR="00747821" w:rsidRPr="005D725D">
        <w:rPr>
          <w:rFonts w:ascii="Times New Roman" w:hAnsi="Times New Roman" w:cs="Times New Roman"/>
          <w:sz w:val="24"/>
          <w:szCs w:val="24"/>
        </w:rPr>
        <w:t>prioritis</w:t>
      </w:r>
      <w:r w:rsidR="006A45D4" w:rsidRPr="005D725D">
        <w:rPr>
          <w:rFonts w:ascii="Times New Roman" w:hAnsi="Times New Roman" w:cs="Times New Roman"/>
          <w:sz w:val="24"/>
          <w:szCs w:val="24"/>
        </w:rPr>
        <w:t xml:space="preserve">ed </w:t>
      </w:r>
      <w:r w:rsidR="00747821" w:rsidRPr="005D725D">
        <w:rPr>
          <w:rFonts w:ascii="Times New Roman" w:hAnsi="Times New Roman" w:cs="Times New Roman"/>
          <w:sz w:val="24"/>
          <w:szCs w:val="24"/>
        </w:rPr>
        <w:t>educ</w:t>
      </w:r>
      <w:r w:rsidR="001245DD" w:rsidRPr="005D725D">
        <w:rPr>
          <w:rFonts w:ascii="Times New Roman" w:hAnsi="Times New Roman" w:cs="Times New Roman"/>
          <w:sz w:val="24"/>
          <w:szCs w:val="24"/>
        </w:rPr>
        <w:t>ation, healthcare and nutrition</w:t>
      </w:r>
      <w:r w:rsidR="007B03C2" w:rsidRPr="005D725D">
        <w:rPr>
          <w:rFonts w:ascii="Times New Roman" w:hAnsi="Times New Roman" w:cs="Times New Roman"/>
          <w:sz w:val="24"/>
          <w:szCs w:val="24"/>
        </w:rPr>
        <w:t>, utmost</w:t>
      </w:r>
      <w:r w:rsidR="00734C6B">
        <w:rPr>
          <w:rFonts w:ascii="Times New Roman" w:hAnsi="Times New Roman" w:cs="Times New Roman"/>
          <w:sz w:val="24"/>
          <w:szCs w:val="24"/>
        </w:rPr>
        <w:t>;</w:t>
      </w:r>
      <w:r w:rsidRPr="005D725D">
        <w:rPr>
          <w:rFonts w:ascii="Times New Roman" w:hAnsi="Times New Roman" w:cs="Times New Roman"/>
          <w:sz w:val="24"/>
          <w:szCs w:val="24"/>
        </w:rPr>
        <w:t xml:space="preserve"> while determined to i</w:t>
      </w:r>
      <w:r w:rsidR="00747821" w:rsidRPr="005D725D">
        <w:rPr>
          <w:rFonts w:ascii="Times New Roman" w:hAnsi="Times New Roman" w:cs="Times New Roman"/>
          <w:sz w:val="24"/>
          <w:szCs w:val="24"/>
        </w:rPr>
        <w:t>ncrease domestic revenue mobilis</w:t>
      </w:r>
      <w:r w:rsidRPr="005D725D">
        <w:rPr>
          <w:rFonts w:ascii="Times New Roman" w:hAnsi="Times New Roman" w:cs="Times New Roman"/>
          <w:sz w:val="24"/>
          <w:szCs w:val="24"/>
        </w:rPr>
        <w:t>ation, improve</w:t>
      </w:r>
      <w:r w:rsidR="00007E27" w:rsidRPr="005D725D">
        <w:rPr>
          <w:rFonts w:ascii="Times New Roman" w:hAnsi="Times New Roman" w:cs="Times New Roman"/>
          <w:sz w:val="24"/>
          <w:szCs w:val="24"/>
        </w:rPr>
        <w:t xml:space="preserve"> national and </w:t>
      </w:r>
      <w:r w:rsidRPr="005D725D">
        <w:rPr>
          <w:rFonts w:ascii="Times New Roman" w:hAnsi="Times New Roman" w:cs="Times New Roman"/>
          <w:sz w:val="24"/>
          <w:szCs w:val="24"/>
        </w:rPr>
        <w:t>sectoral governance</w:t>
      </w:r>
      <w:r w:rsidR="006A45D4" w:rsidRPr="005D725D">
        <w:rPr>
          <w:rFonts w:ascii="Times New Roman" w:hAnsi="Times New Roman" w:cs="Times New Roman"/>
          <w:sz w:val="24"/>
          <w:szCs w:val="24"/>
        </w:rPr>
        <w:t>,</w:t>
      </w:r>
      <w:r w:rsidRPr="005D725D">
        <w:rPr>
          <w:rFonts w:ascii="Times New Roman" w:hAnsi="Times New Roman" w:cs="Times New Roman"/>
          <w:sz w:val="24"/>
          <w:szCs w:val="24"/>
        </w:rPr>
        <w:t xml:space="preserve"> and build</w:t>
      </w:r>
      <w:r w:rsidR="00007E27" w:rsidRPr="005D725D">
        <w:rPr>
          <w:rFonts w:ascii="Times New Roman" w:hAnsi="Times New Roman" w:cs="Times New Roman"/>
          <w:sz w:val="24"/>
          <w:szCs w:val="24"/>
        </w:rPr>
        <w:t xml:space="preserve"> and maintain </w:t>
      </w:r>
      <w:r w:rsidRPr="005D725D">
        <w:rPr>
          <w:rFonts w:ascii="Times New Roman" w:hAnsi="Times New Roman" w:cs="Times New Roman"/>
          <w:sz w:val="24"/>
          <w:szCs w:val="24"/>
        </w:rPr>
        <w:t xml:space="preserve">peace and </w:t>
      </w:r>
      <w:r w:rsidR="00007E27" w:rsidRPr="005D725D">
        <w:rPr>
          <w:rFonts w:ascii="Times New Roman" w:hAnsi="Times New Roman" w:cs="Times New Roman"/>
          <w:sz w:val="24"/>
          <w:szCs w:val="24"/>
        </w:rPr>
        <w:t>national cohes</w:t>
      </w:r>
      <w:r w:rsidR="006A45D4" w:rsidRPr="005D725D">
        <w:rPr>
          <w:rFonts w:ascii="Times New Roman" w:hAnsi="Times New Roman" w:cs="Times New Roman"/>
          <w:sz w:val="24"/>
          <w:szCs w:val="24"/>
        </w:rPr>
        <w:t xml:space="preserve">ion for delivery of </w:t>
      </w:r>
      <w:r w:rsidR="00007E27" w:rsidRPr="005D725D">
        <w:rPr>
          <w:rFonts w:ascii="Times New Roman" w:hAnsi="Times New Roman" w:cs="Times New Roman"/>
          <w:sz w:val="24"/>
          <w:szCs w:val="24"/>
        </w:rPr>
        <w:t xml:space="preserve">sustainable development results. </w:t>
      </w:r>
      <w:r w:rsidR="00D735A0" w:rsidRPr="005D725D">
        <w:rPr>
          <w:rFonts w:ascii="Times New Roman" w:hAnsi="Times New Roman" w:cs="Times New Roman"/>
          <w:sz w:val="24"/>
          <w:szCs w:val="24"/>
        </w:rPr>
        <w:t xml:space="preserve"> </w:t>
      </w:r>
    </w:p>
    <w:p w14:paraId="6ECE8AC8" w14:textId="77777777" w:rsidR="008E0EC4" w:rsidRPr="005D725D" w:rsidRDefault="006A45D4"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The g</w:t>
      </w:r>
      <w:r w:rsidR="008E0EC4" w:rsidRPr="005D725D">
        <w:rPr>
          <w:rFonts w:ascii="Times New Roman" w:hAnsi="Times New Roman" w:cs="Times New Roman"/>
          <w:sz w:val="24"/>
          <w:szCs w:val="24"/>
        </w:rPr>
        <w:t xml:space="preserve">overnment </w:t>
      </w:r>
      <w:r w:rsidR="00E340F0" w:rsidRPr="005D725D">
        <w:rPr>
          <w:rFonts w:ascii="Times New Roman" w:hAnsi="Times New Roman" w:cs="Times New Roman"/>
          <w:sz w:val="24"/>
          <w:szCs w:val="24"/>
        </w:rPr>
        <w:t xml:space="preserve">remained focused on pursuing </w:t>
      </w:r>
      <w:r w:rsidR="008E0EC4" w:rsidRPr="005D725D">
        <w:rPr>
          <w:rFonts w:ascii="Times New Roman" w:hAnsi="Times New Roman" w:cs="Times New Roman"/>
          <w:sz w:val="24"/>
          <w:szCs w:val="24"/>
        </w:rPr>
        <w:t xml:space="preserve">Sierra Leone’s </w:t>
      </w:r>
      <w:r w:rsidR="00F4786E" w:rsidRPr="00F4786E">
        <w:rPr>
          <w:rFonts w:ascii="Times New Roman" w:hAnsi="Times New Roman" w:cs="Times New Roman"/>
          <w:i/>
          <w:sz w:val="24"/>
          <w:szCs w:val="24"/>
        </w:rPr>
        <w:t>vision</w:t>
      </w:r>
      <w:r w:rsidR="008E0EC4" w:rsidRPr="005D725D">
        <w:rPr>
          <w:rFonts w:ascii="Times New Roman" w:hAnsi="Times New Roman" w:cs="Times New Roman"/>
          <w:sz w:val="24"/>
          <w:szCs w:val="24"/>
        </w:rPr>
        <w:t xml:space="preserve"> of becoming a middle income country by 2035</w:t>
      </w:r>
      <w:r w:rsidR="00E340F0" w:rsidRPr="005D725D">
        <w:rPr>
          <w:rFonts w:ascii="Times New Roman" w:hAnsi="Times New Roman" w:cs="Times New Roman"/>
          <w:sz w:val="24"/>
          <w:szCs w:val="24"/>
        </w:rPr>
        <w:t>/40: a</w:t>
      </w:r>
      <w:r w:rsidR="008E0EC4" w:rsidRPr="005D725D">
        <w:rPr>
          <w:rFonts w:ascii="Times New Roman" w:hAnsi="Times New Roman" w:cs="Times New Roman"/>
          <w:sz w:val="24"/>
          <w:szCs w:val="24"/>
        </w:rPr>
        <w:t xml:space="preserve"> time when we </w:t>
      </w:r>
      <w:r w:rsidR="00E340F0" w:rsidRPr="005D725D">
        <w:rPr>
          <w:rFonts w:ascii="Times New Roman" w:hAnsi="Times New Roman" w:cs="Times New Roman"/>
          <w:sz w:val="24"/>
          <w:szCs w:val="24"/>
        </w:rPr>
        <w:t xml:space="preserve">had </w:t>
      </w:r>
      <w:r w:rsidR="008E0EC4" w:rsidRPr="005D725D">
        <w:rPr>
          <w:rFonts w:ascii="Times New Roman" w:hAnsi="Times New Roman" w:cs="Times New Roman"/>
          <w:sz w:val="24"/>
          <w:szCs w:val="24"/>
        </w:rPr>
        <w:t>hope</w:t>
      </w:r>
      <w:r w:rsidR="00E340F0" w:rsidRPr="005D725D">
        <w:rPr>
          <w:rFonts w:ascii="Times New Roman" w:hAnsi="Times New Roman" w:cs="Times New Roman"/>
          <w:sz w:val="24"/>
          <w:szCs w:val="24"/>
        </w:rPr>
        <w:t>d</w:t>
      </w:r>
      <w:r w:rsidR="008E0EC4" w:rsidRPr="005D725D">
        <w:rPr>
          <w:rFonts w:ascii="Times New Roman" w:hAnsi="Times New Roman" w:cs="Times New Roman"/>
          <w:sz w:val="24"/>
          <w:szCs w:val="24"/>
        </w:rPr>
        <w:t xml:space="preserve"> to ensure a stable, export-led economy, </w:t>
      </w:r>
      <w:r w:rsidR="008E0EC4" w:rsidRPr="005D725D">
        <w:rPr>
          <w:rFonts w:ascii="Times New Roman" w:hAnsi="Times New Roman" w:cs="Times New Roman"/>
          <w:sz w:val="24"/>
          <w:szCs w:val="24"/>
        </w:rPr>
        <w:lastRenderedPageBreak/>
        <w:t xml:space="preserve">based on sound macroeconomic fundamentals, with inflation not more than 5 percent; government revenues standing at least 30 percent of GDP; over 80 percent of the national population living above income poverty line, with no more than 5 percent of Sierra Leoneans out of decent jobs; when over 90 percent of the population will be able to read and write, and all have access to affordable housing; healthcare and delivery system will be housed within not more than 10 kilometre radius of every village; and having  life expectancy of at least 70 years, with every mother having access to a modern hospital in which she can give birth without fear. </w:t>
      </w:r>
    </w:p>
    <w:p w14:paraId="04AF1132" w14:textId="3E38253B" w:rsidR="00F4786E" w:rsidRPr="00F4786E" w:rsidRDefault="00F4786E"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This vision was articulated to be pursued through successive implementation of five-year national development plan</w:t>
      </w:r>
      <w:r w:rsidR="00375698">
        <w:rPr>
          <w:rFonts w:ascii="Times New Roman" w:hAnsi="Times New Roman" w:cs="Times New Roman"/>
          <w:sz w:val="24"/>
          <w:szCs w:val="24"/>
        </w:rPr>
        <w:t>s</w:t>
      </w:r>
      <w:r>
        <w:rPr>
          <w:rFonts w:ascii="Times New Roman" w:hAnsi="Times New Roman" w:cs="Times New Roman"/>
          <w:sz w:val="24"/>
          <w:szCs w:val="24"/>
        </w:rPr>
        <w:t xml:space="preserve">. The </w:t>
      </w:r>
      <w:r w:rsidR="00933172" w:rsidRPr="00933172">
        <w:rPr>
          <w:rFonts w:ascii="Times New Roman" w:hAnsi="Times New Roman" w:cs="Times New Roman"/>
          <w:i/>
          <w:iCs/>
          <w:sz w:val="24"/>
          <w:szCs w:val="24"/>
        </w:rPr>
        <w:t>2023</w:t>
      </w:r>
      <w:r w:rsidR="00933172">
        <w:rPr>
          <w:rFonts w:ascii="Times New Roman" w:hAnsi="Times New Roman" w:cs="Times New Roman"/>
          <w:sz w:val="24"/>
          <w:szCs w:val="24"/>
        </w:rPr>
        <w:t xml:space="preserve"> </w:t>
      </w:r>
      <w:r w:rsidRPr="00DE2E63">
        <w:rPr>
          <w:rFonts w:ascii="Times New Roman" w:hAnsi="Times New Roman" w:cs="Times New Roman"/>
          <w:i/>
          <w:sz w:val="24"/>
          <w:szCs w:val="24"/>
        </w:rPr>
        <w:t>national goals</w:t>
      </w:r>
      <w:r w:rsidR="00DE2E63">
        <w:rPr>
          <w:rFonts w:ascii="Times New Roman" w:hAnsi="Times New Roman" w:cs="Times New Roman"/>
          <w:i/>
          <w:sz w:val="24"/>
          <w:szCs w:val="24"/>
        </w:rPr>
        <w:t xml:space="preserve"> </w:t>
      </w:r>
      <w:r>
        <w:rPr>
          <w:rFonts w:ascii="Times New Roman" w:hAnsi="Times New Roman" w:cs="Times New Roman"/>
          <w:sz w:val="24"/>
          <w:szCs w:val="24"/>
        </w:rPr>
        <w:t xml:space="preserve">of the current plan, MTNDP 2019-2023, are: a) </w:t>
      </w:r>
      <w:r w:rsidR="00DE2E63">
        <w:rPr>
          <w:rFonts w:ascii="Times New Roman" w:hAnsi="Times New Roman" w:cs="Times New Roman"/>
          <w:sz w:val="24"/>
          <w:szCs w:val="24"/>
        </w:rPr>
        <w:t xml:space="preserve">to have </w:t>
      </w:r>
      <w:r w:rsidRPr="00DE2E63">
        <w:rPr>
          <w:rFonts w:ascii="Times New Roman" w:hAnsi="Times New Roman" w:cs="Times New Roman"/>
          <w:sz w:val="24"/>
          <w:szCs w:val="24"/>
        </w:rPr>
        <w:t xml:space="preserve">a diversified, resilient green economy; </w:t>
      </w:r>
      <w:r w:rsidR="007A5C66">
        <w:rPr>
          <w:rFonts w:ascii="Times New Roman" w:hAnsi="Times New Roman" w:cs="Times New Roman"/>
          <w:sz w:val="24"/>
          <w:szCs w:val="24"/>
        </w:rPr>
        <w:t xml:space="preserve">b) </w:t>
      </w:r>
      <w:r w:rsidRPr="00DE2E63">
        <w:rPr>
          <w:rFonts w:ascii="Times New Roman" w:hAnsi="Times New Roman" w:cs="Times New Roman"/>
          <w:sz w:val="24"/>
          <w:szCs w:val="24"/>
        </w:rPr>
        <w:t xml:space="preserve">a nation with educated, empowered, and healthy citizens capable of realising their fullest potential; </w:t>
      </w:r>
      <w:r w:rsidR="007A5C66">
        <w:rPr>
          <w:rFonts w:ascii="Times New Roman" w:hAnsi="Times New Roman" w:cs="Times New Roman"/>
          <w:sz w:val="24"/>
          <w:szCs w:val="24"/>
        </w:rPr>
        <w:t xml:space="preserve">c) </w:t>
      </w:r>
      <w:r w:rsidRPr="00DE2E63">
        <w:rPr>
          <w:rFonts w:ascii="Times New Roman" w:hAnsi="Times New Roman" w:cs="Times New Roman"/>
          <w:sz w:val="24"/>
          <w:szCs w:val="24"/>
        </w:rPr>
        <w:t xml:space="preserve">a society that is peaceful, cohesive, secure, and just; and </w:t>
      </w:r>
      <w:r w:rsidR="007A5C66">
        <w:rPr>
          <w:rFonts w:ascii="Times New Roman" w:hAnsi="Times New Roman" w:cs="Times New Roman"/>
          <w:sz w:val="24"/>
          <w:szCs w:val="24"/>
        </w:rPr>
        <w:t xml:space="preserve">d) </w:t>
      </w:r>
      <w:r w:rsidRPr="00DE2E63">
        <w:rPr>
          <w:rFonts w:ascii="Times New Roman" w:hAnsi="Times New Roman" w:cs="Times New Roman"/>
          <w:sz w:val="24"/>
          <w:szCs w:val="24"/>
        </w:rPr>
        <w:t>a competitive economy with a well-developed infrastructure</w:t>
      </w:r>
      <w:r w:rsidR="00DE484B">
        <w:rPr>
          <w:rFonts w:ascii="Times New Roman" w:hAnsi="Times New Roman" w:cs="Times New Roman"/>
          <w:sz w:val="24"/>
          <w:szCs w:val="24"/>
        </w:rPr>
        <w:t>.</w:t>
      </w:r>
    </w:p>
    <w:p w14:paraId="4B336C6D" w14:textId="22D9E817" w:rsidR="00571481" w:rsidRPr="005D725D" w:rsidRDefault="00F4786E"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734C6B">
        <w:rPr>
          <w:rFonts w:ascii="Times New Roman" w:hAnsi="Times New Roman" w:cs="Times New Roman"/>
          <w:sz w:val="24"/>
          <w:szCs w:val="24"/>
        </w:rPr>
        <w:t>The government</w:t>
      </w:r>
      <w:r w:rsidR="00370FF0" w:rsidRPr="005D725D">
        <w:rPr>
          <w:rFonts w:ascii="Times New Roman" w:hAnsi="Times New Roman" w:cs="Times New Roman"/>
          <w:sz w:val="24"/>
          <w:szCs w:val="24"/>
        </w:rPr>
        <w:t xml:space="preserve"> ensured that the </w:t>
      </w:r>
      <w:r w:rsidR="003C3463">
        <w:rPr>
          <w:rFonts w:ascii="Times New Roman" w:hAnsi="Times New Roman" w:cs="Times New Roman"/>
          <w:sz w:val="24"/>
          <w:szCs w:val="24"/>
        </w:rPr>
        <w:t xml:space="preserve">current </w:t>
      </w:r>
      <w:r w:rsidR="001E4730">
        <w:rPr>
          <w:rFonts w:ascii="Times New Roman" w:hAnsi="Times New Roman" w:cs="Times New Roman"/>
          <w:sz w:val="24"/>
          <w:szCs w:val="24"/>
        </w:rPr>
        <w:t xml:space="preserve">plan </w:t>
      </w:r>
      <w:r w:rsidR="003C3463">
        <w:rPr>
          <w:rFonts w:ascii="Times New Roman" w:hAnsi="Times New Roman" w:cs="Times New Roman"/>
          <w:sz w:val="24"/>
          <w:szCs w:val="24"/>
        </w:rPr>
        <w:t xml:space="preserve">was </w:t>
      </w:r>
      <w:r w:rsidR="00370FF0" w:rsidRPr="005D725D">
        <w:rPr>
          <w:rFonts w:ascii="Times New Roman" w:hAnsi="Times New Roman" w:cs="Times New Roman"/>
          <w:sz w:val="24"/>
          <w:szCs w:val="24"/>
        </w:rPr>
        <w:t xml:space="preserve">strongly aligned to the United Nations </w:t>
      </w:r>
      <w:r w:rsidR="0076444A" w:rsidRPr="005D725D">
        <w:rPr>
          <w:rFonts w:ascii="Times New Roman" w:hAnsi="Times New Roman" w:cs="Times New Roman"/>
          <w:sz w:val="24"/>
          <w:szCs w:val="24"/>
        </w:rPr>
        <w:t>2030 A</w:t>
      </w:r>
      <w:r w:rsidR="00370FF0" w:rsidRPr="005D725D">
        <w:rPr>
          <w:rFonts w:ascii="Times New Roman" w:hAnsi="Times New Roman" w:cs="Times New Roman"/>
          <w:sz w:val="24"/>
          <w:szCs w:val="24"/>
        </w:rPr>
        <w:t>genda</w:t>
      </w:r>
      <w:r w:rsidR="0076444A" w:rsidRPr="005D725D">
        <w:rPr>
          <w:rFonts w:ascii="Times New Roman" w:hAnsi="Times New Roman" w:cs="Times New Roman"/>
          <w:sz w:val="24"/>
          <w:szCs w:val="24"/>
        </w:rPr>
        <w:t>/</w:t>
      </w:r>
      <w:r w:rsidR="00370FF0" w:rsidRPr="005D725D">
        <w:rPr>
          <w:rFonts w:ascii="Times New Roman" w:hAnsi="Times New Roman" w:cs="Times New Roman"/>
          <w:sz w:val="24"/>
          <w:szCs w:val="24"/>
        </w:rPr>
        <w:t xml:space="preserve">Sustainable Development Goals (SDGs) and the African Union Agenda 2063, whose implementation was perceived to have direct </w:t>
      </w:r>
      <w:r w:rsidR="00EA40EB">
        <w:rPr>
          <w:rFonts w:ascii="Times New Roman" w:hAnsi="Times New Roman" w:cs="Times New Roman"/>
          <w:sz w:val="24"/>
          <w:szCs w:val="24"/>
        </w:rPr>
        <w:t xml:space="preserve">relation </w:t>
      </w:r>
      <w:r w:rsidR="00370FF0" w:rsidRPr="005D725D">
        <w:rPr>
          <w:rFonts w:ascii="Times New Roman" w:hAnsi="Times New Roman" w:cs="Times New Roman"/>
          <w:sz w:val="24"/>
          <w:szCs w:val="24"/>
        </w:rPr>
        <w:t>to achieving Sierra Leone’s development aspirations.</w:t>
      </w:r>
    </w:p>
    <w:p w14:paraId="0ED37375" w14:textId="77777777" w:rsidR="004F4071" w:rsidRPr="005D725D" w:rsidRDefault="006A2DF5"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In light of the above</w:t>
      </w:r>
      <w:r w:rsidR="00571481" w:rsidRPr="005D725D">
        <w:rPr>
          <w:rFonts w:ascii="Times New Roman" w:hAnsi="Times New Roman" w:cs="Times New Roman"/>
          <w:sz w:val="24"/>
          <w:szCs w:val="24"/>
        </w:rPr>
        <w:t>, t</w:t>
      </w:r>
      <w:r w:rsidR="004F03AD" w:rsidRPr="005D725D">
        <w:rPr>
          <w:rFonts w:ascii="Times New Roman" w:hAnsi="Times New Roman" w:cs="Times New Roman"/>
          <w:sz w:val="24"/>
          <w:szCs w:val="24"/>
        </w:rPr>
        <w:t xml:space="preserve">he </w:t>
      </w:r>
      <w:r w:rsidR="004F03AD" w:rsidRPr="005D725D">
        <w:rPr>
          <w:rFonts w:ascii="Times New Roman" w:hAnsi="Times New Roman" w:cs="Times New Roman"/>
          <w:b/>
          <w:i/>
          <w:sz w:val="24"/>
          <w:szCs w:val="24"/>
        </w:rPr>
        <w:t>objective</w:t>
      </w:r>
      <w:r w:rsidR="004F03AD" w:rsidRPr="005D725D">
        <w:rPr>
          <w:rFonts w:ascii="Times New Roman" w:hAnsi="Times New Roman" w:cs="Times New Roman"/>
          <w:sz w:val="24"/>
          <w:szCs w:val="24"/>
        </w:rPr>
        <w:t xml:space="preserve"> of this </w:t>
      </w:r>
      <w:r w:rsidR="006A45D4" w:rsidRPr="005D725D">
        <w:rPr>
          <w:rFonts w:ascii="Times New Roman" w:hAnsi="Times New Roman" w:cs="Times New Roman"/>
          <w:i/>
          <w:sz w:val="24"/>
          <w:szCs w:val="24"/>
        </w:rPr>
        <w:t>concept</w:t>
      </w:r>
      <w:r w:rsidR="004F03AD" w:rsidRPr="005D725D">
        <w:rPr>
          <w:rFonts w:ascii="Times New Roman" w:hAnsi="Times New Roman" w:cs="Times New Roman"/>
          <w:i/>
          <w:sz w:val="24"/>
          <w:szCs w:val="24"/>
        </w:rPr>
        <w:t xml:space="preserve"> note</w:t>
      </w:r>
      <w:r w:rsidR="004F03AD" w:rsidRPr="005D725D">
        <w:rPr>
          <w:rFonts w:ascii="Times New Roman" w:hAnsi="Times New Roman" w:cs="Times New Roman"/>
          <w:sz w:val="24"/>
          <w:szCs w:val="24"/>
        </w:rPr>
        <w:t xml:space="preserve"> is </w:t>
      </w:r>
      <w:r w:rsidRPr="005D725D">
        <w:rPr>
          <w:rFonts w:ascii="Times New Roman" w:hAnsi="Times New Roman" w:cs="Times New Roman"/>
          <w:sz w:val="24"/>
          <w:szCs w:val="24"/>
        </w:rPr>
        <w:t xml:space="preserve">to </w:t>
      </w:r>
      <w:r w:rsidR="004F03AD" w:rsidRPr="005D725D">
        <w:rPr>
          <w:rFonts w:ascii="Times New Roman" w:hAnsi="Times New Roman" w:cs="Times New Roman"/>
          <w:sz w:val="24"/>
          <w:szCs w:val="24"/>
        </w:rPr>
        <w:t xml:space="preserve">kick-start </w:t>
      </w:r>
      <w:r w:rsidRPr="005D725D">
        <w:rPr>
          <w:rFonts w:ascii="Times New Roman" w:hAnsi="Times New Roman" w:cs="Times New Roman"/>
          <w:sz w:val="24"/>
          <w:szCs w:val="24"/>
        </w:rPr>
        <w:t xml:space="preserve">initial </w:t>
      </w:r>
      <w:r w:rsidR="004F03AD" w:rsidRPr="005D725D">
        <w:rPr>
          <w:rFonts w:ascii="Times New Roman" w:hAnsi="Times New Roman" w:cs="Times New Roman"/>
          <w:sz w:val="24"/>
          <w:szCs w:val="24"/>
        </w:rPr>
        <w:t xml:space="preserve">discussions on the formulation of the </w:t>
      </w:r>
      <w:r w:rsidR="00EB61F3" w:rsidRPr="005D725D">
        <w:rPr>
          <w:rFonts w:ascii="Times New Roman" w:hAnsi="Times New Roman" w:cs="Times New Roman"/>
          <w:sz w:val="24"/>
          <w:szCs w:val="24"/>
        </w:rPr>
        <w:t>successor</w:t>
      </w:r>
      <w:r w:rsidR="004F03AD" w:rsidRPr="005D725D">
        <w:rPr>
          <w:rFonts w:ascii="Times New Roman" w:hAnsi="Times New Roman" w:cs="Times New Roman"/>
          <w:sz w:val="24"/>
          <w:szCs w:val="24"/>
        </w:rPr>
        <w:t xml:space="preserve"> to the </w:t>
      </w:r>
      <w:r w:rsidRPr="005D725D">
        <w:rPr>
          <w:rFonts w:ascii="Times New Roman" w:hAnsi="Times New Roman" w:cs="Times New Roman"/>
          <w:sz w:val="24"/>
          <w:szCs w:val="24"/>
        </w:rPr>
        <w:t>MTNDP 2019-2023</w:t>
      </w:r>
      <w:r w:rsidR="004F03AD" w:rsidRPr="005D725D">
        <w:rPr>
          <w:rFonts w:ascii="Times New Roman" w:hAnsi="Times New Roman" w:cs="Times New Roman"/>
          <w:sz w:val="24"/>
          <w:szCs w:val="24"/>
        </w:rPr>
        <w:t xml:space="preserve">, which ends this year. </w:t>
      </w:r>
      <w:r w:rsidR="00EB61F3" w:rsidRPr="005D725D">
        <w:rPr>
          <w:rFonts w:ascii="Times New Roman" w:hAnsi="Times New Roman" w:cs="Times New Roman"/>
          <w:sz w:val="24"/>
          <w:szCs w:val="24"/>
        </w:rPr>
        <w:t>The specific objective</w:t>
      </w:r>
      <w:r w:rsidR="00590206" w:rsidRPr="005D725D">
        <w:rPr>
          <w:rFonts w:ascii="Times New Roman" w:hAnsi="Times New Roman" w:cs="Times New Roman"/>
          <w:sz w:val="24"/>
          <w:szCs w:val="24"/>
        </w:rPr>
        <w:t xml:space="preserve"> is to begin the identification of </w:t>
      </w:r>
      <w:r w:rsidR="00EB61F3" w:rsidRPr="005D725D">
        <w:rPr>
          <w:rFonts w:ascii="Times New Roman" w:hAnsi="Times New Roman" w:cs="Times New Roman"/>
          <w:sz w:val="24"/>
          <w:szCs w:val="24"/>
        </w:rPr>
        <w:t xml:space="preserve">a </w:t>
      </w:r>
      <w:r w:rsidR="00590206" w:rsidRPr="005D725D">
        <w:rPr>
          <w:rFonts w:ascii="Times New Roman" w:hAnsi="Times New Roman" w:cs="Times New Roman"/>
          <w:sz w:val="24"/>
          <w:szCs w:val="24"/>
        </w:rPr>
        <w:t>broad strate</w:t>
      </w:r>
      <w:r w:rsidR="00EB61F3" w:rsidRPr="005D725D">
        <w:rPr>
          <w:rFonts w:ascii="Times New Roman" w:hAnsi="Times New Roman" w:cs="Times New Roman"/>
          <w:sz w:val="24"/>
          <w:szCs w:val="24"/>
        </w:rPr>
        <w:t>gic direction to inform the successor</w:t>
      </w:r>
      <w:r w:rsidR="00590206" w:rsidRPr="005D725D">
        <w:rPr>
          <w:rFonts w:ascii="Times New Roman" w:hAnsi="Times New Roman" w:cs="Times New Roman"/>
          <w:sz w:val="24"/>
          <w:szCs w:val="24"/>
        </w:rPr>
        <w:t xml:space="preserve"> plan. </w:t>
      </w:r>
      <w:r w:rsidR="006A45D4" w:rsidRPr="005D725D">
        <w:rPr>
          <w:rFonts w:ascii="Times New Roman" w:hAnsi="Times New Roman" w:cs="Times New Roman"/>
          <w:sz w:val="24"/>
          <w:szCs w:val="24"/>
        </w:rPr>
        <w:t xml:space="preserve">The note presents a set of already identified </w:t>
      </w:r>
      <w:r w:rsidR="00240523" w:rsidRPr="005D725D">
        <w:rPr>
          <w:rFonts w:ascii="Times New Roman" w:hAnsi="Times New Roman" w:cs="Times New Roman"/>
          <w:sz w:val="24"/>
          <w:szCs w:val="24"/>
        </w:rPr>
        <w:t>emerging strategic policy areas</w:t>
      </w:r>
      <w:r w:rsidR="0098201D" w:rsidRPr="005D725D">
        <w:rPr>
          <w:rFonts w:ascii="Times New Roman" w:hAnsi="Times New Roman" w:cs="Times New Roman"/>
          <w:sz w:val="24"/>
          <w:szCs w:val="24"/>
        </w:rPr>
        <w:t xml:space="preserve"> to be part of the discussions</w:t>
      </w:r>
      <w:r w:rsidR="00240523" w:rsidRPr="005D725D">
        <w:rPr>
          <w:rFonts w:ascii="Times New Roman" w:hAnsi="Times New Roman" w:cs="Times New Roman"/>
          <w:sz w:val="24"/>
          <w:szCs w:val="24"/>
        </w:rPr>
        <w:t xml:space="preserve"> to</w:t>
      </w:r>
      <w:r w:rsidR="0098201D" w:rsidRPr="005D725D">
        <w:rPr>
          <w:rFonts w:ascii="Times New Roman" w:hAnsi="Times New Roman" w:cs="Times New Roman"/>
          <w:sz w:val="24"/>
          <w:szCs w:val="24"/>
        </w:rPr>
        <w:t>wards</w:t>
      </w:r>
      <w:r w:rsidR="00240523" w:rsidRPr="005D725D">
        <w:rPr>
          <w:rFonts w:ascii="Times New Roman" w:hAnsi="Times New Roman" w:cs="Times New Roman"/>
          <w:sz w:val="24"/>
          <w:szCs w:val="24"/>
        </w:rPr>
        <w:t xml:space="preserve"> inform</w:t>
      </w:r>
      <w:r w:rsidR="0098201D" w:rsidRPr="005D725D">
        <w:rPr>
          <w:rFonts w:ascii="Times New Roman" w:hAnsi="Times New Roman" w:cs="Times New Roman"/>
          <w:sz w:val="24"/>
          <w:szCs w:val="24"/>
        </w:rPr>
        <w:t>ing</w:t>
      </w:r>
      <w:r w:rsidR="00240523" w:rsidRPr="005D725D">
        <w:rPr>
          <w:rFonts w:ascii="Times New Roman" w:hAnsi="Times New Roman" w:cs="Times New Roman"/>
          <w:sz w:val="24"/>
          <w:szCs w:val="24"/>
        </w:rPr>
        <w:t xml:space="preserve"> the next national development plan, reflecting on what has been achieved in the </w:t>
      </w:r>
      <w:r w:rsidR="00EB61F3" w:rsidRPr="005D725D">
        <w:rPr>
          <w:rFonts w:ascii="Times New Roman" w:hAnsi="Times New Roman" w:cs="Times New Roman"/>
          <w:sz w:val="24"/>
          <w:szCs w:val="24"/>
        </w:rPr>
        <w:t xml:space="preserve">current </w:t>
      </w:r>
      <w:r w:rsidR="00240523" w:rsidRPr="005D725D">
        <w:rPr>
          <w:rFonts w:ascii="Times New Roman" w:hAnsi="Times New Roman" w:cs="Times New Roman"/>
          <w:sz w:val="24"/>
          <w:szCs w:val="24"/>
        </w:rPr>
        <w:t xml:space="preserve">plan </w:t>
      </w:r>
      <w:r w:rsidR="0098201D" w:rsidRPr="005D725D">
        <w:rPr>
          <w:rFonts w:ascii="Times New Roman" w:hAnsi="Times New Roman" w:cs="Times New Roman"/>
          <w:sz w:val="24"/>
          <w:szCs w:val="24"/>
        </w:rPr>
        <w:t>s</w:t>
      </w:r>
      <w:r w:rsidR="005A544A" w:rsidRPr="005D725D">
        <w:rPr>
          <w:rFonts w:ascii="Times New Roman" w:hAnsi="Times New Roman" w:cs="Times New Roman"/>
          <w:sz w:val="24"/>
          <w:szCs w:val="24"/>
        </w:rPr>
        <w:t>o far</w:t>
      </w:r>
      <w:r w:rsidR="0098201D" w:rsidRPr="005D725D">
        <w:rPr>
          <w:rFonts w:ascii="Times New Roman" w:hAnsi="Times New Roman" w:cs="Times New Roman"/>
          <w:sz w:val="24"/>
          <w:szCs w:val="24"/>
        </w:rPr>
        <w:t>, including challenges and lessons learned</w:t>
      </w:r>
      <w:r w:rsidR="005A544A" w:rsidRPr="005D725D">
        <w:rPr>
          <w:rFonts w:ascii="Times New Roman" w:hAnsi="Times New Roman" w:cs="Times New Roman"/>
          <w:sz w:val="24"/>
          <w:szCs w:val="24"/>
        </w:rPr>
        <w:t xml:space="preserve">. </w:t>
      </w:r>
    </w:p>
    <w:p w14:paraId="61010B85" w14:textId="44583A9E" w:rsidR="004F4071" w:rsidRPr="004931A3" w:rsidRDefault="00602005" w:rsidP="004931A3">
      <w:pPr>
        <w:pStyle w:val="Heading1"/>
        <w:spacing w:before="360" w:after="240" w:line="240" w:lineRule="auto"/>
        <w:jc w:val="center"/>
        <w:rPr>
          <w:b/>
          <w:color w:val="0070C0"/>
        </w:rPr>
      </w:pPr>
      <w:bookmarkStart w:id="1" w:name="_Toc125729995"/>
      <w:r w:rsidRPr="004931A3">
        <w:rPr>
          <w:b/>
          <w:color w:val="0070C0"/>
        </w:rPr>
        <w:t xml:space="preserve">B. </w:t>
      </w:r>
      <w:r w:rsidR="007B03C2" w:rsidRPr="004931A3">
        <w:rPr>
          <w:b/>
          <w:color w:val="0070C0"/>
        </w:rPr>
        <w:t>Broad c</w:t>
      </w:r>
      <w:r w:rsidR="00443468" w:rsidRPr="004931A3">
        <w:rPr>
          <w:b/>
          <w:color w:val="0070C0"/>
        </w:rPr>
        <w:t>onte</w:t>
      </w:r>
      <w:r w:rsidR="007B03C2" w:rsidRPr="004931A3">
        <w:rPr>
          <w:b/>
          <w:color w:val="0070C0"/>
        </w:rPr>
        <w:t xml:space="preserve">xts and constraints </w:t>
      </w:r>
      <w:r w:rsidR="005B2CF1">
        <w:rPr>
          <w:b/>
          <w:color w:val="0070C0"/>
        </w:rPr>
        <w:t xml:space="preserve">to </w:t>
      </w:r>
      <w:r w:rsidR="007B03C2" w:rsidRPr="004931A3">
        <w:rPr>
          <w:b/>
          <w:color w:val="0070C0"/>
        </w:rPr>
        <w:t>the</w:t>
      </w:r>
      <w:r w:rsidR="00443468" w:rsidRPr="004931A3">
        <w:rPr>
          <w:b/>
          <w:color w:val="0070C0"/>
        </w:rPr>
        <w:t xml:space="preserve"> current plan </w:t>
      </w:r>
      <w:bookmarkEnd w:id="1"/>
    </w:p>
    <w:p w14:paraId="0023DA1E" w14:textId="2A8E991D" w:rsidR="004F4071" w:rsidRPr="005D725D" w:rsidRDefault="00602005"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At the launch of the MTNDP in February 2019, Sierra Leone was </w:t>
      </w:r>
      <w:r w:rsidR="00443468" w:rsidRPr="005D725D">
        <w:rPr>
          <w:rFonts w:ascii="Times New Roman" w:hAnsi="Times New Roman" w:cs="Times New Roman"/>
          <w:sz w:val="24"/>
          <w:szCs w:val="24"/>
        </w:rPr>
        <w:t xml:space="preserve">on a promising trajectory for </w:t>
      </w:r>
      <w:r w:rsidR="004F4071" w:rsidRPr="005D725D">
        <w:rPr>
          <w:rFonts w:ascii="Times New Roman" w:hAnsi="Times New Roman" w:cs="Times New Roman"/>
          <w:sz w:val="24"/>
          <w:szCs w:val="24"/>
        </w:rPr>
        <w:t xml:space="preserve">sustained </w:t>
      </w:r>
      <w:r w:rsidR="00443468" w:rsidRPr="005D725D">
        <w:rPr>
          <w:rFonts w:ascii="Times New Roman" w:hAnsi="Times New Roman" w:cs="Times New Roman"/>
          <w:sz w:val="24"/>
          <w:szCs w:val="24"/>
        </w:rPr>
        <w:t>GDP growth and revenue generation</w:t>
      </w:r>
      <w:r w:rsidRPr="005D725D">
        <w:rPr>
          <w:rFonts w:ascii="Times New Roman" w:hAnsi="Times New Roman" w:cs="Times New Roman"/>
          <w:sz w:val="24"/>
          <w:szCs w:val="24"/>
        </w:rPr>
        <w:t xml:space="preserve"> </w:t>
      </w:r>
      <w:r w:rsidR="004F4071" w:rsidRPr="005D725D">
        <w:rPr>
          <w:rFonts w:ascii="Times New Roman" w:hAnsi="Times New Roman" w:cs="Times New Roman"/>
          <w:sz w:val="24"/>
          <w:szCs w:val="24"/>
        </w:rPr>
        <w:t xml:space="preserve">to </w:t>
      </w:r>
      <w:r w:rsidRPr="005D725D">
        <w:rPr>
          <w:rFonts w:ascii="Times New Roman" w:hAnsi="Times New Roman" w:cs="Times New Roman"/>
          <w:sz w:val="24"/>
          <w:szCs w:val="24"/>
        </w:rPr>
        <w:t>financ</w:t>
      </w:r>
      <w:r w:rsidR="004F4071" w:rsidRPr="005D725D">
        <w:rPr>
          <w:rFonts w:ascii="Times New Roman" w:hAnsi="Times New Roman" w:cs="Times New Roman"/>
          <w:sz w:val="24"/>
          <w:szCs w:val="24"/>
        </w:rPr>
        <w:t xml:space="preserve">e </w:t>
      </w:r>
      <w:r w:rsidRPr="005D725D">
        <w:rPr>
          <w:rFonts w:ascii="Times New Roman" w:hAnsi="Times New Roman" w:cs="Times New Roman"/>
          <w:sz w:val="24"/>
          <w:szCs w:val="24"/>
        </w:rPr>
        <w:t xml:space="preserve">public </w:t>
      </w:r>
      <w:r w:rsidR="00CA4A25">
        <w:rPr>
          <w:rFonts w:ascii="Times New Roman" w:hAnsi="Times New Roman" w:cs="Times New Roman"/>
          <w:sz w:val="24"/>
          <w:szCs w:val="24"/>
        </w:rPr>
        <w:t xml:space="preserve">development </w:t>
      </w:r>
      <w:r w:rsidRPr="005D725D">
        <w:rPr>
          <w:rFonts w:ascii="Times New Roman" w:hAnsi="Times New Roman" w:cs="Times New Roman"/>
          <w:sz w:val="24"/>
          <w:szCs w:val="24"/>
        </w:rPr>
        <w:t>programmes</w:t>
      </w:r>
      <w:r w:rsidR="004F4071" w:rsidRPr="005D725D">
        <w:rPr>
          <w:rFonts w:ascii="Times New Roman" w:hAnsi="Times New Roman" w:cs="Times New Roman"/>
          <w:sz w:val="24"/>
          <w:szCs w:val="24"/>
        </w:rPr>
        <w:t>. G</w:t>
      </w:r>
      <w:r w:rsidR="00443468" w:rsidRPr="005D725D">
        <w:rPr>
          <w:rFonts w:ascii="Times New Roman" w:hAnsi="Times New Roman" w:cs="Times New Roman"/>
          <w:sz w:val="24"/>
          <w:szCs w:val="24"/>
        </w:rPr>
        <w:t>rowth had increased to</w:t>
      </w:r>
      <w:r w:rsidR="007B03C2" w:rsidRPr="005D725D">
        <w:rPr>
          <w:rFonts w:ascii="Times New Roman" w:hAnsi="Times New Roman" w:cs="Times New Roman"/>
          <w:sz w:val="24"/>
          <w:szCs w:val="24"/>
        </w:rPr>
        <w:t xml:space="preserve"> 5.3 percent in 2019, from 3.5 percent</w:t>
      </w:r>
      <w:r w:rsidR="004F4071" w:rsidRPr="005D725D">
        <w:rPr>
          <w:rFonts w:ascii="Times New Roman" w:hAnsi="Times New Roman" w:cs="Times New Roman"/>
          <w:sz w:val="24"/>
          <w:szCs w:val="24"/>
        </w:rPr>
        <w:t xml:space="preserve"> in 2018; and was</w:t>
      </w:r>
      <w:r w:rsidR="00443468" w:rsidRPr="005D725D">
        <w:rPr>
          <w:rFonts w:ascii="Times New Roman" w:hAnsi="Times New Roman" w:cs="Times New Roman"/>
          <w:sz w:val="24"/>
          <w:szCs w:val="24"/>
        </w:rPr>
        <w:t xml:space="preserve"> projected to </w:t>
      </w:r>
      <w:r w:rsidR="00526B84">
        <w:rPr>
          <w:rFonts w:ascii="Times New Roman" w:hAnsi="Times New Roman" w:cs="Times New Roman"/>
          <w:sz w:val="24"/>
          <w:szCs w:val="24"/>
        </w:rPr>
        <w:t xml:space="preserve">positively </w:t>
      </w:r>
      <w:r w:rsidR="007B03C2" w:rsidRPr="005D725D">
        <w:rPr>
          <w:rFonts w:ascii="Times New Roman" w:hAnsi="Times New Roman" w:cs="Times New Roman"/>
          <w:sz w:val="24"/>
          <w:szCs w:val="24"/>
        </w:rPr>
        <w:t>hover around 4.3 percent</w:t>
      </w:r>
      <w:r w:rsidR="00443468" w:rsidRPr="005D725D">
        <w:rPr>
          <w:rFonts w:ascii="Times New Roman" w:hAnsi="Times New Roman" w:cs="Times New Roman"/>
          <w:sz w:val="24"/>
          <w:szCs w:val="24"/>
        </w:rPr>
        <w:t xml:space="preserve"> in 2020.</w:t>
      </w:r>
    </w:p>
    <w:p w14:paraId="7A735A7B" w14:textId="77777777" w:rsidR="004F4071" w:rsidRPr="005D725D" w:rsidRDefault="004F4071"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Unfortunately, </w:t>
      </w:r>
      <w:r w:rsidRPr="005D725D">
        <w:rPr>
          <w:rFonts w:ascii="Times New Roman" w:hAnsi="Times New Roman" w:cs="Times New Roman"/>
          <w:b/>
          <w:i/>
          <w:sz w:val="24"/>
          <w:szCs w:val="24"/>
        </w:rPr>
        <w:t>nine</w:t>
      </w:r>
      <w:r w:rsidR="00084AFE" w:rsidRPr="005D725D">
        <w:rPr>
          <w:rFonts w:ascii="Times New Roman" w:hAnsi="Times New Roman" w:cs="Times New Roman"/>
          <w:sz w:val="24"/>
          <w:szCs w:val="24"/>
        </w:rPr>
        <w:t xml:space="preserve"> months following the launch of the MTNDP, </w:t>
      </w:r>
      <w:r w:rsidR="00086D95" w:rsidRPr="005D725D">
        <w:rPr>
          <w:rFonts w:ascii="Times New Roman" w:hAnsi="Times New Roman" w:cs="Times New Roman"/>
          <w:sz w:val="24"/>
          <w:szCs w:val="24"/>
        </w:rPr>
        <w:t xml:space="preserve">the </w:t>
      </w:r>
      <w:r w:rsidR="00084AFE" w:rsidRPr="005D725D">
        <w:rPr>
          <w:rFonts w:ascii="Times New Roman" w:hAnsi="Times New Roman" w:cs="Times New Roman"/>
          <w:sz w:val="24"/>
          <w:szCs w:val="24"/>
        </w:rPr>
        <w:t xml:space="preserve">COVID-19 </w:t>
      </w:r>
      <w:r w:rsidR="000C304E" w:rsidRPr="005D725D">
        <w:rPr>
          <w:rFonts w:ascii="Times New Roman" w:hAnsi="Times New Roman" w:cs="Times New Roman"/>
          <w:sz w:val="24"/>
          <w:szCs w:val="24"/>
        </w:rPr>
        <w:t xml:space="preserve">pandemic </w:t>
      </w:r>
      <w:r w:rsidR="00084AFE" w:rsidRPr="005D725D">
        <w:rPr>
          <w:rFonts w:ascii="Times New Roman" w:hAnsi="Times New Roman" w:cs="Times New Roman"/>
          <w:sz w:val="24"/>
          <w:szCs w:val="24"/>
        </w:rPr>
        <w:t xml:space="preserve">hit the </w:t>
      </w:r>
      <w:r w:rsidRPr="005D725D">
        <w:rPr>
          <w:rFonts w:ascii="Times New Roman" w:hAnsi="Times New Roman" w:cs="Times New Roman"/>
          <w:sz w:val="24"/>
          <w:szCs w:val="24"/>
        </w:rPr>
        <w:t xml:space="preserve">globe. </w:t>
      </w:r>
      <w:r w:rsidR="00084AFE" w:rsidRPr="005D725D">
        <w:rPr>
          <w:rFonts w:ascii="Times New Roman" w:hAnsi="Times New Roman" w:cs="Times New Roman"/>
          <w:sz w:val="24"/>
          <w:szCs w:val="24"/>
        </w:rPr>
        <w:t xml:space="preserve"> By mid-2020 at the peak of the pandemic, the world economy </w:t>
      </w:r>
      <w:r w:rsidR="007A523A">
        <w:rPr>
          <w:rFonts w:ascii="Times New Roman" w:hAnsi="Times New Roman" w:cs="Times New Roman"/>
          <w:sz w:val="24"/>
          <w:szCs w:val="24"/>
        </w:rPr>
        <w:t xml:space="preserve">became increasingly unstable; it </w:t>
      </w:r>
      <w:r w:rsidR="000C304E" w:rsidRPr="005D725D">
        <w:rPr>
          <w:rFonts w:ascii="Times New Roman" w:hAnsi="Times New Roman" w:cs="Times New Roman"/>
          <w:sz w:val="24"/>
          <w:szCs w:val="24"/>
        </w:rPr>
        <w:t xml:space="preserve">was </w:t>
      </w:r>
      <w:r w:rsidR="00084AFE" w:rsidRPr="005D725D">
        <w:rPr>
          <w:rFonts w:ascii="Times New Roman" w:hAnsi="Times New Roman" w:cs="Times New Roman"/>
          <w:sz w:val="24"/>
          <w:szCs w:val="24"/>
        </w:rPr>
        <w:t>projected to lose US$8.5 trillion in output for the ensuing two years, with 34 million people estimated to go into ext</w:t>
      </w:r>
      <w:r w:rsidR="000200D4">
        <w:rPr>
          <w:rFonts w:ascii="Times New Roman" w:hAnsi="Times New Roman" w:cs="Times New Roman"/>
          <w:sz w:val="24"/>
          <w:szCs w:val="24"/>
        </w:rPr>
        <w:t>reme poverty as a result of the</w:t>
      </w:r>
      <w:r w:rsidR="00084AFE" w:rsidRPr="005D725D">
        <w:rPr>
          <w:rFonts w:ascii="Times New Roman" w:hAnsi="Times New Roman" w:cs="Times New Roman"/>
          <w:sz w:val="24"/>
          <w:szCs w:val="24"/>
        </w:rPr>
        <w:t xml:space="preserve"> novel virus.</w:t>
      </w:r>
      <w:r w:rsidRPr="005D725D">
        <w:rPr>
          <w:rFonts w:ascii="Times New Roman" w:hAnsi="Times New Roman" w:cs="Times New Roman"/>
          <w:sz w:val="24"/>
          <w:szCs w:val="24"/>
        </w:rPr>
        <w:t xml:space="preserve"> </w:t>
      </w:r>
    </w:p>
    <w:p w14:paraId="3663199F" w14:textId="77777777" w:rsidR="00E22D58" w:rsidRPr="005D725D" w:rsidRDefault="00084AFE"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As the world had hoped to significantly continue to recover its GDP from the pandemic starting from 2021 into 2022 and so on, t</w:t>
      </w:r>
      <w:r w:rsidR="004F4071" w:rsidRPr="005D725D">
        <w:rPr>
          <w:rFonts w:ascii="Times New Roman" w:hAnsi="Times New Roman" w:cs="Times New Roman"/>
          <w:sz w:val="24"/>
          <w:szCs w:val="24"/>
        </w:rPr>
        <w:t>he Ukraine-Russia War erupted</w:t>
      </w:r>
      <w:r w:rsidR="00394F2C" w:rsidRPr="005D725D">
        <w:rPr>
          <w:rFonts w:ascii="Times New Roman" w:hAnsi="Times New Roman" w:cs="Times New Roman"/>
          <w:sz w:val="24"/>
          <w:szCs w:val="24"/>
        </w:rPr>
        <w:t xml:space="preserve"> in the first quarter of 2022</w:t>
      </w:r>
      <w:r w:rsidR="004F4071" w:rsidRPr="005D725D">
        <w:rPr>
          <w:rFonts w:ascii="Times New Roman" w:hAnsi="Times New Roman" w:cs="Times New Roman"/>
          <w:sz w:val="24"/>
          <w:szCs w:val="24"/>
        </w:rPr>
        <w:t xml:space="preserve">, leading to </w:t>
      </w:r>
      <w:r w:rsidR="00394F2C" w:rsidRPr="005D725D">
        <w:rPr>
          <w:rFonts w:ascii="Times New Roman" w:hAnsi="Times New Roman" w:cs="Times New Roman"/>
          <w:sz w:val="24"/>
          <w:szCs w:val="24"/>
        </w:rPr>
        <w:t>heightened</w:t>
      </w:r>
      <w:r w:rsidR="004F4071" w:rsidRPr="005D725D">
        <w:rPr>
          <w:rFonts w:ascii="Times New Roman" w:hAnsi="Times New Roman" w:cs="Times New Roman"/>
          <w:sz w:val="24"/>
          <w:szCs w:val="24"/>
        </w:rPr>
        <w:t xml:space="preserve"> </w:t>
      </w:r>
      <w:r w:rsidRPr="005D725D">
        <w:rPr>
          <w:rFonts w:ascii="Times New Roman" w:hAnsi="Times New Roman" w:cs="Times New Roman"/>
          <w:sz w:val="24"/>
          <w:szCs w:val="24"/>
        </w:rPr>
        <w:t>geopolitical tension</w:t>
      </w:r>
      <w:r w:rsidR="004F4071" w:rsidRPr="005D725D">
        <w:rPr>
          <w:rFonts w:ascii="Times New Roman" w:hAnsi="Times New Roman" w:cs="Times New Roman"/>
          <w:sz w:val="24"/>
          <w:szCs w:val="24"/>
        </w:rPr>
        <w:t xml:space="preserve">s. This </w:t>
      </w:r>
      <w:r w:rsidRPr="005D725D">
        <w:rPr>
          <w:rFonts w:ascii="Times New Roman" w:hAnsi="Times New Roman" w:cs="Times New Roman"/>
          <w:sz w:val="24"/>
          <w:szCs w:val="24"/>
        </w:rPr>
        <w:t>dash</w:t>
      </w:r>
      <w:r w:rsidR="004F4071" w:rsidRPr="005D725D">
        <w:rPr>
          <w:rFonts w:ascii="Times New Roman" w:hAnsi="Times New Roman" w:cs="Times New Roman"/>
          <w:sz w:val="24"/>
          <w:szCs w:val="24"/>
        </w:rPr>
        <w:t xml:space="preserve">ed </w:t>
      </w:r>
      <w:r w:rsidR="00910682" w:rsidRPr="005D725D">
        <w:rPr>
          <w:rFonts w:ascii="Times New Roman" w:hAnsi="Times New Roman" w:cs="Times New Roman"/>
          <w:sz w:val="24"/>
          <w:szCs w:val="24"/>
        </w:rPr>
        <w:t>the recovery hopes from COVID:</w:t>
      </w:r>
      <w:r w:rsidR="004F4071" w:rsidRPr="005D725D">
        <w:rPr>
          <w:rFonts w:ascii="Times New Roman" w:hAnsi="Times New Roman" w:cs="Times New Roman"/>
          <w:sz w:val="24"/>
          <w:szCs w:val="24"/>
        </w:rPr>
        <w:t xml:space="preserve"> </w:t>
      </w:r>
      <w:r w:rsidR="00910682" w:rsidRPr="005D725D">
        <w:rPr>
          <w:rFonts w:ascii="Times New Roman" w:hAnsi="Times New Roman" w:cs="Times New Roman"/>
          <w:sz w:val="24"/>
          <w:szCs w:val="24"/>
        </w:rPr>
        <w:t>t</w:t>
      </w:r>
      <w:r w:rsidRPr="005D725D">
        <w:rPr>
          <w:rFonts w:ascii="Times New Roman" w:hAnsi="Times New Roman" w:cs="Times New Roman"/>
          <w:sz w:val="24"/>
          <w:szCs w:val="24"/>
        </w:rPr>
        <w:t>he</w:t>
      </w:r>
      <w:r w:rsidR="004F4071" w:rsidRPr="005D725D">
        <w:rPr>
          <w:rFonts w:ascii="Times New Roman" w:hAnsi="Times New Roman" w:cs="Times New Roman"/>
          <w:sz w:val="24"/>
          <w:szCs w:val="24"/>
        </w:rPr>
        <w:t xml:space="preserve"> projected global growth of 4.0 percent</w:t>
      </w:r>
      <w:r w:rsidRPr="005D725D">
        <w:rPr>
          <w:rFonts w:ascii="Times New Roman" w:hAnsi="Times New Roman" w:cs="Times New Roman"/>
          <w:sz w:val="24"/>
          <w:szCs w:val="24"/>
        </w:rPr>
        <w:t xml:space="preserve"> in 2022 and 3.2</w:t>
      </w:r>
      <w:r w:rsidR="004F4071" w:rsidRPr="005D725D">
        <w:rPr>
          <w:rFonts w:ascii="Times New Roman" w:hAnsi="Times New Roman" w:cs="Times New Roman"/>
          <w:sz w:val="24"/>
          <w:szCs w:val="24"/>
        </w:rPr>
        <w:t xml:space="preserve"> percent </w:t>
      </w:r>
      <w:r w:rsidR="00E22D58" w:rsidRPr="005D725D">
        <w:rPr>
          <w:rFonts w:ascii="Times New Roman" w:hAnsi="Times New Roman" w:cs="Times New Roman"/>
          <w:sz w:val="24"/>
          <w:szCs w:val="24"/>
        </w:rPr>
        <w:t>in 2023 was</w:t>
      </w:r>
      <w:r w:rsidRPr="005D725D">
        <w:rPr>
          <w:rFonts w:ascii="Times New Roman" w:hAnsi="Times New Roman" w:cs="Times New Roman"/>
          <w:sz w:val="24"/>
          <w:szCs w:val="24"/>
        </w:rPr>
        <w:t xml:space="preserve"> </w:t>
      </w:r>
      <w:r w:rsidR="00E22D58" w:rsidRPr="005D725D">
        <w:rPr>
          <w:rFonts w:ascii="Times New Roman" w:hAnsi="Times New Roman" w:cs="Times New Roman"/>
          <w:sz w:val="24"/>
          <w:szCs w:val="24"/>
        </w:rPr>
        <w:t xml:space="preserve">consequently </w:t>
      </w:r>
      <w:r w:rsidRPr="005D725D">
        <w:rPr>
          <w:rFonts w:ascii="Times New Roman" w:hAnsi="Times New Roman" w:cs="Times New Roman"/>
          <w:sz w:val="24"/>
          <w:szCs w:val="24"/>
        </w:rPr>
        <w:t>expected to be lost with th</w:t>
      </w:r>
      <w:r w:rsidR="00910682" w:rsidRPr="005D725D">
        <w:rPr>
          <w:rFonts w:ascii="Times New Roman" w:hAnsi="Times New Roman" w:cs="Times New Roman"/>
          <w:sz w:val="24"/>
          <w:szCs w:val="24"/>
        </w:rPr>
        <w:t xml:space="preserve">e </w:t>
      </w:r>
      <w:r w:rsidRPr="005D725D">
        <w:rPr>
          <w:rFonts w:ascii="Times New Roman" w:hAnsi="Times New Roman" w:cs="Times New Roman"/>
          <w:sz w:val="24"/>
          <w:szCs w:val="24"/>
        </w:rPr>
        <w:t xml:space="preserve">unfortunate war and its ramifications, </w:t>
      </w:r>
      <w:r w:rsidR="00E22D58" w:rsidRPr="005D725D">
        <w:rPr>
          <w:rFonts w:ascii="Times New Roman" w:hAnsi="Times New Roman" w:cs="Times New Roman"/>
          <w:sz w:val="24"/>
          <w:szCs w:val="24"/>
        </w:rPr>
        <w:t>especially</w:t>
      </w:r>
      <w:r w:rsidR="00910682" w:rsidRPr="005D725D">
        <w:rPr>
          <w:rFonts w:ascii="Times New Roman" w:hAnsi="Times New Roman" w:cs="Times New Roman"/>
          <w:sz w:val="24"/>
          <w:szCs w:val="24"/>
        </w:rPr>
        <w:t xml:space="preserve"> for fragile regions and states</w:t>
      </w:r>
      <w:r w:rsidR="00961EBC" w:rsidRPr="005D725D">
        <w:rPr>
          <w:rFonts w:ascii="Times New Roman" w:hAnsi="Times New Roman" w:cs="Times New Roman"/>
          <w:sz w:val="24"/>
          <w:szCs w:val="24"/>
        </w:rPr>
        <w:t xml:space="preserve"> like Sierra Leone. This</w:t>
      </w:r>
      <w:r w:rsidR="00E22D58" w:rsidRPr="005D725D">
        <w:rPr>
          <w:rFonts w:ascii="Times New Roman" w:hAnsi="Times New Roman" w:cs="Times New Roman"/>
          <w:sz w:val="24"/>
          <w:szCs w:val="24"/>
        </w:rPr>
        <w:t xml:space="preserve"> </w:t>
      </w:r>
      <w:r w:rsidRPr="005D725D">
        <w:rPr>
          <w:rFonts w:ascii="Times New Roman" w:hAnsi="Times New Roman" w:cs="Times New Roman"/>
          <w:sz w:val="24"/>
          <w:szCs w:val="24"/>
        </w:rPr>
        <w:t>add</w:t>
      </w:r>
      <w:r w:rsidR="00961EBC" w:rsidRPr="005D725D">
        <w:rPr>
          <w:rFonts w:ascii="Times New Roman" w:hAnsi="Times New Roman" w:cs="Times New Roman"/>
          <w:sz w:val="24"/>
          <w:szCs w:val="24"/>
        </w:rPr>
        <w:t xml:space="preserve">ed </w:t>
      </w:r>
      <w:r w:rsidR="00E22D58" w:rsidRPr="005D725D">
        <w:rPr>
          <w:rFonts w:ascii="Times New Roman" w:hAnsi="Times New Roman" w:cs="Times New Roman"/>
          <w:sz w:val="24"/>
          <w:szCs w:val="24"/>
        </w:rPr>
        <w:t xml:space="preserve">to the lingering effects of </w:t>
      </w:r>
      <w:r w:rsidRPr="005D725D">
        <w:rPr>
          <w:rFonts w:ascii="Times New Roman" w:hAnsi="Times New Roman" w:cs="Times New Roman"/>
          <w:sz w:val="24"/>
          <w:szCs w:val="24"/>
        </w:rPr>
        <w:t>COVID-19, climate change and</w:t>
      </w:r>
      <w:r w:rsidR="00E22D58" w:rsidRPr="005D725D">
        <w:rPr>
          <w:rFonts w:ascii="Times New Roman" w:hAnsi="Times New Roman" w:cs="Times New Roman"/>
          <w:sz w:val="24"/>
          <w:szCs w:val="24"/>
        </w:rPr>
        <w:t xml:space="preserve"> biodiversity loss, among</w:t>
      </w:r>
      <w:r w:rsidRPr="005D725D">
        <w:rPr>
          <w:rFonts w:ascii="Times New Roman" w:hAnsi="Times New Roman" w:cs="Times New Roman"/>
          <w:sz w:val="24"/>
          <w:szCs w:val="24"/>
        </w:rPr>
        <w:t xml:space="preserve"> others.</w:t>
      </w:r>
    </w:p>
    <w:p w14:paraId="51A3E176" w14:textId="77777777" w:rsidR="00854CED" w:rsidRDefault="00084AFE"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Sierra Leone being highly linked to the global economy—highly dependent on the outside world for its production and consumption</w:t>
      </w:r>
      <w:r w:rsidR="008D5A2D" w:rsidRPr="005D725D">
        <w:rPr>
          <w:rFonts w:ascii="Times New Roman" w:hAnsi="Times New Roman" w:cs="Times New Roman"/>
          <w:sz w:val="24"/>
          <w:szCs w:val="24"/>
        </w:rPr>
        <w:t xml:space="preserve"> </w:t>
      </w:r>
      <w:r w:rsidR="00F97DCB">
        <w:rPr>
          <w:rFonts w:ascii="Times New Roman" w:hAnsi="Times New Roman" w:cs="Times New Roman"/>
          <w:sz w:val="24"/>
          <w:szCs w:val="24"/>
        </w:rPr>
        <w:t>needs</w:t>
      </w:r>
      <w:r w:rsidRPr="005D725D">
        <w:rPr>
          <w:rFonts w:ascii="Times New Roman" w:hAnsi="Times New Roman" w:cs="Times New Roman"/>
          <w:sz w:val="24"/>
          <w:szCs w:val="24"/>
        </w:rPr>
        <w:t>—its GDP dropped from 5.3</w:t>
      </w:r>
      <w:r w:rsidR="008D5A2D" w:rsidRPr="005D725D">
        <w:rPr>
          <w:rFonts w:ascii="Times New Roman" w:hAnsi="Times New Roman" w:cs="Times New Roman"/>
          <w:sz w:val="24"/>
          <w:szCs w:val="24"/>
        </w:rPr>
        <w:t xml:space="preserve"> percent </w:t>
      </w:r>
      <w:r w:rsidRPr="005D725D">
        <w:rPr>
          <w:rFonts w:ascii="Times New Roman" w:hAnsi="Times New Roman" w:cs="Times New Roman"/>
          <w:sz w:val="24"/>
          <w:szCs w:val="24"/>
        </w:rPr>
        <w:t>in 2019 to</w:t>
      </w:r>
      <w:r w:rsidR="008D5A2D" w:rsidRPr="005D725D">
        <w:rPr>
          <w:rFonts w:ascii="Times New Roman" w:hAnsi="Times New Roman" w:cs="Times New Roman"/>
          <w:sz w:val="24"/>
          <w:szCs w:val="24"/>
        </w:rPr>
        <w:t xml:space="preserve"> </w:t>
      </w:r>
      <w:r w:rsidR="002F52A8">
        <w:rPr>
          <w:rFonts w:ascii="Times New Roman" w:hAnsi="Times New Roman" w:cs="Times New Roman"/>
          <w:sz w:val="24"/>
          <w:szCs w:val="24"/>
        </w:rPr>
        <w:t xml:space="preserve">      </w:t>
      </w:r>
      <w:r w:rsidRPr="005D725D">
        <w:rPr>
          <w:rFonts w:ascii="Times New Roman" w:hAnsi="Times New Roman" w:cs="Times New Roman"/>
          <w:sz w:val="24"/>
          <w:szCs w:val="24"/>
        </w:rPr>
        <w:t>-2.0</w:t>
      </w:r>
      <w:r w:rsidR="008D5A2D" w:rsidRPr="005D725D">
        <w:rPr>
          <w:rFonts w:ascii="Times New Roman" w:hAnsi="Times New Roman" w:cs="Times New Roman"/>
          <w:sz w:val="24"/>
          <w:szCs w:val="24"/>
        </w:rPr>
        <w:t xml:space="preserve"> percent </w:t>
      </w:r>
      <w:r w:rsidRPr="005D725D">
        <w:rPr>
          <w:rFonts w:ascii="Times New Roman" w:hAnsi="Times New Roman" w:cs="Times New Roman"/>
          <w:sz w:val="24"/>
          <w:szCs w:val="24"/>
        </w:rPr>
        <w:t>in 2020</w:t>
      </w:r>
      <w:r w:rsidR="009A14B4" w:rsidRPr="005D725D">
        <w:rPr>
          <w:rFonts w:ascii="Times New Roman" w:hAnsi="Times New Roman" w:cs="Times New Roman"/>
          <w:sz w:val="24"/>
          <w:szCs w:val="24"/>
        </w:rPr>
        <w:t xml:space="preserve"> </w:t>
      </w:r>
      <w:r w:rsidR="00BA56EE">
        <w:rPr>
          <w:rFonts w:ascii="Times New Roman" w:hAnsi="Times New Roman" w:cs="Times New Roman"/>
          <w:sz w:val="24"/>
          <w:szCs w:val="24"/>
        </w:rPr>
        <w:t xml:space="preserve">largely </w:t>
      </w:r>
      <w:r w:rsidR="009A14B4" w:rsidRPr="005D725D">
        <w:rPr>
          <w:rFonts w:ascii="Times New Roman" w:hAnsi="Times New Roman" w:cs="Times New Roman"/>
          <w:sz w:val="24"/>
          <w:szCs w:val="24"/>
        </w:rPr>
        <w:t>on account of the pandemic</w:t>
      </w:r>
      <w:r w:rsidRPr="005D725D">
        <w:rPr>
          <w:rFonts w:ascii="Times New Roman" w:hAnsi="Times New Roman" w:cs="Times New Roman"/>
          <w:sz w:val="24"/>
          <w:szCs w:val="24"/>
        </w:rPr>
        <w:t>.</w:t>
      </w:r>
      <w:r w:rsidR="009A14B4" w:rsidRPr="005D725D">
        <w:rPr>
          <w:rFonts w:ascii="Times New Roman" w:hAnsi="Times New Roman" w:cs="Times New Roman"/>
          <w:sz w:val="24"/>
          <w:szCs w:val="24"/>
        </w:rPr>
        <w:t xml:space="preserve"> </w:t>
      </w:r>
    </w:p>
    <w:p w14:paraId="075A8996" w14:textId="09FCC04B" w:rsidR="00854CED" w:rsidRDefault="00854CED"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Private investment was extremely diminished during these trying times. The activities in this sector </w:t>
      </w:r>
      <w:r w:rsidR="008F637A">
        <w:rPr>
          <w:rFonts w:ascii="Times New Roman" w:hAnsi="Times New Roman" w:cs="Times New Roman"/>
          <w:sz w:val="24"/>
          <w:szCs w:val="24"/>
        </w:rPr>
        <w:t>were</w:t>
      </w:r>
      <w:r>
        <w:rPr>
          <w:rFonts w:ascii="Times New Roman" w:hAnsi="Times New Roman" w:cs="Times New Roman"/>
          <w:sz w:val="24"/>
          <w:szCs w:val="24"/>
        </w:rPr>
        <w:t xml:space="preserve"> crowded out as government increased its expenditure towards the fight against COVID; and </w:t>
      </w:r>
      <w:r w:rsidR="00DF7013">
        <w:rPr>
          <w:rFonts w:ascii="Times New Roman" w:hAnsi="Times New Roman" w:cs="Times New Roman"/>
          <w:sz w:val="24"/>
          <w:szCs w:val="24"/>
        </w:rPr>
        <w:t xml:space="preserve">subsequently </w:t>
      </w:r>
      <w:r>
        <w:rPr>
          <w:rFonts w:ascii="Times New Roman" w:hAnsi="Times New Roman" w:cs="Times New Roman"/>
          <w:sz w:val="24"/>
          <w:szCs w:val="24"/>
        </w:rPr>
        <w:t>towards stemming the macroeconomic and household effects deriv</w:t>
      </w:r>
      <w:r w:rsidR="00FA26D9">
        <w:rPr>
          <w:rFonts w:ascii="Times New Roman" w:hAnsi="Times New Roman" w:cs="Times New Roman"/>
          <w:sz w:val="24"/>
          <w:szCs w:val="24"/>
        </w:rPr>
        <w:t>ed</w:t>
      </w:r>
      <w:r>
        <w:rPr>
          <w:rFonts w:ascii="Times New Roman" w:hAnsi="Times New Roman" w:cs="Times New Roman"/>
          <w:sz w:val="24"/>
          <w:szCs w:val="24"/>
        </w:rPr>
        <w:t xml:space="preserve"> from the fallouts </w:t>
      </w:r>
      <w:r w:rsidR="00FA26D9">
        <w:rPr>
          <w:rFonts w:ascii="Times New Roman" w:hAnsi="Times New Roman" w:cs="Times New Roman"/>
          <w:sz w:val="24"/>
          <w:szCs w:val="24"/>
        </w:rPr>
        <w:t xml:space="preserve">of </w:t>
      </w:r>
      <w:r>
        <w:rPr>
          <w:rFonts w:ascii="Times New Roman" w:hAnsi="Times New Roman" w:cs="Times New Roman"/>
          <w:sz w:val="24"/>
          <w:szCs w:val="24"/>
        </w:rPr>
        <w:t>the war in Ukraine. Development Partners had to repurpose funding from supporting capital investment in the country to assisting with the fight against COVID.</w:t>
      </w:r>
    </w:p>
    <w:p w14:paraId="58797C20" w14:textId="68D64AB6" w:rsidR="00A22E11" w:rsidRPr="007C2CC5" w:rsidRDefault="00D44888" w:rsidP="007C2CC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D44888">
        <w:rPr>
          <w:rFonts w:ascii="Times New Roman" w:hAnsi="Times New Roman" w:cs="Times New Roman"/>
          <w:sz w:val="24"/>
          <w:szCs w:val="24"/>
        </w:rPr>
        <w:t xml:space="preserve">While </w:t>
      </w:r>
      <w:r w:rsidR="00FA26D9">
        <w:rPr>
          <w:rFonts w:ascii="Times New Roman" w:hAnsi="Times New Roman" w:cs="Times New Roman"/>
          <w:sz w:val="24"/>
          <w:szCs w:val="24"/>
        </w:rPr>
        <w:t xml:space="preserve">the country </w:t>
      </w:r>
      <w:r w:rsidR="00084AFE" w:rsidRPr="00D44888">
        <w:rPr>
          <w:rFonts w:ascii="Times New Roman" w:hAnsi="Times New Roman" w:cs="Times New Roman"/>
          <w:sz w:val="24"/>
          <w:szCs w:val="24"/>
        </w:rPr>
        <w:t xml:space="preserve">managed to recover its </w:t>
      </w:r>
      <w:r w:rsidR="009A14B4" w:rsidRPr="00D44888">
        <w:rPr>
          <w:rFonts w:ascii="Times New Roman" w:hAnsi="Times New Roman" w:cs="Times New Roman"/>
          <w:sz w:val="24"/>
          <w:szCs w:val="24"/>
        </w:rPr>
        <w:t>output</w:t>
      </w:r>
      <w:r w:rsidR="00084AFE" w:rsidRPr="00D44888">
        <w:rPr>
          <w:rFonts w:ascii="Times New Roman" w:hAnsi="Times New Roman" w:cs="Times New Roman"/>
          <w:sz w:val="24"/>
          <w:szCs w:val="24"/>
        </w:rPr>
        <w:t xml:space="preserve"> to 2.9</w:t>
      </w:r>
      <w:r w:rsidR="009A14B4" w:rsidRPr="00D44888">
        <w:rPr>
          <w:rFonts w:ascii="Times New Roman" w:hAnsi="Times New Roman" w:cs="Times New Roman"/>
          <w:sz w:val="24"/>
          <w:szCs w:val="24"/>
        </w:rPr>
        <w:t xml:space="preserve"> percent </w:t>
      </w:r>
      <w:r w:rsidR="00084AFE" w:rsidRPr="00D44888">
        <w:rPr>
          <w:rFonts w:ascii="Times New Roman" w:hAnsi="Times New Roman" w:cs="Times New Roman"/>
          <w:sz w:val="24"/>
          <w:szCs w:val="24"/>
        </w:rPr>
        <w:t>in 2021, following COVID-related national mitigation strategies</w:t>
      </w:r>
      <w:r w:rsidR="009A14B4" w:rsidRPr="00D44888">
        <w:rPr>
          <w:rFonts w:ascii="Times New Roman" w:hAnsi="Times New Roman" w:cs="Times New Roman"/>
          <w:sz w:val="24"/>
          <w:szCs w:val="24"/>
        </w:rPr>
        <w:t xml:space="preserve">, such as the Quick Action Economic Response Programme and </w:t>
      </w:r>
      <w:r w:rsidR="00D862B8" w:rsidRPr="00D44888">
        <w:rPr>
          <w:rFonts w:ascii="Times New Roman" w:hAnsi="Times New Roman" w:cs="Times New Roman"/>
          <w:sz w:val="24"/>
          <w:szCs w:val="24"/>
        </w:rPr>
        <w:t xml:space="preserve">the </w:t>
      </w:r>
      <w:r w:rsidR="00084AFE" w:rsidRPr="00D44888">
        <w:rPr>
          <w:rFonts w:ascii="Times New Roman" w:hAnsi="Times New Roman" w:cs="Times New Roman"/>
          <w:sz w:val="24"/>
          <w:szCs w:val="24"/>
        </w:rPr>
        <w:t>Health Preparedness and Response Programme</w:t>
      </w:r>
      <w:r w:rsidR="00064927" w:rsidRPr="00D44888">
        <w:rPr>
          <w:rFonts w:ascii="Times New Roman" w:hAnsi="Times New Roman" w:cs="Times New Roman"/>
          <w:sz w:val="24"/>
          <w:szCs w:val="24"/>
        </w:rPr>
        <w:t xml:space="preserve"> of the government</w:t>
      </w:r>
      <w:r w:rsidR="00A22E11" w:rsidRPr="007C2CC5">
        <w:rPr>
          <w:rFonts w:ascii="Times New Roman" w:hAnsi="Times New Roman" w:cs="Times New Roman"/>
          <w:sz w:val="24"/>
          <w:szCs w:val="24"/>
        </w:rPr>
        <w:t>, the compounded effects emerging from the Ukraine-Russia fallouts reversed growth projection for 2022 from 5.9 to 2.8 percent in tune with global trends.</w:t>
      </w:r>
    </w:p>
    <w:p w14:paraId="07BDBDFC" w14:textId="24FFD7C0" w:rsidR="00D44888" w:rsidRPr="007C2CC5" w:rsidRDefault="007C2CC5" w:rsidP="007C2CC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The s</w:t>
      </w:r>
      <w:r w:rsidR="00D44888" w:rsidRPr="00D44888">
        <w:rPr>
          <w:rFonts w:ascii="Times New Roman" w:hAnsi="Times New Roman" w:cs="Times New Roman"/>
          <w:sz w:val="24"/>
          <w:szCs w:val="24"/>
        </w:rPr>
        <w:t xml:space="preserve">ocioeconomic and investment uncertainties for </w:t>
      </w:r>
      <w:r w:rsidR="00D44888">
        <w:rPr>
          <w:rFonts w:ascii="Times New Roman" w:hAnsi="Times New Roman" w:cs="Times New Roman"/>
          <w:sz w:val="24"/>
          <w:szCs w:val="24"/>
        </w:rPr>
        <w:t>the country</w:t>
      </w:r>
      <w:r w:rsidR="00D44888" w:rsidRPr="00D44888">
        <w:rPr>
          <w:rFonts w:ascii="Times New Roman" w:hAnsi="Times New Roman" w:cs="Times New Roman"/>
          <w:sz w:val="24"/>
          <w:szCs w:val="24"/>
        </w:rPr>
        <w:t xml:space="preserve"> from the</w:t>
      </w:r>
      <w:r>
        <w:rPr>
          <w:rFonts w:ascii="Times New Roman" w:hAnsi="Times New Roman" w:cs="Times New Roman"/>
          <w:sz w:val="24"/>
          <w:szCs w:val="24"/>
        </w:rPr>
        <w:t>se</w:t>
      </w:r>
      <w:r w:rsidR="00D44888" w:rsidRPr="00D44888">
        <w:rPr>
          <w:rFonts w:ascii="Times New Roman" w:hAnsi="Times New Roman" w:cs="Times New Roman"/>
          <w:sz w:val="24"/>
          <w:szCs w:val="24"/>
        </w:rPr>
        <w:t xml:space="preserve"> global factors continue to linger in 2023; </w:t>
      </w:r>
      <w:r>
        <w:rPr>
          <w:rFonts w:ascii="Times New Roman" w:hAnsi="Times New Roman" w:cs="Times New Roman"/>
          <w:sz w:val="24"/>
          <w:szCs w:val="24"/>
        </w:rPr>
        <w:t xml:space="preserve">which could be </w:t>
      </w:r>
      <w:r w:rsidR="00D44888" w:rsidRPr="00D44888">
        <w:rPr>
          <w:rFonts w:ascii="Times New Roman" w:hAnsi="Times New Roman" w:cs="Times New Roman"/>
          <w:sz w:val="24"/>
          <w:szCs w:val="24"/>
        </w:rPr>
        <w:t xml:space="preserve">expected to go even into 2024, if not beyond. </w:t>
      </w:r>
      <w:r w:rsidR="00D44888" w:rsidRPr="007C2CC5">
        <w:rPr>
          <w:rFonts w:ascii="Times New Roman" w:hAnsi="Times New Roman" w:cs="Times New Roman"/>
          <w:sz w:val="24"/>
          <w:szCs w:val="24"/>
        </w:rPr>
        <w:t>The following continued risks</w:t>
      </w:r>
      <w:r w:rsidR="00A64F48">
        <w:rPr>
          <w:rFonts w:ascii="Times New Roman" w:hAnsi="Times New Roman" w:cs="Times New Roman"/>
          <w:sz w:val="24"/>
          <w:szCs w:val="24"/>
        </w:rPr>
        <w:t xml:space="preserve"> posed by these factors</w:t>
      </w:r>
      <w:r w:rsidR="00D44888" w:rsidRPr="007C2CC5">
        <w:rPr>
          <w:rFonts w:ascii="Times New Roman" w:hAnsi="Times New Roman" w:cs="Times New Roman"/>
          <w:sz w:val="24"/>
          <w:szCs w:val="24"/>
        </w:rPr>
        <w:t xml:space="preserve"> have been noted </w:t>
      </w:r>
      <w:r w:rsidR="00E07200">
        <w:rPr>
          <w:rFonts w:ascii="Times New Roman" w:hAnsi="Times New Roman" w:cs="Times New Roman"/>
          <w:sz w:val="24"/>
          <w:szCs w:val="24"/>
        </w:rPr>
        <w:t xml:space="preserve">in </w:t>
      </w:r>
      <w:r w:rsidR="00D44888" w:rsidRPr="007C2CC5">
        <w:rPr>
          <w:rFonts w:ascii="Times New Roman" w:hAnsi="Times New Roman" w:cs="Times New Roman"/>
          <w:sz w:val="24"/>
          <w:szCs w:val="24"/>
        </w:rPr>
        <w:t xml:space="preserve">the </w:t>
      </w:r>
      <w:r w:rsidR="00D44888" w:rsidRPr="007C2CC5">
        <w:rPr>
          <w:rFonts w:ascii="Times New Roman" w:hAnsi="Times New Roman" w:cs="Times New Roman"/>
          <w:i/>
          <w:iCs/>
          <w:sz w:val="24"/>
          <w:szCs w:val="24"/>
        </w:rPr>
        <w:t>Statement of Economic and Financial Policies of GoSL for 2023 Fiscal Year</w:t>
      </w:r>
      <w:r w:rsidR="00D44888" w:rsidRPr="007C2CC5">
        <w:rPr>
          <w:rFonts w:ascii="Times New Roman" w:hAnsi="Times New Roman" w:cs="Times New Roman"/>
          <w:sz w:val="24"/>
          <w:szCs w:val="24"/>
        </w:rPr>
        <w:t xml:space="preserve">: </w:t>
      </w:r>
    </w:p>
    <w:p w14:paraId="152E1336" w14:textId="224FDDFA" w:rsidR="00D44888" w:rsidRPr="008F637A" w:rsidRDefault="00D44888" w:rsidP="00D44888">
      <w:pPr>
        <w:pStyle w:val="ListParagraph"/>
        <w:numPr>
          <w:ilvl w:val="0"/>
          <w:numId w:val="11"/>
        </w:numPr>
        <w:tabs>
          <w:tab w:val="left" w:pos="709"/>
          <w:tab w:val="left" w:pos="1134"/>
        </w:tabs>
        <w:spacing w:after="120" w:line="240" w:lineRule="auto"/>
        <w:contextualSpacing w:val="0"/>
        <w:jc w:val="both"/>
        <w:rPr>
          <w:rFonts w:ascii="Times New Roman" w:hAnsi="Times New Roman" w:cs="Times New Roman"/>
          <w:sz w:val="24"/>
          <w:szCs w:val="24"/>
        </w:rPr>
      </w:pPr>
      <w:r w:rsidRPr="008F637A">
        <w:rPr>
          <w:rFonts w:ascii="Times New Roman" w:hAnsi="Times New Roman" w:cs="Times New Roman"/>
          <w:sz w:val="24"/>
          <w:szCs w:val="24"/>
        </w:rPr>
        <w:t xml:space="preserve">the likelihood of the global economy plunging into recession and the potential impact on the prices of </w:t>
      </w:r>
      <w:r w:rsidR="00A95C05">
        <w:rPr>
          <w:rFonts w:ascii="Times New Roman" w:hAnsi="Times New Roman" w:cs="Times New Roman"/>
          <w:sz w:val="24"/>
          <w:szCs w:val="24"/>
        </w:rPr>
        <w:t xml:space="preserve">Sierra Leone’s </w:t>
      </w:r>
      <w:r w:rsidRPr="008F637A">
        <w:rPr>
          <w:rFonts w:ascii="Times New Roman" w:hAnsi="Times New Roman" w:cs="Times New Roman"/>
          <w:sz w:val="24"/>
          <w:szCs w:val="24"/>
        </w:rPr>
        <w:t xml:space="preserve">key exports; </w:t>
      </w:r>
    </w:p>
    <w:p w14:paraId="23A3CDF8" w14:textId="77777777" w:rsidR="00D44888" w:rsidRPr="008F637A" w:rsidRDefault="00D44888" w:rsidP="00D44888">
      <w:pPr>
        <w:pStyle w:val="ListParagraph"/>
        <w:numPr>
          <w:ilvl w:val="0"/>
          <w:numId w:val="11"/>
        </w:numPr>
        <w:tabs>
          <w:tab w:val="left" w:pos="1134"/>
        </w:tabs>
        <w:spacing w:after="120" w:line="240" w:lineRule="auto"/>
        <w:contextualSpacing w:val="0"/>
        <w:jc w:val="both"/>
        <w:rPr>
          <w:rFonts w:ascii="Times New Roman" w:hAnsi="Times New Roman" w:cs="Times New Roman"/>
          <w:sz w:val="24"/>
          <w:szCs w:val="24"/>
        </w:rPr>
      </w:pPr>
      <w:r w:rsidRPr="008F637A">
        <w:rPr>
          <w:rFonts w:ascii="Times New Roman" w:hAnsi="Times New Roman" w:cs="Times New Roman"/>
          <w:sz w:val="24"/>
          <w:szCs w:val="24"/>
        </w:rPr>
        <w:t xml:space="preserve">sustained increases in food and fuel prices and the pass-through effects on domestic prices, trade balance and Government’s fiscal position; </w:t>
      </w:r>
    </w:p>
    <w:p w14:paraId="5E216448" w14:textId="77777777" w:rsidR="00D44888" w:rsidRPr="008F637A" w:rsidRDefault="00D44888" w:rsidP="00D44888">
      <w:pPr>
        <w:pStyle w:val="ListParagraph"/>
        <w:numPr>
          <w:ilvl w:val="0"/>
          <w:numId w:val="11"/>
        </w:numPr>
        <w:tabs>
          <w:tab w:val="left" w:pos="1134"/>
        </w:tabs>
        <w:spacing w:after="120" w:line="240" w:lineRule="auto"/>
        <w:contextualSpacing w:val="0"/>
        <w:jc w:val="both"/>
        <w:rPr>
          <w:rFonts w:ascii="Times New Roman" w:hAnsi="Times New Roman" w:cs="Times New Roman"/>
          <w:sz w:val="24"/>
          <w:szCs w:val="24"/>
        </w:rPr>
      </w:pPr>
      <w:r w:rsidRPr="008F637A">
        <w:rPr>
          <w:rFonts w:ascii="Times New Roman" w:hAnsi="Times New Roman" w:cs="Times New Roman"/>
          <w:sz w:val="24"/>
          <w:szCs w:val="24"/>
        </w:rPr>
        <w:t xml:space="preserve">continued decreases in international financial assistance; </w:t>
      </w:r>
    </w:p>
    <w:p w14:paraId="4210F90B" w14:textId="77777777" w:rsidR="00D44888" w:rsidRPr="008F637A" w:rsidRDefault="00D44888" w:rsidP="00D44888">
      <w:pPr>
        <w:pStyle w:val="ListParagraph"/>
        <w:numPr>
          <w:ilvl w:val="0"/>
          <w:numId w:val="11"/>
        </w:numPr>
        <w:tabs>
          <w:tab w:val="left" w:pos="1134"/>
        </w:tabs>
        <w:spacing w:after="120" w:line="240" w:lineRule="auto"/>
        <w:contextualSpacing w:val="0"/>
        <w:jc w:val="both"/>
        <w:rPr>
          <w:rFonts w:ascii="Times New Roman" w:hAnsi="Times New Roman" w:cs="Times New Roman"/>
          <w:sz w:val="24"/>
          <w:szCs w:val="24"/>
        </w:rPr>
      </w:pPr>
      <w:r w:rsidRPr="008F637A">
        <w:rPr>
          <w:rFonts w:ascii="Times New Roman" w:hAnsi="Times New Roman" w:cs="Times New Roman"/>
          <w:sz w:val="24"/>
          <w:szCs w:val="24"/>
        </w:rPr>
        <w:t xml:space="preserve">the continuation of the crisis in Ukraine and its accompanying uncertainties in the global economy; and </w:t>
      </w:r>
    </w:p>
    <w:p w14:paraId="202F0180" w14:textId="77777777" w:rsidR="00D44888" w:rsidRPr="008F637A" w:rsidRDefault="00D44888" w:rsidP="00D44888">
      <w:pPr>
        <w:pStyle w:val="ListParagraph"/>
        <w:numPr>
          <w:ilvl w:val="0"/>
          <w:numId w:val="11"/>
        </w:numPr>
        <w:tabs>
          <w:tab w:val="left" w:pos="1134"/>
        </w:tabs>
        <w:spacing w:after="240" w:line="240" w:lineRule="auto"/>
        <w:ind w:left="714" w:hanging="357"/>
        <w:contextualSpacing w:val="0"/>
        <w:jc w:val="both"/>
        <w:rPr>
          <w:rFonts w:ascii="Times New Roman" w:hAnsi="Times New Roman" w:cs="Times New Roman"/>
          <w:sz w:val="24"/>
          <w:szCs w:val="24"/>
        </w:rPr>
      </w:pPr>
      <w:r w:rsidRPr="008F637A">
        <w:rPr>
          <w:rFonts w:ascii="Times New Roman" w:hAnsi="Times New Roman" w:cs="Times New Roman"/>
          <w:sz w:val="24"/>
          <w:szCs w:val="24"/>
        </w:rPr>
        <w:t>a re-emergence of COVID-19 and other public health emergencies.</w:t>
      </w:r>
      <w:r>
        <w:rPr>
          <w:rStyle w:val="FootnoteReference"/>
          <w:rFonts w:ascii="Times New Roman" w:hAnsi="Times New Roman" w:cs="Times New Roman"/>
          <w:sz w:val="24"/>
          <w:szCs w:val="24"/>
        </w:rPr>
        <w:footnoteReference w:id="1"/>
      </w:r>
    </w:p>
    <w:p w14:paraId="0BCC3F60" w14:textId="167DA8D4" w:rsidR="00674322" w:rsidRPr="005D725D" w:rsidRDefault="0091668B"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This constituted the background context and broad constraints wi</w:t>
      </w:r>
      <w:r w:rsidR="00E50C5E">
        <w:rPr>
          <w:rFonts w:ascii="Times New Roman" w:hAnsi="Times New Roman" w:cs="Times New Roman"/>
          <w:sz w:val="24"/>
          <w:szCs w:val="24"/>
        </w:rPr>
        <w:t>thin which the MTNDP 2019-2023</w:t>
      </w:r>
      <w:r w:rsidRPr="005D725D">
        <w:rPr>
          <w:rFonts w:ascii="Times New Roman" w:hAnsi="Times New Roman" w:cs="Times New Roman"/>
          <w:sz w:val="24"/>
          <w:szCs w:val="24"/>
        </w:rPr>
        <w:t xml:space="preserve"> has been </w:t>
      </w:r>
      <w:r w:rsidR="00705ABE">
        <w:rPr>
          <w:rFonts w:ascii="Times New Roman" w:hAnsi="Times New Roman" w:cs="Times New Roman"/>
          <w:sz w:val="24"/>
          <w:szCs w:val="24"/>
        </w:rPr>
        <w:t>implemented</w:t>
      </w:r>
      <w:r w:rsidRPr="005D725D">
        <w:rPr>
          <w:rFonts w:ascii="Times New Roman" w:hAnsi="Times New Roman" w:cs="Times New Roman"/>
          <w:sz w:val="24"/>
          <w:szCs w:val="24"/>
        </w:rPr>
        <w:t xml:space="preserve">. </w:t>
      </w:r>
      <w:r w:rsidR="00C7460E" w:rsidRPr="005D725D">
        <w:rPr>
          <w:rFonts w:ascii="Times New Roman" w:hAnsi="Times New Roman" w:cs="Times New Roman"/>
          <w:sz w:val="24"/>
          <w:szCs w:val="24"/>
        </w:rPr>
        <w:t>Indeed</w:t>
      </w:r>
      <w:r w:rsidR="00084AFE" w:rsidRPr="005D725D">
        <w:rPr>
          <w:rFonts w:ascii="Times New Roman" w:hAnsi="Times New Roman" w:cs="Times New Roman"/>
          <w:sz w:val="24"/>
          <w:szCs w:val="24"/>
        </w:rPr>
        <w:t xml:space="preserve">, </w:t>
      </w:r>
      <w:r w:rsidR="00C7460E" w:rsidRPr="005D725D">
        <w:rPr>
          <w:rFonts w:ascii="Times New Roman" w:hAnsi="Times New Roman" w:cs="Times New Roman"/>
          <w:sz w:val="24"/>
          <w:szCs w:val="24"/>
        </w:rPr>
        <w:t xml:space="preserve">the </w:t>
      </w:r>
      <w:r w:rsidR="00084AFE" w:rsidRPr="005D725D">
        <w:rPr>
          <w:rFonts w:ascii="Times New Roman" w:hAnsi="Times New Roman" w:cs="Times New Roman"/>
          <w:sz w:val="24"/>
          <w:szCs w:val="24"/>
        </w:rPr>
        <w:t>revenue situation of</w:t>
      </w:r>
      <w:r w:rsidR="00C03E7F">
        <w:rPr>
          <w:rFonts w:ascii="Times New Roman" w:hAnsi="Times New Roman" w:cs="Times New Roman"/>
          <w:sz w:val="24"/>
          <w:szCs w:val="24"/>
        </w:rPr>
        <w:t xml:space="preserve"> </w:t>
      </w:r>
      <w:r w:rsidR="004A566C">
        <w:rPr>
          <w:rFonts w:ascii="Times New Roman" w:hAnsi="Times New Roman" w:cs="Times New Roman"/>
          <w:sz w:val="24"/>
          <w:szCs w:val="24"/>
        </w:rPr>
        <w:t>GoSL</w:t>
      </w:r>
      <w:r w:rsidR="00C7460E" w:rsidRPr="005D725D">
        <w:rPr>
          <w:rFonts w:ascii="Times New Roman" w:hAnsi="Times New Roman" w:cs="Times New Roman"/>
          <w:sz w:val="24"/>
          <w:szCs w:val="24"/>
        </w:rPr>
        <w:t xml:space="preserve"> was egregiously dampened during these multiple crises, as </w:t>
      </w:r>
      <w:r w:rsidRPr="005D725D">
        <w:rPr>
          <w:rFonts w:ascii="Times New Roman" w:hAnsi="Times New Roman" w:cs="Times New Roman"/>
          <w:sz w:val="24"/>
          <w:szCs w:val="24"/>
        </w:rPr>
        <w:t>private sector operations</w:t>
      </w:r>
      <w:r w:rsidR="00C7460E" w:rsidRPr="005D725D">
        <w:rPr>
          <w:rFonts w:ascii="Times New Roman" w:hAnsi="Times New Roman" w:cs="Times New Roman"/>
          <w:sz w:val="24"/>
          <w:szCs w:val="24"/>
        </w:rPr>
        <w:t xml:space="preserve"> were in dire straits with th</w:t>
      </w:r>
      <w:r w:rsidR="00C86EB5">
        <w:rPr>
          <w:rFonts w:ascii="Times New Roman" w:hAnsi="Times New Roman" w:cs="Times New Roman"/>
          <w:sz w:val="24"/>
          <w:szCs w:val="24"/>
        </w:rPr>
        <w:t>is circumstance</w:t>
      </w:r>
      <w:r w:rsidR="00C7460E" w:rsidRPr="005D725D">
        <w:rPr>
          <w:rFonts w:ascii="Times New Roman" w:hAnsi="Times New Roman" w:cs="Times New Roman"/>
          <w:sz w:val="24"/>
          <w:szCs w:val="24"/>
        </w:rPr>
        <w:t>. And, certainly, the situation is expected to remain bleak</w:t>
      </w:r>
      <w:r w:rsidR="00FC59D2" w:rsidRPr="005D725D">
        <w:rPr>
          <w:rFonts w:ascii="Times New Roman" w:hAnsi="Times New Roman" w:cs="Times New Roman"/>
          <w:sz w:val="24"/>
          <w:szCs w:val="24"/>
        </w:rPr>
        <w:t xml:space="preserve">, as </w:t>
      </w:r>
      <w:r w:rsidR="00E8159E">
        <w:rPr>
          <w:rFonts w:ascii="Times New Roman" w:hAnsi="Times New Roman" w:cs="Times New Roman"/>
          <w:sz w:val="24"/>
          <w:szCs w:val="24"/>
        </w:rPr>
        <w:t xml:space="preserve">those </w:t>
      </w:r>
      <w:r w:rsidR="00084AFE" w:rsidRPr="005D725D">
        <w:rPr>
          <w:rFonts w:ascii="Times New Roman" w:hAnsi="Times New Roman" w:cs="Times New Roman"/>
          <w:sz w:val="24"/>
          <w:szCs w:val="24"/>
        </w:rPr>
        <w:t>global uncertainties continue to grow</w:t>
      </w:r>
      <w:r w:rsidRPr="005D725D">
        <w:rPr>
          <w:rFonts w:ascii="Times New Roman" w:hAnsi="Times New Roman" w:cs="Times New Roman"/>
          <w:sz w:val="24"/>
          <w:szCs w:val="24"/>
        </w:rPr>
        <w:t>.</w:t>
      </w:r>
    </w:p>
    <w:p w14:paraId="35A8093D" w14:textId="11D77282" w:rsidR="0098739D" w:rsidRPr="005D725D" w:rsidRDefault="0098739D" w:rsidP="00015816">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Despite these constraints, remarkable results were achieved by </w:t>
      </w:r>
      <w:r w:rsidR="004C2CD7">
        <w:rPr>
          <w:rFonts w:ascii="Times New Roman" w:hAnsi="Times New Roman" w:cs="Times New Roman"/>
          <w:sz w:val="24"/>
          <w:szCs w:val="24"/>
        </w:rPr>
        <w:t xml:space="preserve">GoSL </w:t>
      </w:r>
      <w:r w:rsidR="00AA0F74" w:rsidRPr="005D725D">
        <w:rPr>
          <w:rFonts w:ascii="Times New Roman" w:hAnsi="Times New Roman" w:cs="Times New Roman"/>
          <w:sz w:val="24"/>
          <w:szCs w:val="24"/>
        </w:rPr>
        <w:t xml:space="preserve">in the implementation of </w:t>
      </w:r>
      <w:r w:rsidR="00E8159E">
        <w:rPr>
          <w:rFonts w:ascii="Times New Roman" w:hAnsi="Times New Roman" w:cs="Times New Roman"/>
          <w:sz w:val="24"/>
          <w:szCs w:val="24"/>
        </w:rPr>
        <w:t>the National Development Plan</w:t>
      </w:r>
      <w:r w:rsidR="00FE2CD5">
        <w:rPr>
          <w:rFonts w:ascii="Times New Roman" w:hAnsi="Times New Roman" w:cs="Times New Roman"/>
          <w:sz w:val="24"/>
          <w:szCs w:val="24"/>
        </w:rPr>
        <w:t>, which we will summarise in the next paragraphs</w:t>
      </w:r>
      <w:r w:rsidR="00AA0F74" w:rsidRPr="005D725D">
        <w:rPr>
          <w:rFonts w:ascii="Times New Roman" w:hAnsi="Times New Roman" w:cs="Times New Roman"/>
          <w:sz w:val="24"/>
          <w:szCs w:val="24"/>
        </w:rPr>
        <w:t xml:space="preserve">. Results were achieved </w:t>
      </w:r>
      <w:r w:rsidR="00DA0177">
        <w:rPr>
          <w:rFonts w:ascii="Times New Roman" w:hAnsi="Times New Roman" w:cs="Times New Roman"/>
          <w:sz w:val="24"/>
          <w:szCs w:val="24"/>
        </w:rPr>
        <w:t>through the strict pursuit of</w:t>
      </w:r>
      <w:r w:rsidR="00AA0F74" w:rsidRPr="005D725D">
        <w:rPr>
          <w:rFonts w:ascii="Times New Roman" w:hAnsi="Times New Roman" w:cs="Times New Roman"/>
          <w:sz w:val="24"/>
          <w:szCs w:val="24"/>
        </w:rPr>
        <w:t xml:space="preserve"> defining actions in the last 4 years</w:t>
      </w:r>
      <w:r w:rsidR="000C44B2">
        <w:rPr>
          <w:rFonts w:ascii="Times New Roman" w:hAnsi="Times New Roman" w:cs="Times New Roman"/>
          <w:sz w:val="24"/>
          <w:szCs w:val="24"/>
        </w:rPr>
        <w:t>,</w:t>
      </w:r>
      <w:r w:rsidR="00AA0F74" w:rsidRPr="005D725D">
        <w:rPr>
          <w:rFonts w:ascii="Times New Roman" w:hAnsi="Times New Roman" w:cs="Times New Roman"/>
          <w:sz w:val="24"/>
          <w:szCs w:val="24"/>
        </w:rPr>
        <w:t xml:space="preserve"> involving </w:t>
      </w:r>
      <w:r w:rsidR="009235B9">
        <w:rPr>
          <w:rFonts w:ascii="Times New Roman" w:hAnsi="Times New Roman" w:cs="Times New Roman"/>
          <w:sz w:val="24"/>
          <w:szCs w:val="24"/>
        </w:rPr>
        <w:t xml:space="preserve">the </w:t>
      </w:r>
      <w:r w:rsidR="000C44B2" w:rsidRPr="005D725D">
        <w:rPr>
          <w:rFonts w:ascii="Times New Roman" w:hAnsi="Times New Roman" w:cs="Times New Roman"/>
          <w:sz w:val="24"/>
          <w:szCs w:val="24"/>
        </w:rPr>
        <w:t>delivery</w:t>
      </w:r>
      <w:r w:rsidR="00C77B5F">
        <w:rPr>
          <w:rFonts w:ascii="Times New Roman" w:hAnsi="Times New Roman" w:cs="Times New Roman"/>
          <w:sz w:val="24"/>
          <w:szCs w:val="24"/>
        </w:rPr>
        <w:t xml:space="preserve"> of</w:t>
      </w:r>
      <w:r w:rsidR="000C44B2" w:rsidRPr="005D725D">
        <w:rPr>
          <w:rFonts w:ascii="Times New Roman" w:hAnsi="Times New Roman" w:cs="Times New Roman"/>
          <w:sz w:val="24"/>
          <w:szCs w:val="24"/>
        </w:rPr>
        <w:t xml:space="preserve"> </w:t>
      </w:r>
      <w:r w:rsidR="00AA0F74" w:rsidRPr="005D725D">
        <w:rPr>
          <w:rFonts w:ascii="Times New Roman" w:hAnsi="Times New Roman" w:cs="Times New Roman"/>
          <w:sz w:val="24"/>
          <w:szCs w:val="24"/>
        </w:rPr>
        <w:t>highly prioritised</w:t>
      </w:r>
      <w:r w:rsidR="000C44B2">
        <w:rPr>
          <w:rFonts w:ascii="Times New Roman" w:hAnsi="Times New Roman" w:cs="Times New Roman"/>
          <w:sz w:val="24"/>
          <w:szCs w:val="24"/>
        </w:rPr>
        <w:t xml:space="preserve"> needs</w:t>
      </w:r>
      <w:r w:rsidR="009235B9">
        <w:rPr>
          <w:rFonts w:ascii="Times New Roman" w:hAnsi="Times New Roman" w:cs="Times New Roman"/>
          <w:sz w:val="24"/>
          <w:szCs w:val="24"/>
        </w:rPr>
        <w:t>, with a special focus</w:t>
      </w:r>
      <w:r w:rsidR="0075455B" w:rsidRPr="005D725D">
        <w:rPr>
          <w:rFonts w:ascii="Times New Roman" w:hAnsi="Times New Roman" w:cs="Times New Roman"/>
          <w:sz w:val="24"/>
          <w:szCs w:val="24"/>
        </w:rPr>
        <w:t xml:space="preserve"> on human capital </w:t>
      </w:r>
      <w:r w:rsidR="0026799D" w:rsidRPr="005D725D">
        <w:rPr>
          <w:rFonts w:ascii="Times New Roman" w:hAnsi="Times New Roman" w:cs="Times New Roman"/>
          <w:sz w:val="24"/>
          <w:szCs w:val="24"/>
        </w:rPr>
        <w:t>development</w:t>
      </w:r>
      <w:r w:rsidR="00962DEB">
        <w:rPr>
          <w:rFonts w:ascii="Times New Roman" w:hAnsi="Times New Roman" w:cs="Times New Roman"/>
          <w:sz w:val="24"/>
          <w:szCs w:val="24"/>
        </w:rPr>
        <w:t>;</w:t>
      </w:r>
      <w:r w:rsidR="00AA0F74" w:rsidRPr="005D725D">
        <w:rPr>
          <w:rFonts w:ascii="Times New Roman" w:hAnsi="Times New Roman" w:cs="Times New Roman"/>
          <w:sz w:val="24"/>
          <w:szCs w:val="24"/>
        </w:rPr>
        <w:t xml:space="preserve"> accompanied by increased sectoral and development partner coordination, heightened public financial management, increased deployment of ICT and digital solution</w:t>
      </w:r>
      <w:r w:rsidR="0026799D" w:rsidRPr="005D725D">
        <w:rPr>
          <w:rFonts w:ascii="Times New Roman" w:hAnsi="Times New Roman" w:cs="Times New Roman"/>
          <w:sz w:val="24"/>
          <w:szCs w:val="24"/>
        </w:rPr>
        <w:t>s</w:t>
      </w:r>
      <w:r w:rsidR="00962DEB">
        <w:rPr>
          <w:rFonts w:ascii="Times New Roman" w:hAnsi="Times New Roman" w:cs="Times New Roman"/>
          <w:sz w:val="24"/>
          <w:szCs w:val="24"/>
        </w:rPr>
        <w:t>,</w:t>
      </w:r>
      <w:r w:rsidR="0026799D" w:rsidRPr="005D725D">
        <w:rPr>
          <w:rFonts w:ascii="Times New Roman" w:hAnsi="Times New Roman" w:cs="Times New Roman"/>
          <w:sz w:val="24"/>
          <w:szCs w:val="24"/>
        </w:rPr>
        <w:t xml:space="preserve"> and </w:t>
      </w:r>
      <w:r w:rsidR="00962DEB">
        <w:rPr>
          <w:rFonts w:ascii="Times New Roman" w:hAnsi="Times New Roman" w:cs="Times New Roman"/>
          <w:sz w:val="24"/>
          <w:szCs w:val="24"/>
        </w:rPr>
        <w:t xml:space="preserve">sustained </w:t>
      </w:r>
      <w:r w:rsidR="0026799D" w:rsidRPr="005D725D">
        <w:rPr>
          <w:rFonts w:ascii="Times New Roman" w:hAnsi="Times New Roman" w:cs="Times New Roman"/>
          <w:sz w:val="24"/>
          <w:szCs w:val="24"/>
        </w:rPr>
        <w:t xml:space="preserve">fight against corruption. Some of the key results recorded </w:t>
      </w:r>
      <w:r w:rsidRPr="005D725D">
        <w:rPr>
          <w:rFonts w:ascii="Times New Roman" w:hAnsi="Times New Roman" w:cs="Times New Roman"/>
          <w:sz w:val="24"/>
          <w:szCs w:val="24"/>
        </w:rPr>
        <w:t xml:space="preserve">are highlighted in the following </w:t>
      </w:r>
      <w:r w:rsidR="00AE3BCC">
        <w:rPr>
          <w:rFonts w:ascii="Times New Roman" w:hAnsi="Times New Roman" w:cs="Times New Roman"/>
          <w:sz w:val="24"/>
          <w:szCs w:val="24"/>
        </w:rPr>
        <w:t>section</w:t>
      </w:r>
      <w:r w:rsidRPr="005D725D">
        <w:rPr>
          <w:rFonts w:ascii="Times New Roman" w:hAnsi="Times New Roman" w:cs="Times New Roman"/>
          <w:sz w:val="24"/>
          <w:szCs w:val="24"/>
        </w:rPr>
        <w:t xml:space="preserve"> </w:t>
      </w:r>
      <w:r w:rsidRPr="005D725D">
        <w:rPr>
          <w:rFonts w:ascii="Times New Roman" w:hAnsi="Times New Roman" w:cs="Times New Roman"/>
          <w:i/>
          <w:sz w:val="24"/>
          <w:szCs w:val="24"/>
        </w:rPr>
        <w:t>(see the Mid-Term Review Report on the implementation of the MTNDP for details on the progress made so far; obtainable from the Ministry of Planning and Economic Development, Freetown</w:t>
      </w:r>
      <w:r w:rsidRPr="005D725D">
        <w:rPr>
          <w:rFonts w:ascii="Times New Roman" w:hAnsi="Times New Roman" w:cs="Times New Roman"/>
          <w:sz w:val="24"/>
          <w:szCs w:val="24"/>
        </w:rPr>
        <w:t>).</w:t>
      </w:r>
      <w:r w:rsidR="000D649A" w:rsidRPr="005D725D">
        <w:rPr>
          <w:rFonts w:ascii="Times New Roman" w:hAnsi="Times New Roman" w:cs="Times New Roman"/>
          <w:sz w:val="24"/>
          <w:szCs w:val="24"/>
        </w:rPr>
        <w:t xml:space="preserve"> </w:t>
      </w:r>
    </w:p>
    <w:p w14:paraId="0A7727F4" w14:textId="77777777" w:rsidR="00B80B08" w:rsidRPr="004931A3" w:rsidRDefault="006A486C" w:rsidP="004931A3">
      <w:pPr>
        <w:pStyle w:val="Heading1"/>
        <w:spacing w:before="360" w:after="240" w:line="240" w:lineRule="auto"/>
        <w:jc w:val="center"/>
        <w:rPr>
          <w:b/>
          <w:color w:val="0070C0"/>
        </w:rPr>
      </w:pPr>
      <w:bookmarkStart w:id="2" w:name="_Toc125729996"/>
      <w:r w:rsidRPr="004931A3">
        <w:rPr>
          <w:b/>
          <w:color w:val="0070C0"/>
        </w:rPr>
        <w:t>C.</w:t>
      </w:r>
      <w:r w:rsidR="009475AB" w:rsidRPr="004931A3">
        <w:rPr>
          <w:b/>
          <w:color w:val="0070C0"/>
        </w:rPr>
        <w:t xml:space="preserve"> S</w:t>
      </w:r>
      <w:r w:rsidR="00B80B08" w:rsidRPr="004931A3">
        <w:rPr>
          <w:b/>
          <w:color w:val="0070C0"/>
        </w:rPr>
        <w:t xml:space="preserve">ummary of performance in the </w:t>
      </w:r>
      <w:r w:rsidR="001D2AAD">
        <w:rPr>
          <w:b/>
          <w:color w:val="0070C0"/>
        </w:rPr>
        <w:t xml:space="preserve">implementation of the </w:t>
      </w:r>
      <w:r w:rsidR="00B80B08" w:rsidRPr="004931A3">
        <w:rPr>
          <w:b/>
          <w:color w:val="0070C0"/>
        </w:rPr>
        <w:t>current plan</w:t>
      </w:r>
      <w:bookmarkEnd w:id="2"/>
    </w:p>
    <w:p w14:paraId="1844775C" w14:textId="77777777" w:rsidR="00370FF0" w:rsidRPr="005D725D" w:rsidRDefault="00BE2672"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b/>
          <w:i/>
          <w:sz w:val="24"/>
          <w:szCs w:val="24"/>
        </w:rPr>
        <w:t>Policy Cluster One</w:t>
      </w:r>
      <w:r w:rsidR="00E24F6C">
        <w:rPr>
          <w:rFonts w:ascii="Times New Roman" w:hAnsi="Times New Roman" w:cs="Times New Roman"/>
          <w:b/>
          <w:i/>
          <w:sz w:val="24"/>
          <w:szCs w:val="24"/>
        </w:rPr>
        <w:t xml:space="preserve"> on</w:t>
      </w:r>
      <w:r w:rsidR="009475AB" w:rsidRPr="005D725D">
        <w:rPr>
          <w:rFonts w:ascii="Times New Roman" w:hAnsi="Times New Roman" w:cs="Times New Roman"/>
          <w:b/>
          <w:i/>
          <w:sz w:val="24"/>
          <w:szCs w:val="24"/>
        </w:rPr>
        <w:t xml:space="preserve"> </w:t>
      </w:r>
      <w:r w:rsidR="003B549B" w:rsidRPr="005D725D">
        <w:rPr>
          <w:rFonts w:ascii="Times New Roman" w:hAnsi="Times New Roman" w:cs="Times New Roman"/>
          <w:b/>
          <w:i/>
          <w:sz w:val="24"/>
          <w:szCs w:val="24"/>
        </w:rPr>
        <w:t xml:space="preserve">Human Capital Development </w:t>
      </w:r>
      <w:r w:rsidR="00EF5500" w:rsidRPr="005D725D">
        <w:rPr>
          <w:rFonts w:ascii="Times New Roman" w:hAnsi="Times New Roman" w:cs="Times New Roman"/>
          <w:b/>
          <w:i/>
          <w:sz w:val="24"/>
          <w:szCs w:val="24"/>
        </w:rPr>
        <w:t>(</w:t>
      </w:r>
      <w:r w:rsidR="009475AB" w:rsidRPr="005D725D">
        <w:rPr>
          <w:rFonts w:ascii="Times New Roman" w:hAnsi="Times New Roman" w:cs="Times New Roman"/>
          <w:b/>
          <w:i/>
          <w:sz w:val="24"/>
          <w:szCs w:val="24"/>
        </w:rPr>
        <w:t xml:space="preserve">the most </w:t>
      </w:r>
      <w:r w:rsidR="00EF5500" w:rsidRPr="005D725D">
        <w:rPr>
          <w:rFonts w:ascii="Times New Roman" w:hAnsi="Times New Roman" w:cs="Times New Roman"/>
          <w:b/>
          <w:i/>
          <w:sz w:val="24"/>
          <w:szCs w:val="24"/>
        </w:rPr>
        <w:t>prioritised cluster)</w:t>
      </w:r>
      <w:r w:rsidR="009475AB" w:rsidRPr="005D725D">
        <w:rPr>
          <w:rFonts w:ascii="Times New Roman" w:hAnsi="Times New Roman" w:cs="Times New Roman"/>
          <w:b/>
          <w:i/>
          <w:sz w:val="24"/>
          <w:szCs w:val="24"/>
        </w:rPr>
        <w:t xml:space="preserve">: </w:t>
      </w:r>
      <w:r w:rsidR="009475AB" w:rsidRPr="005D725D">
        <w:rPr>
          <w:rFonts w:ascii="Times New Roman" w:hAnsi="Times New Roman" w:cs="Times New Roman"/>
          <w:sz w:val="24"/>
          <w:szCs w:val="24"/>
        </w:rPr>
        <w:t>Th</w:t>
      </w:r>
      <w:r w:rsidRPr="005D725D">
        <w:rPr>
          <w:rFonts w:ascii="Times New Roman" w:hAnsi="Times New Roman" w:cs="Times New Roman"/>
          <w:sz w:val="24"/>
          <w:szCs w:val="24"/>
        </w:rPr>
        <w:t xml:space="preserve">e government pursued a </w:t>
      </w:r>
      <w:r w:rsidR="00B67BB3" w:rsidRPr="005D725D">
        <w:rPr>
          <w:rFonts w:ascii="Times New Roman" w:hAnsi="Times New Roman" w:cs="Times New Roman"/>
          <w:sz w:val="24"/>
          <w:szCs w:val="24"/>
        </w:rPr>
        <w:t xml:space="preserve">flagship </w:t>
      </w:r>
      <w:r w:rsidR="0049502A" w:rsidRPr="005D725D">
        <w:rPr>
          <w:rFonts w:ascii="Times New Roman" w:hAnsi="Times New Roman" w:cs="Times New Roman"/>
          <w:i/>
          <w:sz w:val="24"/>
          <w:szCs w:val="24"/>
        </w:rPr>
        <w:t>free quality</w:t>
      </w:r>
      <w:r w:rsidR="009475AB" w:rsidRPr="005D725D">
        <w:rPr>
          <w:rFonts w:ascii="Times New Roman" w:hAnsi="Times New Roman" w:cs="Times New Roman"/>
          <w:i/>
          <w:sz w:val="24"/>
          <w:szCs w:val="24"/>
        </w:rPr>
        <w:t xml:space="preserve"> school education programme</w:t>
      </w:r>
      <w:r w:rsidRPr="005D725D">
        <w:rPr>
          <w:rFonts w:ascii="Times New Roman" w:hAnsi="Times New Roman" w:cs="Times New Roman"/>
          <w:i/>
          <w:sz w:val="24"/>
          <w:szCs w:val="24"/>
        </w:rPr>
        <w:t xml:space="preserve"> </w:t>
      </w:r>
      <w:r w:rsidRPr="005D725D">
        <w:rPr>
          <w:rFonts w:ascii="Times New Roman" w:hAnsi="Times New Roman" w:cs="Times New Roman"/>
          <w:sz w:val="24"/>
          <w:szCs w:val="24"/>
        </w:rPr>
        <w:t>that engendered significant increases</w:t>
      </w:r>
      <w:r w:rsidR="0049502A" w:rsidRPr="005D725D">
        <w:rPr>
          <w:rFonts w:ascii="Times New Roman" w:hAnsi="Times New Roman" w:cs="Times New Roman"/>
          <w:sz w:val="24"/>
          <w:szCs w:val="24"/>
        </w:rPr>
        <w:t xml:space="preserve"> </w:t>
      </w:r>
      <w:r w:rsidRPr="005D725D">
        <w:rPr>
          <w:rFonts w:ascii="Times New Roman" w:hAnsi="Times New Roman" w:cs="Times New Roman"/>
          <w:sz w:val="24"/>
          <w:szCs w:val="24"/>
        </w:rPr>
        <w:t xml:space="preserve">in </w:t>
      </w:r>
      <w:r w:rsidR="0049502A" w:rsidRPr="005D725D">
        <w:rPr>
          <w:rFonts w:ascii="Times New Roman" w:hAnsi="Times New Roman" w:cs="Times New Roman"/>
          <w:sz w:val="24"/>
          <w:szCs w:val="24"/>
        </w:rPr>
        <w:t>education expenditure as a percentage of recurren</w:t>
      </w:r>
      <w:r w:rsidR="00BA4A50">
        <w:rPr>
          <w:rFonts w:ascii="Times New Roman" w:hAnsi="Times New Roman" w:cs="Times New Roman"/>
          <w:sz w:val="24"/>
          <w:szCs w:val="24"/>
        </w:rPr>
        <w:t>t public spending from 18.9 per</w:t>
      </w:r>
      <w:r w:rsidR="0049502A" w:rsidRPr="005D725D">
        <w:rPr>
          <w:rFonts w:ascii="Times New Roman" w:hAnsi="Times New Roman" w:cs="Times New Roman"/>
          <w:sz w:val="24"/>
          <w:szCs w:val="24"/>
        </w:rPr>
        <w:t>cent in 2018 to 22 per cent in 2021</w:t>
      </w:r>
      <w:r w:rsidRPr="005D725D">
        <w:rPr>
          <w:rFonts w:ascii="Times New Roman" w:hAnsi="Times New Roman" w:cs="Times New Roman"/>
          <w:sz w:val="24"/>
          <w:szCs w:val="24"/>
        </w:rPr>
        <w:t xml:space="preserve"> and 2022</w:t>
      </w:r>
      <w:r w:rsidR="0049502A" w:rsidRPr="005D725D">
        <w:rPr>
          <w:rFonts w:ascii="Times New Roman" w:hAnsi="Times New Roman" w:cs="Times New Roman"/>
          <w:sz w:val="24"/>
          <w:szCs w:val="24"/>
        </w:rPr>
        <w:t xml:space="preserve">. </w:t>
      </w:r>
      <w:r w:rsidR="00BC68BC" w:rsidRPr="005D725D">
        <w:rPr>
          <w:rFonts w:ascii="Times New Roman" w:hAnsi="Times New Roman" w:cs="Times New Roman"/>
          <w:sz w:val="24"/>
          <w:szCs w:val="24"/>
        </w:rPr>
        <w:t xml:space="preserve">This </w:t>
      </w:r>
      <w:r w:rsidR="00B67BB3" w:rsidRPr="005D725D">
        <w:rPr>
          <w:rFonts w:ascii="Times New Roman" w:hAnsi="Times New Roman" w:cs="Times New Roman"/>
          <w:sz w:val="24"/>
          <w:szCs w:val="24"/>
        </w:rPr>
        <w:t>provi</w:t>
      </w:r>
      <w:r w:rsidR="00BC68BC" w:rsidRPr="005D725D">
        <w:rPr>
          <w:rFonts w:ascii="Times New Roman" w:hAnsi="Times New Roman" w:cs="Times New Roman"/>
          <w:sz w:val="24"/>
          <w:szCs w:val="24"/>
        </w:rPr>
        <w:t xml:space="preserve">ded </w:t>
      </w:r>
      <w:r w:rsidRPr="005D725D">
        <w:rPr>
          <w:rFonts w:ascii="Times New Roman" w:hAnsi="Times New Roman" w:cs="Times New Roman"/>
          <w:sz w:val="24"/>
          <w:szCs w:val="24"/>
        </w:rPr>
        <w:t>food for over 400,000 children i</w:t>
      </w:r>
      <w:r w:rsidR="00322CF1" w:rsidRPr="005D725D">
        <w:rPr>
          <w:rFonts w:ascii="Times New Roman" w:hAnsi="Times New Roman" w:cs="Times New Roman"/>
          <w:sz w:val="24"/>
          <w:szCs w:val="24"/>
        </w:rPr>
        <w:t>n over 1,000 piloted government/</w:t>
      </w:r>
      <w:r w:rsidRPr="005D725D">
        <w:rPr>
          <w:rFonts w:ascii="Times New Roman" w:hAnsi="Times New Roman" w:cs="Times New Roman"/>
          <w:sz w:val="24"/>
          <w:szCs w:val="24"/>
        </w:rPr>
        <w:t>government-</w:t>
      </w:r>
      <w:r w:rsidR="00322CF1" w:rsidRPr="005D725D">
        <w:rPr>
          <w:rFonts w:ascii="Times New Roman" w:hAnsi="Times New Roman" w:cs="Times New Roman"/>
          <w:sz w:val="24"/>
          <w:szCs w:val="24"/>
        </w:rPr>
        <w:t xml:space="preserve">assisted schools, as well as </w:t>
      </w:r>
      <w:r w:rsidRPr="005D725D">
        <w:rPr>
          <w:rFonts w:ascii="Times New Roman" w:hAnsi="Times New Roman" w:cs="Times New Roman"/>
          <w:sz w:val="24"/>
          <w:szCs w:val="24"/>
        </w:rPr>
        <w:t xml:space="preserve">tuition fee grants, teaching and learning materials in </w:t>
      </w:r>
      <w:r w:rsidR="00322CF1" w:rsidRPr="005D725D">
        <w:rPr>
          <w:rFonts w:ascii="Times New Roman" w:hAnsi="Times New Roman" w:cs="Times New Roman"/>
          <w:sz w:val="24"/>
          <w:szCs w:val="24"/>
        </w:rPr>
        <w:t>close to 8,0</w:t>
      </w:r>
      <w:r w:rsidRPr="005D725D">
        <w:rPr>
          <w:rFonts w:ascii="Times New Roman" w:hAnsi="Times New Roman" w:cs="Times New Roman"/>
          <w:sz w:val="24"/>
          <w:szCs w:val="24"/>
        </w:rPr>
        <w:t xml:space="preserve">00 of these schools, covering pre-primary, primary, junior and senior secondary levels. Consequently, school enrolment significantly increased by about 800,000 pupils since the launch of the Free Quality School Education Programme in September 2018. Gender parity was </w:t>
      </w:r>
      <w:r w:rsidR="00BC68BC" w:rsidRPr="005D725D">
        <w:rPr>
          <w:rFonts w:ascii="Times New Roman" w:hAnsi="Times New Roman" w:cs="Times New Roman"/>
          <w:sz w:val="24"/>
          <w:szCs w:val="24"/>
        </w:rPr>
        <w:t xml:space="preserve">achieved and </w:t>
      </w:r>
      <w:r w:rsidRPr="005D725D">
        <w:rPr>
          <w:rFonts w:ascii="Times New Roman" w:hAnsi="Times New Roman" w:cs="Times New Roman"/>
          <w:sz w:val="24"/>
          <w:szCs w:val="24"/>
        </w:rPr>
        <w:t>maintained at the primary</w:t>
      </w:r>
      <w:r w:rsidR="00BC68BC" w:rsidRPr="005D725D">
        <w:rPr>
          <w:rFonts w:ascii="Times New Roman" w:hAnsi="Times New Roman" w:cs="Times New Roman"/>
          <w:sz w:val="24"/>
          <w:szCs w:val="24"/>
        </w:rPr>
        <w:t>, as well as junior secondary</w:t>
      </w:r>
      <w:r w:rsidRPr="005D725D">
        <w:rPr>
          <w:rFonts w:ascii="Times New Roman" w:hAnsi="Times New Roman" w:cs="Times New Roman"/>
          <w:sz w:val="24"/>
          <w:szCs w:val="24"/>
        </w:rPr>
        <w:t xml:space="preserve"> school level</w:t>
      </w:r>
      <w:r w:rsidR="00BC68BC" w:rsidRPr="005D725D">
        <w:rPr>
          <w:rFonts w:ascii="Times New Roman" w:hAnsi="Times New Roman" w:cs="Times New Roman"/>
          <w:sz w:val="24"/>
          <w:szCs w:val="24"/>
        </w:rPr>
        <w:t>.</w:t>
      </w:r>
      <w:r w:rsidR="001432D1" w:rsidRPr="005D725D">
        <w:rPr>
          <w:rFonts w:ascii="Times New Roman" w:hAnsi="Times New Roman" w:cs="Times New Roman"/>
          <w:sz w:val="24"/>
          <w:szCs w:val="24"/>
        </w:rPr>
        <w:t xml:space="preserve"> </w:t>
      </w:r>
    </w:p>
    <w:p w14:paraId="15A3D559" w14:textId="77777777" w:rsidR="00464E9D" w:rsidRPr="005D725D" w:rsidRDefault="000D649A"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In </w:t>
      </w:r>
      <w:r w:rsidRPr="005D725D">
        <w:rPr>
          <w:rFonts w:ascii="Times New Roman" w:hAnsi="Times New Roman" w:cs="Times New Roman"/>
          <w:i/>
          <w:sz w:val="24"/>
          <w:szCs w:val="24"/>
        </w:rPr>
        <w:t>health</w:t>
      </w:r>
      <w:r w:rsidRPr="005D725D">
        <w:rPr>
          <w:rFonts w:ascii="Times New Roman" w:hAnsi="Times New Roman" w:cs="Times New Roman"/>
          <w:sz w:val="24"/>
          <w:szCs w:val="24"/>
        </w:rPr>
        <w:t xml:space="preserve">, </w:t>
      </w:r>
      <w:r w:rsidR="00464E9D" w:rsidRPr="005D725D">
        <w:rPr>
          <w:rFonts w:ascii="Times New Roman" w:hAnsi="Times New Roman" w:cs="Times New Roman"/>
          <w:sz w:val="24"/>
          <w:szCs w:val="24"/>
        </w:rPr>
        <w:t>the national bu</w:t>
      </w:r>
      <w:r w:rsidRPr="005D725D">
        <w:rPr>
          <w:rFonts w:ascii="Times New Roman" w:hAnsi="Times New Roman" w:cs="Times New Roman"/>
          <w:sz w:val="24"/>
          <w:szCs w:val="24"/>
        </w:rPr>
        <w:t xml:space="preserve">dgetary allocation to the sector almost doubled </w:t>
      </w:r>
      <w:r w:rsidR="00EF5500" w:rsidRPr="005D725D">
        <w:rPr>
          <w:rFonts w:ascii="Times New Roman" w:hAnsi="Times New Roman" w:cs="Times New Roman"/>
          <w:sz w:val="24"/>
          <w:szCs w:val="24"/>
        </w:rPr>
        <w:t>i</w:t>
      </w:r>
      <w:r w:rsidR="00BA4A50">
        <w:rPr>
          <w:rFonts w:ascii="Times New Roman" w:hAnsi="Times New Roman" w:cs="Times New Roman"/>
          <w:sz w:val="24"/>
          <w:szCs w:val="24"/>
        </w:rPr>
        <w:t>n 2021 at 11 percent from 6 per</w:t>
      </w:r>
      <w:r w:rsidR="00EF5500" w:rsidRPr="005D725D">
        <w:rPr>
          <w:rFonts w:ascii="Times New Roman" w:hAnsi="Times New Roman" w:cs="Times New Roman"/>
          <w:sz w:val="24"/>
          <w:szCs w:val="24"/>
        </w:rPr>
        <w:t xml:space="preserve">cent in 2018. This led to </w:t>
      </w:r>
      <w:r w:rsidR="00464E9D" w:rsidRPr="005D725D">
        <w:rPr>
          <w:rFonts w:ascii="Times New Roman" w:hAnsi="Times New Roman" w:cs="Times New Roman"/>
          <w:sz w:val="24"/>
          <w:szCs w:val="24"/>
        </w:rPr>
        <w:t>recruitment of over 4,000 healthcare workers and distribution of over 216 ambulances across the 16 districts of Sierra Leone</w:t>
      </w:r>
      <w:r w:rsidR="00EF5500" w:rsidRPr="005D725D">
        <w:rPr>
          <w:rFonts w:ascii="Times New Roman" w:hAnsi="Times New Roman" w:cs="Times New Roman"/>
          <w:sz w:val="24"/>
          <w:szCs w:val="24"/>
        </w:rPr>
        <w:t xml:space="preserve"> during the 2019-2021</w:t>
      </w:r>
      <w:r w:rsidR="00464E9D" w:rsidRPr="005D725D">
        <w:rPr>
          <w:rFonts w:ascii="Times New Roman" w:hAnsi="Times New Roman" w:cs="Times New Roman"/>
          <w:sz w:val="24"/>
          <w:szCs w:val="24"/>
        </w:rPr>
        <w:t xml:space="preserve">. </w:t>
      </w:r>
      <w:r w:rsidR="00EF5500" w:rsidRPr="005D725D">
        <w:rPr>
          <w:rFonts w:ascii="Times New Roman" w:hAnsi="Times New Roman" w:cs="Times New Roman"/>
          <w:sz w:val="24"/>
          <w:szCs w:val="24"/>
        </w:rPr>
        <w:t xml:space="preserve">By </w:t>
      </w:r>
      <w:r w:rsidR="00464E9D" w:rsidRPr="005D725D">
        <w:rPr>
          <w:rFonts w:ascii="Times New Roman" w:hAnsi="Times New Roman" w:cs="Times New Roman"/>
          <w:sz w:val="24"/>
          <w:szCs w:val="24"/>
        </w:rPr>
        <w:t>the end of 2019</w:t>
      </w:r>
      <w:r w:rsidR="00EF5500" w:rsidRPr="005D725D">
        <w:rPr>
          <w:rFonts w:ascii="Times New Roman" w:hAnsi="Times New Roman" w:cs="Times New Roman"/>
          <w:sz w:val="24"/>
          <w:szCs w:val="24"/>
        </w:rPr>
        <w:t xml:space="preserve">, </w:t>
      </w:r>
      <w:r w:rsidR="00464E9D" w:rsidRPr="005D725D">
        <w:rPr>
          <w:rFonts w:ascii="Times New Roman" w:hAnsi="Times New Roman" w:cs="Times New Roman"/>
          <w:sz w:val="24"/>
          <w:szCs w:val="24"/>
        </w:rPr>
        <w:t xml:space="preserve">maternal deaths per 100,000 live births </w:t>
      </w:r>
      <w:r w:rsidR="00EF5500" w:rsidRPr="005D725D">
        <w:rPr>
          <w:rFonts w:ascii="Times New Roman" w:hAnsi="Times New Roman" w:cs="Times New Roman"/>
          <w:sz w:val="24"/>
          <w:szCs w:val="24"/>
        </w:rPr>
        <w:t xml:space="preserve">had </w:t>
      </w:r>
      <w:r w:rsidR="00464E9D" w:rsidRPr="005D725D">
        <w:rPr>
          <w:rFonts w:ascii="Times New Roman" w:hAnsi="Times New Roman" w:cs="Times New Roman"/>
          <w:sz w:val="24"/>
          <w:szCs w:val="24"/>
        </w:rPr>
        <w:t>dropped from 1,165 in 2013 to 717 in 2019; under-five deaths per 1,000 live births dropped from 156 in 2013 to 122 in 2019, and infant deaths per 1,000 live births reduced from 92 in 2013 to 75 in 2019.</w:t>
      </w:r>
      <w:r w:rsidR="00EF5500" w:rsidRPr="005D725D">
        <w:rPr>
          <w:rFonts w:ascii="Times New Roman" w:hAnsi="Times New Roman" w:cs="Times New Roman"/>
          <w:sz w:val="24"/>
          <w:szCs w:val="24"/>
        </w:rPr>
        <w:t xml:space="preserve"> </w:t>
      </w:r>
    </w:p>
    <w:p w14:paraId="493C7167" w14:textId="77777777" w:rsidR="00802A0D" w:rsidRPr="005D725D" w:rsidRDefault="003B549B"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b/>
          <w:i/>
          <w:sz w:val="24"/>
          <w:szCs w:val="24"/>
        </w:rPr>
        <w:t>Cluster Two on Economic Diversification for Promoting Economic Growth</w:t>
      </w:r>
      <w:r w:rsidR="009475AB" w:rsidRPr="005D725D">
        <w:rPr>
          <w:rFonts w:ascii="Times New Roman" w:hAnsi="Times New Roman" w:cs="Times New Roman"/>
          <w:b/>
          <w:i/>
          <w:sz w:val="24"/>
          <w:szCs w:val="24"/>
        </w:rPr>
        <w:t xml:space="preserve">: </w:t>
      </w:r>
      <w:r w:rsidR="00BA4A50" w:rsidRPr="00BA4A50">
        <w:rPr>
          <w:rFonts w:ascii="Times New Roman" w:hAnsi="Times New Roman" w:cs="Times New Roman"/>
          <w:sz w:val="24"/>
          <w:szCs w:val="24"/>
        </w:rPr>
        <w:t xml:space="preserve">In </w:t>
      </w:r>
      <w:r w:rsidR="00BA4A50" w:rsidRPr="00BA4A50">
        <w:rPr>
          <w:rFonts w:ascii="Times New Roman" w:hAnsi="Times New Roman" w:cs="Times New Roman"/>
          <w:i/>
          <w:sz w:val="24"/>
          <w:szCs w:val="24"/>
        </w:rPr>
        <w:t>agriculture</w:t>
      </w:r>
      <w:r w:rsidR="00857F62">
        <w:rPr>
          <w:rFonts w:ascii="Times New Roman" w:hAnsi="Times New Roman" w:cs="Times New Roman"/>
          <w:i/>
          <w:sz w:val="24"/>
          <w:szCs w:val="24"/>
        </w:rPr>
        <w:t>,</w:t>
      </w:r>
      <w:r w:rsidR="00BA4A50">
        <w:rPr>
          <w:rFonts w:ascii="Times New Roman" w:hAnsi="Times New Roman" w:cs="Times New Roman"/>
          <w:b/>
          <w:i/>
          <w:sz w:val="24"/>
          <w:szCs w:val="24"/>
        </w:rPr>
        <w:t xml:space="preserve"> </w:t>
      </w:r>
      <w:r w:rsidR="00857F62">
        <w:rPr>
          <w:rFonts w:ascii="Times New Roman" w:hAnsi="Times New Roman" w:cs="Times New Roman"/>
          <w:sz w:val="24"/>
          <w:szCs w:val="24"/>
        </w:rPr>
        <w:t>a</w:t>
      </w:r>
      <w:r w:rsidRPr="005D725D">
        <w:rPr>
          <w:rFonts w:ascii="Times New Roman" w:hAnsi="Times New Roman" w:cs="Times New Roman"/>
          <w:sz w:val="24"/>
          <w:szCs w:val="24"/>
        </w:rPr>
        <w:t>t least 600 assorted tractors, 200 power tillers, and other farm inputs such as fertilisers, agrochemicals, improved seedlings and combined harvesters were procured and distributed across the country during 2018-2021; accompanied by the</w:t>
      </w:r>
      <w:r w:rsidR="00802A0D" w:rsidRPr="005D725D">
        <w:rPr>
          <w:rFonts w:ascii="Times New Roman" w:hAnsi="Times New Roman" w:cs="Times New Roman"/>
          <w:sz w:val="24"/>
          <w:szCs w:val="24"/>
        </w:rPr>
        <w:t xml:space="preserve"> cultivation of over 2,500 hectares. The </w:t>
      </w:r>
      <w:r w:rsidR="00802A0D" w:rsidRPr="005D725D">
        <w:rPr>
          <w:rFonts w:ascii="Times New Roman" w:hAnsi="Times New Roman" w:cs="Times New Roman"/>
          <w:i/>
          <w:sz w:val="24"/>
          <w:szCs w:val="24"/>
        </w:rPr>
        <w:t>fisheries</w:t>
      </w:r>
      <w:r w:rsidR="00802A0D" w:rsidRPr="005D725D">
        <w:rPr>
          <w:rFonts w:ascii="Times New Roman" w:hAnsi="Times New Roman" w:cs="Times New Roman"/>
          <w:sz w:val="24"/>
          <w:szCs w:val="24"/>
        </w:rPr>
        <w:t xml:space="preserve"> sector provided huge revenue to the state from export and other levies, an effort largely </w:t>
      </w:r>
      <w:r w:rsidR="00E11E45" w:rsidRPr="005D725D">
        <w:rPr>
          <w:rFonts w:ascii="Times New Roman" w:hAnsi="Times New Roman" w:cs="Times New Roman"/>
          <w:sz w:val="24"/>
          <w:szCs w:val="24"/>
        </w:rPr>
        <w:t xml:space="preserve">drawn from </w:t>
      </w:r>
      <w:r w:rsidR="00802A0D" w:rsidRPr="005D725D">
        <w:rPr>
          <w:rFonts w:ascii="Times New Roman" w:hAnsi="Times New Roman" w:cs="Times New Roman"/>
          <w:sz w:val="24"/>
          <w:szCs w:val="24"/>
        </w:rPr>
        <w:t>improved monitoring and surveillance of the country's waters with a state-of-the-art Vessel Monitoring System, which helped red</w:t>
      </w:r>
      <w:r w:rsidR="00243D24" w:rsidRPr="005D725D">
        <w:rPr>
          <w:rFonts w:ascii="Times New Roman" w:hAnsi="Times New Roman" w:cs="Times New Roman"/>
          <w:sz w:val="24"/>
          <w:szCs w:val="24"/>
        </w:rPr>
        <w:t>uce illicit marine operations; while</w:t>
      </w:r>
      <w:r w:rsidR="00365445">
        <w:rPr>
          <w:rFonts w:ascii="Times New Roman" w:hAnsi="Times New Roman" w:cs="Times New Roman"/>
          <w:sz w:val="24"/>
          <w:szCs w:val="24"/>
        </w:rPr>
        <w:t xml:space="preserve">, in </w:t>
      </w:r>
      <w:r w:rsidR="00365445" w:rsidRPr="00365445">
        <w:rPr>
          <w:rFonts w:ascii="Times New Roman" w:hAnsi="Times New Roman" w:cs="Times New Roman"/>
          <w:i/>
          <w:sz w:val="24"/>
          <w:szCs w:val="24"/>
        </w:rPr>
        <w:t>tourism</w:t>
      </w:r>
      <w:r w:rsidR="00365445">
        <w:rPr>
          <w:rFonts w:ascii="Times New Roman" w:hAnsi="Times New Roman" w:cs="Times New Roman"/>
          <w:sz w:val="24"/>
          <w:szCs w:val="24"/>
        </w:rPr>
        <w:t>,</w:t>
      </w:r>
      <w:r w:rsidR="00243D24" w:rsidRPr="005D725D">
        <w:rPr>
          <w:rFonts w:ascii="Times New Roman" w:hAnsi="Times New Roman" w:cs="Times New Roman"/>
          <w:sz w:val="24"/>
          <w:szCs w:val="24"/>
        </w:rPr>
        <w:t xml:space="preserve"> the international </w:t>
      </w:r>
      <w:r w:rsidR="00243D24" w:rsidRPr="00293B30">
        <w:rPr>
          <w:rFonts w:ascii="Times New Roman" w:hAnsi="Times New Roman" w:cs="Times New Roman"/>
          <w:sz w:val="24"/>
          <w:szCs w:val="24"/>
        </w:rPr>
        <w:t>tourist arrivals</w:t>
      </w:r>
      <w:r w:rsidR="00243D24" w:rsidRPr="005D725D">
        <w:rPr>
          <w:rFonts w:ascii="Times New Roman" w:hAnsi="Times New Roman" w:cs="Times New Roman"/>
          <w:sz w:val="24"/>
          <w:szCs w:val="24"/>
        </w:rPr>
        <w:t xml:space="preserve"> increased from 24,000 in 2015 to 28,000 in 2020 despite the COVID-19 pandemic. </w:t>
      </w:r>
    </w:p>
    <w:p w14:paraId="2ED74D7E" w14:textId="77777777" w:rsidR="00886004" w:rsidRPr="005D725D" w:rsidRDefault="00A42CA9"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For the </w:t>
      </w:r>
      <w:r w:rsidRPr="005D725D">
        <w:rPr>
          <w:rFonts w:ascii="Times New Roman" w:hAnsi="Times New Roman" w:cs="Times New Roman"/>
          <w:i/>
          <w:sz w:val="24"/>
          <w:szCs w:val="24"/>
        </w:rPr>
        <w:t xml:space="preserve">energy </w:t>
      </w:r>
      <w:r w:rsidR="008D51CE" w:rsidRPr="005D725D">
        <w:rPr>
          <w:rFonts w:ascii="Times New Roman" w:hAnsi="Times New Roman" w:cs="Times New Roman"/>
          <w:i/>
          <w:sz w:val="24"/>
          <w:szCs w:val="24"/>
        </w:rPr>
        <w:t>sector</w:t>
      </w:r>
      <w:r w:rsidRPr="005D725D">
        <w:rPr>
          <w:rFonts w:ascii="Times New Roman" w:hAnsi="Times New Roman" w:cs="Times New Roman"/>
          <w:i/>
          <w:sz w:val="24"/>
          <w:szCs w:val="24"/>
        </w:rPr>
        <w:t>,</w:t>
      </w:r>
      <w:r w:rsidRPr="005D725D">
        <w:rPr>
          <w:rFonts w:ascii="Times New Roman" w:hAnsi="Times New Roman" w:cs="Times New Roman"/>
          <w:sz w:val="24"/>
          <w:szCs w:val="24"/>
        </w:rPr>
        <w:t xml:space="preserve"> under </w:t>
      </w:r>
      <w:r w:rsidRPr="005D725D">
        <w:rPr>
          <w:rFonts w:ascii="Times New Roman" w:hAnsi="Times New Roman" w:cs="Times New Roman"/>
          <w:b/>
          <w:i/>
          <w:sz w:val="24"/>
          <w:szCs w:val="24"/>
        </w:rPr>
        <w:t>Cluster Three on Infrastructure and Economic Competitiveness</w:t>
      </w:r>
      <w:r w:rsidRPr="005D725D">
        <w:rPr>
          <w:rFonts w:ascii="Times New Roman" w:hAnsi="Times New Roman" w:cs="Times New Roman"/>
          <w:sz w:val="24"/>
          <w:szCs w:val="24"/>
        </w:rPr>
        <w:t xml:space="preserve">, </w:t>
      </w:r>
      <w:r w:rsidR="00886004" w:rsidRPr="005D725D">
        <w:rPr>
          <w:rFonts w:ascii="Times New Roman" w:hAnsi="Times New Roman" w:cs="Times New Roman"/>
          <w:sz w:val="24"/>
          <w:szCs w:val="24"/>
        </w:rPr>
        <w:t>access to el</w:t>
      </w:r>
      <w:r w:rsidR="008D51CE" w:rsidRPr="005D725D">
        <w:rPr>
          <w:rFonts w:ascii="Times New Roman" w:hAnsi="Times New Roman" w:cs="Times New Roman"/>
          <w:sz w:val="24"/>
          <w:szCs w:val="24"/>
        </w:rPr>
        <w:t>ectricity increased from 16 per</w:t>
      </w:r>
      <w:r w:rsidR="00886004" w:rsidRPr="005D725D">
        <w:rPr>
          <w:rFonts w:ascii="Times New Roman" w:hAnsi="Times New Roman" w:cs="Times New Roman"/>
          <w:sz w:val="24"/>
          <w:szCs w:val="24"/>
        </w:rPr>
        <w:t>cent</w:t>
      </w:r>
      <w:r w:rsidR="008D51CE" w:rsidRPr="005D725D">
        <w:rPr>
          <w:rFonts w:ascii="Times New Roman" w:hAnsi="Times New Roman" w:cs="Times New Roman"/>
          <w:sz w:val="24"/>
          <w:szCs w:val="24"/>
        </w:rPr>
        <w:t xml:space="preserve"> in 2018 to 26 per cent in 2021; household access nearly doubled from 13.5 per</w:t>
      </w:r>
      <w:r w:rsidR="00886004" w:rsidRPr="005D725D">
        <w:rPr>
          <w:rFonts w:ascii="Times New Roman" w:hAnsi="Times New Roman" w:cs="Times New Roman"/>
          <w:sz w:val="24"/>
          <w:szCs w:val="24"/>
        </w:rPr>
        <w:t xml:space="preserve">cent </w:t>
      </w:r>
      <w:r w:rsidR="008D51CE" w:rsidRPr="005D725D">
        <w:rPr>
          <w:rFonts w:ascii="Times New Roman" w:hAnsi="Times New Roman" w:cs="Times New Roman"/>
          <w:sz w:val="24"/>
          <w:szCs w:val="24"/>
        </w:rPr>
        <w:t>in 2018 to 24 per cent in 2021</w:t>
      </w:r>
      <w:r w:rsidR="00C006CC">
        <w:rPr>
          <w:rFonts w:ascii="Times New Roman" w:hAnsi="Times New Roman" w:cs="Times New Roman"/>
          <w:sz w:val="24"/>
          <w:szCs w:val="24"/>
        </w:rPr>
        <w:t>. The p</w:t>
      </w:r>
      <w:r w:rsidR="008D51CE" w:rsidRPr="005D725D">
        <w:rPr>
          <w:rFonts w:ascii="Times New Roman" w:hAnsi="Times New Roman" w:cs="Times New Roman"/>
          <w:sz w:val="24"/>
          <w:szCs w:val="24"/>
        </w:rPr>
        <w:t>opulation</w:t>
      </w:r>
      <w:r w:rsidR="00886004" w:rsidRPr="005D725D">
        <w:rPr>
          <w:rFonts w:ascii="Times New Roman" w:hAnsi="Times New Roman" w:cs="Times New Roman"/>
          <w:sz w:val="24"/>
          <w:szCs w:val="24"/>
        </w:rPr>
        <w:t xml:space="preserve"> access to reliable electricity </w:t>
      </w:r>
      <w:r w:rsidR="00770DCA">
        <w:rPr>
          <w:rFonts w:ascii="Times New Roman" w:hAnsi="Times New Roman" w:cs="Times New Roman"/>
          <w:sz w:val="24"/>
          <w:szCs w:val="24"/>
        </w:rPr>
        <w:t xml:space="preserve">is </w:t>
      </w:r>
      <w:r w:rsidR="00886004" w:rsidRPr="005D725D">
        <w:rPr>
          <w:rFonts w:ascii="Times New Roman" w:hAnsi="Times New Roman" w:cs="Times New Roman"/>
          <w:sz w:val="24"/>
          <w:szCs w:val="24"/>
        </w:rPr>
        <w:t xml:space="preserve">expected to </w:t>
      </w:r>
      <w:r w:rsidR="00407400">
        <w:rPr>
          <w:rFonts w:ascii="Times New Roman" w:hAnsi="Times New Roman" w:cs="Times New Roman"/>
          <w:sz w:val="24"/>
          <w:szCs w:val="24"/>
        </w:rPr>
        <w:t xml:space="preserve">drastically </w:t>
      </w:r>
      <w:r w:rsidR="00886004" w:rsidRPr="005D725D">
        <w:rPr>
          <w:rFonts w:ascii="Times New Roman" w:hAnsi="Times New Roman" w:cs="Times New Roman"/>
          <w:sz w:val="24"/>
          <w:szCs w:val="24"/>
        </w:rPr>
        <w:t>increase with Cote d'Ivoire, Liberia, Sierra Leone, and Guinea (CLSG) power project.</w:t>
      </w:r>
      <w:r w:rsidR="008D51CE" w:rsidRPr="005D725D">
        <w:rPr>
          <w:rFonts w:ascii="Times New Roman" w:hAnsi="Times New Roman" w:cs="Times New Roman"/>
          <w:sz w:val="24"/>
          <w:szCs w:val="24"/>
        </w:rPr>
        <w:t xml:space="preserve"> In </w:t>
      </w:r>
      <w:r w:rsidR="008D51CE" w:rsidRPr="005D725D">
        <w:rPr>
          <w:rFonts w:ascii="Times New Roman" w:hAnsi="Times New Roman" w:cs="Times New Roman"/>
          <w:i/>
          <w:sz w:val="24"/>
          <w:szCs w:val="24"/>
        </w:rPr>
        <w:t>transport</w:t>
      </w:r>
      <w:r w:rsidR="008D51CE" w:rsidRPr="005D725D">
        <w:rPr>
          <w:rFonts w:ascii="Times New Roman" w:hAnsi="Times New Roman" w:cs="Times New Roman"/>
          <w:sz w:val="24"/>
          <w:szCs w:val="24"/>
        </w:rPr>
        <w:t xml:space="preserve">, </w:t>
      </w:r>
      <w:r w:rsidR="00FE2821" w:rsidRPr="005D725D">
        <w:rPr>
          <w:rFonts w:ascii="Times New Roman" w:hAnsi="Times New Roman" w:cs="Times New Roman"/>
          <w:sz w:val="24"/>
          <w:szCs w:val="24"/>
        </w:rPr>
        <w:t xml:space="preserve">construction and rehabilitation of 130 km trunk roads was </w:t>
      </w:r>
      <w:r w:rsidR="008D51CE" w:rsidRPr="005D725D">
        <w:rPr>
          <w:rFonts w:ascii="Times New Roman" w:hAnsi="Times New Roman" w:cs="Times New Roman"/>
          <w:sz w:val="24"/>
          <w:szCs w:val="24"/>
        </w:rPr>
        <w:t>embarked on</w:t>
      </w:r>
      <w:r w:rsidR="00FE2821" w:rsidRPr="005D725D">
        <w:rPr>
          <w:rFonts w:ascii="Times New Roman" w:hAnsi="Times New Roman" w:cs="Times New Roman"/>
          <w:sz w:val="24"/>
          <w:szCs w:val="24"/>
        </w:rPr>
        <w:t xml:space="preserve">, </w:t>
      </w:r>
      <w:r w:rsidR="00BC0D8E" w:rsidRPr="005D725D">
        <w:rPr>
          <w:rFonts w:ascii="Times New Roman" w:hAnsi="Times New Roman" w:cs="Times New Roman"/>
          <w:sz w:val="24"/>
          <w:szCs w:val="24"/>
        </w:rPr>
        <w:t>including rehabilitation of</w:t>
      </w:r>
      <w:r w:rsidR="008D51CE" w:rsidRPr="005D725D">
        <w:rPr>
          <w:rFonts w:ascii="Times New Roman" w:hAnsi="Times New Roman" w:cs="Times New Roman"/>
          <w:sz w:val="24"/>
          <w:szCs w:val="24"/>
        </w:rPr>
        <w:t xml:space="preserve"> several bridges and m</w:t>
      </w:r>
      <w:r w:rsidR="00FE2821" w:rsidRPr="005D725D">
        <w:rPr>
          <w:rFonts w:ascii="Times New Roman" w:hAnsi="Times New Roman" w:cs="Times New Roman"/>
          <w:sz w:val="24"/>
          <w:szCs w:val="24"/>
        </w:rPr>
        <w:t>ore than 400 km of feeder roads; and r</w:t>
      </w:r>
      <w:r w:rsidR="008D51CE" w:rsidRPr="005D725D">
        <w:rPr>
          <w:rFonts w:ascii="Times New Roman" w:hAnsi="Times New Roman" w:cs="Times New Roman"/>
          <w:sz w:val="24"/>
          <w:szCs w:val="24"/>
        </w:rPr>
        <w:t>oad a</w:t>
      </w:r>
      <w:r w:rsidR="00FE2821" w:rsidRPr="005D725D">
        <w:rPr>
          <w:rFonts w:ascii="Times New Roman" w:hAnsi="Times New Roman" w:cs="Times New Roman"/>
          <w:sz w:val="24"/>
          <w:szCs w:val="24"/>
        </w:rPr>
        <w:t>ccidents were reduced by 14 per</w:t>
      </w:r>
      <w:r w:rsidR="008D51CE" w:rsidRPr="005D725D">
        <w:rPr>
          <w:rFonts w:ascii="Times New Roman" w:hAnsi="Times New Roman" w:cs="Times New Roman"/>
          <w:sz w:val="24"/>
          <w:szCs w:val="24"/>
        </w:rPr>
        <w:t>cent from 3,200 in 2018 to 2,763 in 2021</w:t>
      </w:r>
      <w:r w:rsidR="00FE2821" w:rsidRPr="005D725D">
        <w:rPr>
          <w:rFonts w:ascii="Times New Roman" w:hAnsi="Times New Roman" w:cs="Times New Roman"/>
          <w:sz w:val="24"/>
          <w:szCs w:val="24"/>
        </w:rPr>
        <w:t xml:space="preserve">, while </w:t>
      </w:r>
      <w:r w:rsidR="008D51CE" w:rsidRPr="005D725D">
        <w:rPr>
          <w:rFonts w:ascii="Times New Roman" w:hAnsi="Times New Roman" w:cs="Times New Roman"/>
          <w:sz w:val="24"/>
          <w:szCs w:val="24"/>
        </w:rPr>
        <w:t>national aviation securi</w:t>
      </w:r>
      <w:r w:rsidR="00FE2821" w:rsidRPr="005D725D">
        <w:rPr>
          <w:rFonts w:ascii="Times New Roman" w:hAnsi="Times New Roman" w:cs="Times New Roman"/>
          <w:sz w:val="24"/>
          <w:szCs w:val="24"/>
        </w:rPr>
        <w:t>ty rating increased from 64 per</w:t>
      </w:r>
      <w:r w:rsidR="008A25BE">
        <w:rPr>
          <w:rFonts w:ascii="Times New Roman" w:hAnsi="Times New Roman" w:cs="Times New Roman"/>
          <w:sz w:val="24"/>
          <w:szCs w:val="24"/>
        </w:rPr>
        <w:t>cent in 2018 to 71.6 per</w:t>
      </w:r>
      <w:r w:rsidR="008D51CE" w:rsidRPr="005D725D">
        <w:rPr>
          <w:rFonts w:ascii="Times New Roman" w:hAnsi="Times New Roman" w:cs="Times New Roman"/>
          <w:sz w:val="24"/>
          <w:szCs w:val="24"/>
        </w:rPr>
        <w:t>cent in 2021.</w:t>
      </w:r>
      <w:r w:rsidR="0002426C" w:rsidRPr="005D725D">
        <w:rPr>
          <w:rFonts w:ascii="Times New Roman" w:hAnsi="Times New Roman" w:cs="Times New Roman"/>
          <w:sz w:val="24"/>
          <w:szCs w:val="24"/>
        </w:rPr>
        <w:t xml:space="preserve"> </w:t>
      </w:r>
      <w:r w:rsidR="00C72B22" w:rsidRPr="005D725D">
        <w:rPr>
          <w:rFonts w:ascii="Times New Roman" w:hAnsi="Times New Roman" w:cs="Times New Roman"/>
          <w:sz w:val="24"/>
          <w:szCs w:val="24"/>
        </w:rPr>
        <w:t>In</w:t>
      </w:r>
      <w:r w:rsidR="00823A77" w:rsidRPr="005D725D">
        <w:rPr>
          <w:rFonts w:ascii="Times New Roman" w:hAnsi="Times New Roman" w:cs="Times New Roman"/>
          <w:sz w:val="24"/>
          <w:szCs w:val="24"/>
        </w:rPr>
        <w:t xml:space="preserve"> </w:t>
      </w:r>
      <w:r w:rsidR="00C72B22" w:rsidRPr="005D725D">
        <w:rPr>
          <w:rFonts w:ascii="Times New Roman" w:hAnsi="Times New Roman" w:cs="Times New Roman"/>
          <w:sz w:val="24"/>
          <w:szCs w:val="24"/>
        </w:rPr>
        <w:t xml:space="preserve">the </w:t>
      </w:r>
      <w:r w:rsidR="00823A77" w:rsidRPr="005D725D">
        <w:rPr>
          <w:rFonts w:ascii="Times New Roman" w:hAnsi="Times New Roman" w:cs="Times New Roman"/>
          <w:i/>
          <w:sz w:val="24"/>
          <w:szCs w:val="24"/>
        </w:rPr>
        <w:t>water</w:t>
      </w:r>
      <w:r w:rsidR="00C72B22" w:rsidRPr="005D725D">
        <w:rPr>
          <w:rFonts w:ascii="Times New Roman" w:hAnsi="Times New Roman" w:cs="Times New Roman"/>
          <w:i/>
          <w:sz w:val="24"/>
          <w:szCs w:val="24"/>
        </w:rPr>
        <w:t xml:space="preserve"> sector</w:t>
      </w:r>
      <w:r w:rsidR="00823A77" w:rsidRPr="005D725D">
        <w:rPr>
          <w:rFonts w:ascii="Times New Roman" w:hAnsi="Times New Roman" w:cs="Times New Roman"/>
          <w:sz w:val="24"/>
          <w:szCs w:val="24"/>
        </w:rPr>
        <w:t xml:space="preserve">, </w:t>
      </w:r>
      <w:r w:rsidR="00C72B22" w:rsidRPr="005D725D">
        <w:rPr>
          <w:rFonts w:ascii="Times New Roman" w:hAnsi="Times New Roman" w:cs="Times New Roman"/>
          <w:sz w:val="24"/>
          <w:szCs w:val="24"/>
        </w:rPr>
        <w:t xml:space="preserve">about 75 percent of the population of major </w:t>
      </w:r>
      <w:r w:rsidR="00823A77" w:rsidRPr="005D725D">
        <w:rPr>
          <w:rFonts w:ascii="Times New Roman" w:hAnsi="Times New Roman" w:cs="Times New Roman"/>
          <w:sz w:val="24"/>
          <w:szCs w:val="24"/>
        </w:rPr>
        <w:t>secondary cities (of Bo, Kenema and Makeni)</w:t>
      </w:r>
      <w:r w:rsidR="00C72B22" w:rsidRPr="005D725D">
        <w:rPr>
          <w:rFonts w:ascii="Times New Roman" w:hAnsi="Times New Roman" w:cs="Times New Roman"/>
          <w:sz w:val="24"/>
          <w:szCs w:val="24"/>
        </w:rPr>
        <w:t xml:space="preserve"> now have </w:t>
      </w:r>
      <w:r w:rsidR="007760DD" w:rsidRPr="005D725D">
        <w:rPr>
          <w:rFonts w:ascii="Times New Roman" w:hAnsi="Times New Roman" w:cs="Times New Roman"/>
          <w:sz w:val="24"/>
          <w:szCs w:val="24"/>
        </w:rPr>
        <w:t xml:space="preserve">access to safe drinking water, surpassing the </w:t>
      </w:r>
      <w:r w:rsidR="00C72B22" w:rsidRPr="005D725D">
        <w:rPr>
          <w:rFonts w:ascii="Times New Roman" w:hAnsi="Times New Roman" w:cs="Times New Roman"/>
          <w:sz w:val="24"/>
          <w:szCs w:val="24"/>
        </w:rPr>
        <w:t>2018 national average of 60 per</w:t>
      </w:r>
      <w:r w:rsidR="007760DD" w:rsidRPr="005D725D">
        <w:rPr>
          <w:rFonts w:ascii="Times New Roman" w:hAnsi="Times New Roman" w:cs="Times New Roman"/>
          <w:sz w:val="24"/>
          <w:szCs w:val="24"/>
        </w:rPr>
        <w:t>cent.</w:t>
      </w:r>
      <w:r w:rsidR="005C72C5" w:rsidRPr="005D725D">
        <w:rPr>
          <w:rFonts w:ascii="Times New Roman" w:hAnsi="Times New Roman" w:cs="Times New Roman"/>
          <w:sz w:val="24"/>
          <w:szCs w:val="24"/>
        </w:rPr>
        <w:t xml:space="preserve"> With regard to </w:t>
      </w:r>
      <w:r w:rsidR="005C72C5" w:rsidRPr="005D725D">
        <w:rPr>
          <w:rFonts w:ascii="Times New Roman" w:hAnsi="Times New Roman" w:cs="Times New Roman"/>
          <w:i/>
          <w:sz w:val="24"/>
          <w:szCs w:val="24"/>
        </w:rPr>
        <w:t>information and communication</w:t>
      </w:r>
      <w:r w:rsidR="001C5C12" w:rsidRPr="005D725D">
        <w:rPr>
          <w:rFonts w:ascii="Times New Roman" w:hAnsi="Times New Roman" w:cs="Times New Roman"/>
          <w:sz w:val="24"/>
          <w:szCs w:val="24"/>
        </w:rPr>
        <w:t xml:space="preserve">, </w:t>
      </w:r>
      <w:r w:rsidR="005C72C5" w:rsidRPr="005D725D">
        <w:rPr>
          <w:rFonts w:ascii="Times New Roman" w:hAnsi="Times New Roman" w:cs="Times New Roman"/>
          <w:sz w:val="24"/>
          <w:szCs w:val="24"/>
        </w:rPr>
        <w:t>the population covered with mobile</w:t>
      </w:r>
      <w:r w:rsidR="009C0415" w:rsidRPr="005D725D">
        <w:rPr>
          <w:rFonts w:ascii="Times New Roman" w:hAnsi="Times New Roman" w:cs="Times New Roman"/>
          <w:sz w:val="24"/>
          <w:szCs w:val="24"/>
        </w:rPr>
        <w:t xml:space="preserve"> services increased from 57 percent in 2018 to 80 per</w:t>
      </w:r>
      <w:r w:rsidR="005C72C5" w:rsidRPr="005D725D">
        <w:rPr>
          <w:rFonts w:ascii="Times New Roman" w:hAnsi="Times New Roman" w:cs="Times New Roman"/>
          <w:sz w:val="24"/>
          <w:szCs w:val="24"/>
        </w:rPr>
        <w:t xml:space="preserve">cent in 2021; the national area covered by mobile voice </w:t>
      </w:r>
      <w:r w:rsidR="009C0415" w:rsidRPr="005D725D">
        <w:rPr>
          <w:rFonts w:ascii="Times New Roman" w:hAnsi="Times New Roman" w:cs="Times New Roman"/>
          <w:sz w:val="24"/>
          <w:szCs w:val="24"/>
        </w:rPr>
        <w:t>services increased from 70 percent in 2018 to 89 per</w:t>
      </w:r>
      <w:r w:rsidR="005C72C5" w:rsidRPr="005D725D">
        <w:rPr>
          <w:rFonts w:ascii="Times New Roman" w:hAnsi="Times New Roman" w:cs="Times New Roman"/>
          <w:sz w:val="24"/>
          <w:szCs w:val="24"/>
        </w:rPr>
        <w:t xml:space="preserve">cent in 2021; while the population using internet nearly doubled from </w:t>
      </w:r>
      <w:r w:rsidR="008A25BE">
        <w:rPr>
          <w:rFonts w:ascii="Times New Roman" w:hAnsi="Times New Roman" w:cs="Times New Roman"/>
          <w:sz w:val="24"/>
          <w:szCs w:val="24"/>
        </w:rPr>
        <w:t>11.8 per</w:t>
      </w:r>
      <w:r w:rsidR="009C0415" w:rsidRPr="005D725D">
        <w:rPr>
          <w:rFonts w:ascii="Times New Roman" w:hAnsi="Times New Roman" w:cs="Times New Roman"/>
          <w:sz w:val="24"/>
          <w:szCs w:val="24"/>
        </w:rPr>
        <w:t>cent in 2018 to 21 per</w:t>
      </w:r>
      <w:r w:rsidR="005C72C5" w:rsidRPr="005D725D">
        <w:rPr>
          <w:rFonts w:ascii="Times New Roman" w:hAnsi="Times New Roman" w:cs="Times New Roman"/>
          <w:sz w:val="24"/>
          <w:szCs w:val="24"/>
        </w:rPr>
        <w:t>cent in 2021.</w:t>
      </w:r>
      <w:r w:rsidR="009C0415" w:rsidRPr="005D725D">
        <w:rPr>
          <w:rFonts w:ascii="Times New Roman" w:hAnsi="Times New Roman" w:cs="Times New Roman"/>
          <w:sz w:val="24"/>
          <w:szCs w:val="24"/>
        </w:rPr>
        <w:t xml:space="preserve"> </w:t>
      </w:r>
    </w:p>
    <w:p w14:paraId="14C4A2C8" w14:textId="77777777" w:rsidR="0048149C" w:rsidRPr="005D725D" w:rsidRDefault="009F6DE7"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b/>
          <w:i/>
          <w:sz w:val="24"/>
          <w:szCs w:val="24"/>
        </w:rPr>
        <w:t>Cluster Four on Governance and Accountability for Results</w:t>
      </w:r>
      <w:r w:rsidR="00D268C5" w:rsidRPr="005D725D">
        <w:rPr>
          <w:rFonts w:ascii="Times New Roman" w:hAnsi="Times New Roman" w:cs="Times New Roman"/>
          <w:i/>
          <w:sz w:val="24"/>
          <w:szCs w:val="24"/>
        </w:rPr>
        <w:t>:</w:t>
      </w:r>
      <w:r w:rsidR="00A5209B" w:rsidRPr="005D725D">
        <w:rPr>
          <w:rFonts w:ascii="Times New Roman" w:hAnsi="Times New Roman" w:cs="Times New Roman"/>
          <w:i/>
          <w:sz w:val="24"/>
          <w:szCs w:val="24"/>
        </w:rPr>
        <w:t xml:space="preserve"> </w:t>
      </w:r>
      <w:r w:rsidR="00951432" w:rsidRPr="005D725D">
        <w:rPr>
          <w:rFonts w:ascii="Times New Roman" w:hAnsi="Times New Roman" w:cs="Times New Roman"/>
          <w:sz w:val="24"/>
          <w:szCs w:val="24"/>
        </w:rPr>
        <w:t xml:space="preserve">Under this cluster, </w:t>
      </w:r>
      <w:r w:rsidRPr="005D725D">
        <w:rPr>
          <w:rFonts w:ascii="Times New Roman" w:hAnsi="Times New Roman" w:cs="Times New Roman"/>
          <w:sz w:val="24"/>
          <w:szCs w:val="24"/>
        </w:rPr>
        <w:t xml:space="preserve">the level of peace and political stability among political parties </w:t>
      </w:r>
      <w:r w:rsidR="00951432" w:rsidRPr="005D725D">
        <w:rPr>
          <w:rFonts w:ascii="Times New Roman" w:hAnsi="Times New Roman" w:cs="Times New Roman"/>
          <w:sz w:val="24"/>
          <w:szCs w:val="24"/>
        </w:rPr>
        <w:t xml:space="preserve">was </w:t>
      </w:r>
      <w:r w:rsidRPr="005D725D">
        <w:rPr>
          <w:rFonts w:ascii="Times New Roman" w:hAnsi="Times New Roman" w:cs="Times New Roman"/>
          <w:sz w:val="24"/>
          <w:szCs w:val="24"/>
        </w:rPr>
        <w:t xml:space="preserve">improved from 30 percent in 2018 </w:t>
      </w:r>
      <w:r w:rsidR="00951432" w:rsidRPr="005D725D">
        <w:rPr>
          <w:rFonts w:ascii="Times New Roman" w:hAnsi="Times New Roman" w:cs="Times New Roman"/>
          <w:sz w:val="24"/>
          <w:szCs w:val="24"/>
        </w:rPr>
        <w:t xml:space="preserve">to 40 percent during 2019- 2021, while </w:t>
      </w:r>
      <w:r w:rsidRPr="005D725D">
        <w:rPr>
          <w:rFonts w:ascii="Times New Roman" w:hAnsi="Times New Roman" w:cs="Times New Roman"/>
          <w:sz w:val="24"/>
          <w:szCs w:val="24"/>
        </w:rPr>
        <w:t xml:space="preserve">public confidence in </w:t>
      </w:r>
      <w:r w:rsidR="00951432" w:rsidRPr="005D725D">
        <w:rPr>
          <w:rFonts w:ascii="Times New Roman" w:hAnsi="Times New Roman" w:cs="Times New Roman"/>
          <w:sz w:val="24"/>
          <w:szCs w:val="24"/>
        </w:rPr>
        <w:t xml:space="preserve">accountable governance </w:t>
      </w:r>
      <w:r w:rsidR="00B213A3" w:rsidRPr="005D725D">
        <w:rPr>
          <w:rFonts w:ascii="Times New Roman" w:hAnsi="Times New Roman" w:cs="Times New Roman"/>
          <w:sz w:val="24"/>
          <w:szCs w:val="24"/>
        </w:rPr>
        <w:t>increased</w:t>
      </w:r>
      <w:r w:rsidR="0048149C" w:rsidRPr="005D725D">
        <w:rPr>
          <w:rFonts w:ascii="Times New Roman" w:hAnsi="Times New Roman" w:cs="Times New Roman"/>
          <w:sz w:val="24"/>
          <w:szCs w:val="24"/>
        </w:rPr>
        <w:t xml:space="preserve"> with </w:t>
      </w:r>
      <w:r w:rsidRPr="005D725D">
        <w:rPr>
          <w:rFonts w:ascii="Times New Roman" w:hAnsi="Times New Roman" w:cs="Times New Roman"/>
          <w:sz w:val="24"/>
          <w:szCs w:val="24"/>
        </w:rPr>
        <w:t>the national percept</w:t>
      </w:r>
      <w:r w:rsidR="0048149C" w:rsidRPr="005D725D">
        <w:rPr>
          <w:rFonts w:ascii="Times New Roman" w:hAnsi="Times New Roman" w:cs="Times New Roman"/>
          <w:sz w:val="24"/>
          <w:szCs w:val="24"/>
        </w:rPr>
        <w:t>ion rate for corruption declining</w:t>
      </w:r>
      <w:r w:rsidRPr="005D725D">
        <w:rPr>
          <w:rFonts w:ascii="Times New Roman" w:hAnsi="Times New Roman" w:cs="Times New Roman"/>
          <w:sz w:val="24"/>
          <w:szCs w:val="24"/>
        </w:rPr>
        <w:t xml:space="preserve"> from 70 percen</w:t>
      </w:r>
      <w:r w:rsidR="00951432" w:rsidRPr="005D725D">
        <w:rPr>
          <w:rFonts w:ascii="Times New Roman" w:hAnsi="Times New Roman" w:cs="Times New Roman"/>
          <w:sz w:val="24"/>
          <w:szCs w:val="24"/>
        </w:rPr>
        <w:t>t in 2018 to 40 percent in 2020</w:t>
      </w:r>
      <w:r w:rsidR="00B213A3" w:rsidRPr="005D725D">
        <w:rPr>
          <w:rFonts w:ascii="Times New Roman" w:hAnsi="Times New Roman" w:cs="Times New Roman"/>
          <w:sz w:val="24"/>
          <w:szCs w:val="24"/>
        </w:rPr>
        <w:t xml:space="preserve">. Efforts to promote </w:t>
      </w:r>
      <w:r w:rsidR="005F5B7B" w:rsidRPr="005D725D">
        <w:rPr>
          <w:rFonts w:ascii="Times New Roman" w:hAnsi="Times New Roman" w:cs="Times New Roman"/>
          <w:i/>
          <w:sz w:val="24"/>
          <w:szCs w:val="24"/>
        </w:rPr>
        <w:t>inclusive and accountable justice institutions</w:t>
      </w:r>
      <w:r w:rsidR="00B213A3" w:rsidRPr="005D725D">
        <w:rPr>
          <w:rFonts w:ascii="Times New Roman" w:hAnsi="Times New Roman" w:cs="Times New Roman"/>
          <w:i/>
          <w:sz w:val="24"/>
          <w:szCs w:val="24"/>
        </w:rPr>
        <w:t xml:space="preserve"> </w:t>
      </w:r>
      <w:r w:rsidR="00B213A3" w:rsidRPr="005D725D">
        <w:rPr>
          <w:rFonts w:ascii="Times New Roman" w:hAnsi="Times New Roman" w:cs="Times New Roman"/>
          <w:sz w:val="24"/>
          <w:szCs w:val="24"/>
        </w:rPr>
        <w:t xml:space="preserve">saw </w:t>
      </w:r>
      <w:r w:rsidR="005F5B7B" w:rsidRPr="005D725D">
        <w:rPr>
          <w:rFonts w:ascii="Times New Roman" w:hAnsi="Times New Roman" w:cs="Times New Roman"/>
          <w:sz w:val="24"/>
          <w:szCs w:val="24"/>
        </w:rPr>
        <w:t>more than 595,000 people, mostly underprivileged, receiv</w:t>
      </w:r>
      <w:r w:rsidR="00B213A3" w:rsidRPr="005D725D">
        <w:rPr>
          <w:rFonts w:ascii="Times New Roman" w:hAnsi="Times New Roman" w:cs="Times New Roman"/>
          <w:sz w:val="24"/>
          <w:szCs w:val="24"/>
        </w:rPr>
        <w:t>ing</w:t>
      </w:r>
      <w:r w:rsidR="005F5B7B" w:rsidRPr="005D725D">
        <w:rPr>
          <w:rFonts w:ascii="Times New Roman" w:hAnsi="Times New Roman" w:cs="Times New Roman"/>
          <w:sz w:val="24"/>
          <w:szCs w:val="24"/>
        </w:rPr>
        <w:t xml:space="preserve"> free legal services since 2015; more than 395,000 since 2019 alone; while the rural areas now have more magistrates and judges deployed to increase access to justice for the poor</w:t>
      </w:r>
      <w:r w:rsidR="0048149C" w:rsidRPr="005D725D">
        <w:rPr>
          <w:rFonts w:ascii="Times New Roman" w:hAnsi="Times New Roman" w:cs="Times New Roman"/>
          <w:sz w:val="24"/>
          <w:szCs w:val="24"/>
        </w:rPr>
        <w:t xml:space="preserve">. </w:t>
      </w:r>
      <w:r w:rsidR="0048149C" w:rsidRPr="005D725D">
        <w:rPr>
          <w:rFonts w:ascii="Times New Roman" w:hAnsi="Times New Roman" w:cs="Times New Roman"/>
          <w:i/>
          <w:sz w:val="24"/>
          <w:szCs w:val="24"/>
        </w:rPr>
        <w:t>Prudent management of public finances</w:t>
      </w:r>
      <w:r w:rsidR="0048149C" w:rsidRPr="005D725D">
        <w:rPr>
          <w:rFonts w:ascii="Times New Roman" w:hAnsi="Times New Roman" w:cs="Times New Roman"/>
          <w:sz w:val="24"/>
          <w:szCs w:val="24"/>
        </w:rPr>
        <w:t xml:space="preserve"> was scaled up with the </w:t>
      </w:r>
      <w:r w:rsidR="00B213A3" w:rsidRPr="005D725D">
        <w:rPr>
          <w:rFonts w:ascii="Times New Roman" w:hAnsi="Times New Roman" w:cs="Times New Roman"/>
          <w:sz w:val="24"/>
          <w:szCs w:val="24"/>
        </w:rPr>
        <w:t xml:space="preserve">full </w:t>
      </w:r>
      <w:r w:rsidR="0048149C" w:rsidRPr="005D725D">
        <w:rPr>
          <w:rFonts w:ascii="Times New Roman" w:hAnsi="Times New Roman" w:cs="Times New Roman"/>
          <w:sz w:val="24"/>
          <w:szCs w:val="24"/>
        </w:rPr>
        <w:t>functioning of the F</w:t>
      </w:r>
      <w:r w:rsidRPr="005D725D">
        <w:rPr>
          <w:rFonts w:ascii="Times New Roman" w:hAnsi="Times New Roman" w:cs="Times New Roman"/>
          <w:sz w:val="24"/>
          <w:szCs w:val="24"/>
        </w:rPr>
        <w:t>iscal Risks Management and Oversight Office in the Ministry of Finance</w:t>
      </w:r>
      <w:r w:rsidR="0048149C" w:rsidRPr="005D725D">
        <w:rPr>
          <w:rFonts w:ascii="Times New Roman" w:hAnsi="Times New Roman" w:cs="Times New Roman"/>
          <w:sz w:val="24"/>
          <w:szCs w:val="24"/>
        </w:rPr>
        <w:t xml:space="preserve"> coordinating </w:t>
      </w:r>
      <w:r w:rsidRPr="005D725D">
        <w:rPr>
          <w:rFonts w:ascii="Times New Roman" w:hAnsi="Times New Roman" w:cs="Times New Roman"/>
          <w:sz w:val="24"/>
          <w:szCs w:val="24"/>
        </w:rPr>
        <w:t>rationalisation of contingency liabilities of state-owned enterprises and institutions</w:t>
      </w:r>
      <w:r w:rsidR="0048149C" w:rsidRPr="005D725D">
        <w:rPr>
          <w:rFonts w:ascii="Times New Roman" w:hAnsi="Times New Roman" w:cs="Times New Roman"/>
          <w:sz w:val="24"/>
          <w:szCs w:val="24"/>
        </w:rPr>
        <w:t>; coupled with a range of other strategies, including introduction of e</w:t>
      </w:r>
      <w:r w:rsidRPr="005D725D">
        <w:rPr>
          <w:rFonts w:ascii="Times New Roman" w:hAnsi="Times New Roman" w:cs="Times New Roman"/>
          <w:sz w:val="24"/>
          <w:szCs w:val="24"/>
        </w:rPr>
        <w:t xml:space="preserve">-procurement </w:t>
      </w:r>
      <w:r w:rsidR="0048149C" w:rsidRPr="005D725D">
        <w:rPr>
          <w:rFonts w:ascii="Times New Roman" w:hAnsi="Times New Roman" w:cs="Times New Roman"/>
          <w:sz w:val="24"/>
          <w:szCs w:val="24"/>
        </w:rPr>
        <w:t xml:space="preserve">and operation of </w:t>
      </w:r>
      <w:r w:rsidRPr="005D725D">
        <w:rPr>
          <w:rFonts w:ascii="Times New Roman" w:hAnsi="Times New Roman" w:cs="Times New Roman"/>
          <w:sz w:val="24"/>
          <w:szCs w:val="24"/>
        </w:rPr>
        <w:t xml:space="preserve">online expenditure management system </w:t>
      </w:r>
      <w:r w:rsidR="0048149C" w:rsidRPr="005D725D">
        <w:rPr>
          <w:rFonts w:ascii="Times New Roman" w:hAnsi="Times New Roman" w:cs="Times New Roman"/>
          <w:sz w:val="24"/>
          <w:szCs w:val="24"/>
        </w:rPr>
        <w:t xml:space="preserve">in </w:t>
      </w:r>
      <w:r w:rsidRPr="005D725D">
        <w:rPr>
          <w:rFonts w:ascii="Times New Roman" w:hAnsi="Times New Roman" w:cs="Times New Roman"/>
          <w:sz w:val="24"/>
          <w:szCs w:val="24"/>
        </w:rPr>
        <w:t>general</w:t>
      </w:r>
      <w:r w:rsidR="0048149C" w:rsidRPr="005D725D">
        <w:rPr>
          <w:rFonts w:ascii="Times New Roman" w:hAnsi="Times New Roman" w:cs="Times New Roman"/>
          <w:sz w:val="24"/>
          <w:szCs w:val="24"/>
        </w:rPr>
        <w:t xml:space="preserve">. With regard to </w:t>
      </w:r>
      <w:r w:rsidR="0048149C" w:rsidRPr="005D725D">
        <w:rPr>
          <w:rFonts w:ascii="Times New Roman" w:hAnsi="Times New Roman" w:cs="Times New Roman"/>
          <w:i/>
          <w:sz w:val="24"/>
          <w:szCs w:val="24"/>
        </w:rPr>
        <w:t>deepening decentralisation and local governance</w:t>
      </w:r>
      <w:r w:rsidR="0048149C" w:rsidRPr="005D725D">
        <w:rPr>
          <w:rFonts w:ascii="Times New Roman" w:hAnsi="Times New Roman" w:cs="Times New Roman"/>
          <w:sz w:val="24"/>
          <w:szCs w:val="24"/>
        </w:rPr>
        <w:t xml:space="preserve">, the District Development Coordination Committees were </w:t>
      </w:r>
      <w:r w:rsidR="003A3822" w:rsidRPr="005D725D">
        <w:rPr>
          <w:rFonts w:ascii="Times New Roman" w:hAnsi="Times New Roman" w:cs="Times New Roman"/>
          <w:sz w:val="24"/>
          <w:szCs w:val="24"/>
        </w:rPr>
        <w:t>re-established</w:t>
      </w:r>
      <w:r w:rsidR="0048149C" w:rsidRPr="005D725D">
        <w:rPr>
          <w:rFonts w:ascii="Times New Roman" w:hAnsi="Times New Roman" w:cs="Times New Roman"/>
          <w:sz w:val="24"/>
          <w:szCs w:val="24"/>
        </w:rPr>
        <w:t xml:space="preserve"> for effective monitoring, supervision, and reporting on development progress at</w:t>
      </w:r>
      <w:r w:rsidR="003A3822" w:rsidRPr="005D725D">
        <w:rPr>
          <w:rFonts w:ascii="Times New Roman" w:hAnsi="Times New Roman" w:cs="Times New Roman"/>
          <w:sz w:val="24"/>
          <w:szCs w:val="24"/>
        </w:rPr>
        <w:t xml:space="preserve"> </w:t>
      </w:r>
      <w:r w:rsidR="0048149C" w:rsidRPr="005D725D">
        <w:rPr>
          <w:rFonts w:ascii="Times New Roman" w:hAnsi="Times New Roman" w:cs="Times New Roman"/>
          <w:sz w:val="24"/>
          <w:szCs w:val="24"/>
        </w:rPr>
        <w:t>community level</w:t>
      </w:r>
      <w:r w:rsidR="003A3822" w:rsidRPr="005D725D">
        <w:rPr>
          <w:rFonts w:ascii="Times New Roman" w:hAnsi="Times New Roman" w:cs="Times New Roman"/>
          <w:sz w:val="24"/>
          <w:szCs w:val="24"/>
        </w:rPr>
        <w:t xml:space="preserve">, while rolling out a </w:t>
      </w:r>
      <w:r w:rsidR="0048149C" w:rsidRPr="005D725D">
        <w:rPr>
          <w:rFonts w:ascii="Times New Roman" w:hAnsi="Times New Roman" w:cs="Times New Roman"/>
          <w:sz w:val="24"/>
          <w:szCs w:val="24"/>
        </w:rPr>
        <w:t>People's Planning Process</w:t>
      </w:r>
      <w:r w:rsidR="002E0C37">
        <w:rPr>
          <w:rFonts w:ascii="Times New Roman" w:hAnsi="Times New Roman" w:cs="Times New Roman"/>
          <w:sz w:val="24"/>
          <w:szCs w:val="24"/>
        </w:rPr>
        <w:t xml:space="preserve"> model</w:t>
      </w:r>
      <w:r w:rsidR="0048149C" w:rsidRPr="005D725D">
        <w:rPr>
          <w:rFonts w:ascii="Times New Roman" w:hAnsi="Times New Roman" w:cs="Times New Roman"/>
          <w:sz w:val="24"/>
          <w:szCs w:val="24"/>
        </w:rPr>
        <w:t xml:space="preserve"> </w:t>
      </w:r>
      <w:r w:rsidR="003A3822" w:rsidRPr="005D725D">
        <w:rPr>
          <w:rFonts w:ascii="Times New Roman" w:hAnsi="Times New Roman" w:cs="Times New Roman"/>
          <w:sz w:val="24"/>
          <w:szCs w:val="24"/>
        </w:rPr>
        <w:t xml:space="preserve">commonly called </w:t>
      </w:r>
      <w:r w:rsidR="0048149C" w:rsidRPr="005D725D">
        <w:rPr>
          <w:rFonts w:ascii="Times New Roman" w:hAnsi="Times New Roman" w:cs="Times New Roman"/>
          <w:sz w:val="24"/>
          <w:szCs w:val="24"/>
        </w:rPr>
        <w:t xml:space="preserve">Wan Fambul Framework initiative to support village and chiefdom </w:t>
      </w:r>
      <w:r w:rsidR="003A3822" w:rsidRPr="005D725D">
        <w:rPr>
          <w:rFonts w:ascii="Times New Roman" w:hAnsi="Times New Roman" w:cs="Times New Roman"/>
          <w:sz w:val="24"/>
          <w:szCs w:val="24"/>
        </w:rPr>
        <w:t>level development planning and plan implementation led by the people, with m</w:t>
      </w:r>
      <w:r w:rsidR="0048149C" w:rsidRPr="005D725D">
        <w:rPr>
          <w:rFonts w:ascii="Times New Roman" w:hAnsi="Times New Roman" w:cs="Times New Roman"/>
          <w:sz w:val="24"/>
          <w:szCs w:val="24"/>
        </w:rPr>
        <w:t xml:space="preserve">ore than 20 </w:t>
      </w:r>
      <w:r w:rsidR="003A3822" w:rsidRPr="005D725D">
        <w:rPr>
          <w:rFonts w:ascii="Times New Roman" w:hAnsi="Times New Roman" w:cs="Times New Roman"/>
          <w:sz w:val="24"/>
          <w:szCs w:val="24"/>
        </w:rPr>
        <w:t xml:space="preserve">chiefdom </w:t>
      </w:r>
      <w:r w:rsidR="0048149C" w:rsidRPr="005D725D">
        <w:rPr>
          <w:rFonts w:ascii="Times New Roman" w:hAnsi="Times New Roman" w:cs="Times New Roman"/>
          <w:sz w:val="24"/>
          <w:szCs w:val="24"/>
        </w:rPr>
        <w:t xml:space="preserve">plans </w:t>
      </w:r>
      <w:r w:rsidR="003A3822" w:rsidRPr="005D725D">
        <w:rPr>
          <w:rFonts w:ascii="Times New Roman" w:hAnsi="Times New Roman" w:cs="Times New Roman"/>
          <w:sz w:val="24"/>
          <w:szCs w:val="24"/>
        </w:rPr>
        <w:t>now in place in pilot chiefdoms for integration</w:t>
      </w:r>
      <w:r w:rsidR="0048149C" w:rsidRPr="005D725D">
        <w:rPr>
          <w:rFonts w:ascii="Times New Roman" w:hAnsi="Times New Roman" w:cs="Times New Roman"/>
          <w:sz w:val="24"/>
          <w:szCs w:val="24"/>
        </w:rPr>
        <w:t xml:space="preserve"> with district and national development plans</w:t>
      </w:r>
      <w:r w:rsidR="003A3822" w:rsidRPr="005D725D">
        <w:rPr>
          <w:rFonts w:ascii="Times New Roman" w:hAnsi="Times New Roman" w:cs="Times New Roman"/>
          <w:sz w:val="24"/>
          <w:szCs w:val="24"/>
        </w:rPr>
        <w:t>.</w:t>
      </w:r>
      <w:r w:rsidR="003D23F8" w:rsidRPr="005D725D">
        <w:rPr>
          <w:rFonts w:ascii="Times New Roman" w:hAnsi="Times New Roman" w:cs="Times New Roman"/>
          <w:sz w:val="24"/>
          <w:szCs w:val="24"/>
        </w:rPr>
        <w:t xml:space="preserve"> </w:t>
      </w:r>
    </w:p>
    <w:p w14:paraId="56A59B7C" w14:textId="77777777" w:rsidR="009F6DE7" w:rsidRPr="005D725D" w:rsidRDefault="009E715D"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b/>
          <w:i/>
          <w:sz w:val="24"/>
          <w:szCs w:val="24"/>
        </w:rPr>
        <w:t>Cluster Five on Empowering W</w:t>
      </w:r>
      <w:r w:rsidR="00A82FFA" w:rsidRPr="005D725D">
        <w:rPr>
          <w:rFonts w:ascii="Times New Roman" w:hAnsi="Times New Roman" w:cs="Times New Roman"/>
          <w:b/>
          <w:i/>
          <w:sz w:val="24"/>
          <w:szCs w:val="24"/>
        </w:rPr>
        <w:t xml:space="preserve">omen, </w:t>
      </w:r>
      <w:r w:rsidRPr="005D725D">
        <w:rPr>
          <w:rFonts w:ascii="Times New Roman" w:hAnsi="Times New Roman" w:cs="Times New Roman"/>
          <w:b/>
          <w:i/>
          <w:sz w:val="24"/>
          <w:szCs w:val="24"/>
        </w:rPr>
        <w:t>Children and Persons with D</w:t>
      </w:r>
      <w:r w:rsidR="00A82FFA" w:rsidRPr="005D725D">
        <w:rPr>
          <w:rFonts w:ascii="Times New Roman" w:hAnsi="Times New Roman" w:cs="Times New Roman"/>
          <w:b/>
          <w:i/>
          <w:sz w:val="24"/>
          <w:szCs w:val="24"/>
        </w:rPr>
        <w:t>isabilities</w:t>
      </w:r>
      <w:r w:rsidR="005832DB">
        <w:rPr>
          <w:rFonts w:ascii="Times New Roman" w:hAnsi="Times New Roman" w:cs="Times New Roman"/>
          <w:sz w:val="24"/>
          <w:szCs w:val="24"/>
        </w:rPr>
        <w:t>: A</w:t>
      </w:r>
      <w:r w:rsidRPr="005D725D">
        <w:rPr>
          <w:rFonts w:ascii="Times New Roman" w:hAnsi="Times New Roman" w:cs="Times New Roman"/>
          <w:sz w:val="24"/>
          <w:szCs w:val="24"/>
        </w:rPr>
        <w:t xml:space="preserve">mong the range of results achieved </w:t>
      </w:r>
      <w:r w:rsidR="007D25B2" w:rsidRPr="005D725D">
        <w:rPr>
          <w:rFonts w:ascii="Times New Roman" w:hAnsi="Times New Roman" w:cs="Times New Roman"/>
          <w:sz w:val="24"/>
          <w:szCs w:val="24"/>
        </w:rPr>
        <w:t xml:space="preserve">in this cluster </w:t>
      </w:r>
      <w:r w:rsidRPr="005D725D">
        <w:rPr>
          <w:rFonts w:ascii="Times New Roman" w:hAnsi="Times New Roman" w:cs="Times New Roman"/>
          <w:sz w:val="24"/>
          <w:szCs w:val="24"/>
        </w:rPr>
        <w:t>included:</w:t>
      </w:r>
      <w:r w:rsidR="007D25B2" w:rsidRPr="005D725D">
        <w:rPr>
          <w:rFonts w:ascii="Times New Roman" w:hAnsi="Times New Roman" w:cs="Times New Roman"/>
          <w:sz w:val="24"/>
          <w:szCs w:val="24"/>
        </w:rPr>
        <w:t xml:space="preserve"> establishment of a o</w:t>
      </w:r>
      <w:r w:rsidRPr="005D725D">
        <w:rPr>
          <w:rFonts w:ascii="Times New Roman" w:hAnsi="Times New Roman" w:cs="Times New Roman"/>
          <w:sz w:val="24"/>
          <w:szCs w:val="24"/>
        </w:rPr>
        <w:t xml:space="preserve">ne-stop centres for </w:t>
      </w:r>
      <w:r w:rsidR="007D25B2" w:rsidRPr="005B757E">
        <w:rPr>
          <w:rFonts w:ascii="Times New Roman" w:hAnsi="Times New Roman" w:cs="Times New Roman"/>
          <w:i/>
          <w:sz w:val="24"/>
          <w:szCs w:val="24"/>
        </w:rPr>
        <w:t>sexual and ge</w:t>
      </w:r>
      <w:r w:rsidR="007D25B2" w:rsidRPr="005D725D">
        <w:rPr>
          <w:rFonts w:ascii="Times New Roman" w:hAnsi="Times New Roman" w:cs="Times New Roman"/>
          <w:i/>
          <w:sz w:val="24"/>
          <w:szCs w:val="24"/>
        </w:rPr>
        <w:t>nder-based violence (</w:t>
      </w:r>
      <w:r w:rsidRPr="005D725D">
        <w:rPr>
          <w:rFonts w:ascii="Times New Roman" w:hAnsi="Times New Roman" w:cs="Times New Roman"/>
          <w:i/>
          <w:sz w:val="24"/>
          <w:szCs w:val="24"/>
        </w:rPr>
        <w:t>SGBV</w:t>
      </w:r>
      <w:r w:rsidR="007D25B2" w:rsidRPr="005D725D">
        <w:rPr>
          <w:rFonts w:ascii="Times New Roman" w:hAnsi="Times New Roman" w:cs="Times New Roman"/>
          <w:i/>
          <w:sz w:val="24"/>
          <w:szCs w:val="24"/>
        </w:rPr>
        <w:t>)</w:t>
      </w:r>
      <w:r w:rsidRPr="005D725D">
        <w:rPr>
          <w:rFonts w:ascii="Times New Roman" w:hAnsi="Times New Roman" w:cs="Times New Roman"/>
          <w:sz w:val="24"/>
          <w:szCs w:val="24"/>
        </w:rPr>
        <w:t xml:space="preserve"> </w:t>
      </w:r>
      <w:r w:rsidR="007D25B2" w:rsidRPr="005D725D">
        <w:rPr>
          <w:rFonts w:ascii="Times New Roman" w:hAnsi="Times New Roman" w:cs="Times New Roman"/>
          <w:sz w:val="24"/>
          <w:szCs w:val="24"/>
        </w:rPr>
        <w:t>i</w:t>
      </w:r>
      <w:r w:rsidRPr="005D725D">
        <w:rPr>
          <w:rFonts w:ascii="Times New Roman" w:hAnsi="Times New Roman" w:cs="Times New Roman"/>
          <w:sz w:val="24"/>
          <w:szCs w:val="24"/>
        </w:rPr>
        <w:t>n 6 districts, resulting in at least 2,515 survivors of SGBV cases provided with effective response services</w:t>
      </w:r>
      <w:r w:rsidR="007D25B2" w:rsidRPr="005D725D">
        <w:rPr>
          <w:rFonts w:ascii="Times New Roman" w:hAnsi="Times New Roman" w:cs="Times New Roman"/>
          <w:sz w:val="24"/>
          <w:szCs w:val="24"/>
        </w:rPr>
        <w:t xml:space="preserve">; reduction of </w:t>
      </w:r>
      <w:r w:rsidR="007D25B2" w:rsidRPr="005D725D">
        <w:rPr>
          <w:rFonts w:ascii="Times New Roman" w:hAnsi="Times New Roman" w:cs="Times New Roman"/>
          <w:i/>
          <w:sz w:val="24"/>
          <w:szCs w:val="24"/>
        </w:rPr>
        <w:t>child</w:t>
      </w:r>
      <w:r w:rsidR="007D25B2" w:rsidRPr="005D725D">
        <w:rPr>
          <w:rFonts w:ascii="Times New Roman" w:hAnsi="Times New Roman" w:cs="Times New Roman"/>
          <w:sz w:val="24"/>
          <w:szCs w:val="24"/>
        </w:rPr>
        <w:t xml:space="preserve"> </w:t>
      </w:r>
      <w:r w:rsidR="007D25B2" w:rsidRPr="0056626A">
        <w:rPr>
          <w:rFonts w:ascii="Times New Roman" w:hAnsi="Times New Roman" w:cs="Times New Roman"/>
          <w:i/>
          <w:sz w:val="24"/>
          <w:szCs w:val="24"/>
        </w:rPr>
        <w:t>marriage</w:t>
      </w:r>
      <w:r w:rsidR="007D25B2" w:rsidRPr="005D725D">
        <w:rPr>
          <w:rFonts w:ascii="Times New Roman" w:hAnsi="Times New Roman" w:cs="Times New Roman"/>
          <w:sz w:val="24"/>
          <w:szCs w:val="24"/>
        </w:rPr>
        <w:t xml:space="preserve"> and </w:t>
      </w:r>
      <w:r w:rsidRPr="00B23F4A">
        <w:rPr>
          <w:rFonts w:ascii="Times New Roman" w:hAnsi="Times New Roman" w:cs="Times New Roman"/>
          <w:i/>
          <w:sz w:val="24"/>
          <w:szCs w:val="24"/>
        </w:rPr>
        <w:t>teenage pregnancy</w:t>
      </w:r>
      <w:r w:rsidRPr="005D725D">
        <w:rPr>
          <w:rFonts w:ascii="Times New Roman" w:hAnsi="Times New Roman" w:cs="Times New Roman"/>
          <w:sz w:val="24"/>
          <w:szCs w:val="24"/>
        </w:rPr>
        <w:t xml:space="preserve"> in communities</w:t>
      </w:r>
      <w:r w:rsidR="007D25B2" w:rsidRPr="005D725D">
        <w:rPr>
          <w:rFonts w:ascii="Times New Roman" w:hAnsi="Times New Roman" w:cs="Times New Roman"/>
          <w:sz w:val="24"/>
          <w:szCs w:val="24"/>
        </w:rPr>
        <w:t xml:space="preserve"> through enforcement of the Hands-Off Our Girls Initiative;</w:t>
      </w:r>
      <w:r w:rsidRPr="005D725D">
        <w:rPr>
          <w:rFonts w:ascii="Times New Roman" w:hAnsi="Times New Roman" w:cs="Times New Roman"/>
          <w:sz w:val="24"/>
          <w:szCs w:val="24"/>
        </w:rPr>
        <w:t xml:space="preserve"> </w:t>
      </w:r>
      <w:r w:rsidR="007D25B2" w:rsidRPr="005D725D">
        <w:rPr>
          <w:rFonts w:ascii="Times New Roman" w:hAnsi="Times New Roman" w:cs="Times New Roman"/>
          <w:sz w:val="24"/>
          <w:szCs w:val="24"/>
        </w:rPr>
        <w:t xml:space="preserve">upgrading </w:t>
      </w:r>
      <w:r w:rsidRPr="005D725D">
        <w:rPr>
          <w:rFonts w:ascii="Times New Roman" w:hAnsi="Times New Roman" w:cs="Times New Roman"/>
          <w:sz w:val="24"/>
          <w:szCs w:val="24"/>
        </w:rPr>
        <w:t xml:space="preserve">the </w:t>
      </w:r>
      <w:r w:rsidRPr="00AE25B1">
        <w:rPr>
          <w:rFonts w:ascii="Times New Roman" w:hAnsi="Times New Roman" w:cs="Times New Roman"/>
          <w:i/>
          <w:sz w:val="24"/>
          <w:szCs w:val="24"/>
        </w:rPr>
        <w:t>Child Protection Information Management System (PRIMERO) software</w:t>
      </w:r>
      <w:r w:rsidR="007D25B2" w:rsidRPr="005D725D">
        <w:rPr>
          <w:rFonts w:ascii="Times New Roman" w:hAnsi="Times New Roman" w:cs="Times New Roman"/>
          <w:sz w:val="24"/>
          <w:szCs w:val="24"/>
        </w:rPr>
        <w:t xml:space="preserve">, leading to registration of </w:t>
      </w:r>
      <w:r w:rsidRPr="005D725D">
        <w:rPr>
          <w:rFonts w:ascii="Times New Roman" w:hAnsi="Times New Roman" w:cs="Times New Roman"/>
          <w:sz w:val="24"/>
          <w:szCs w:val="24"/>
        </w:rPr>
        <w:t>more than 750 child prot</w:t>
      </w:r>
      <w:r w:rsidR="007D25B2" w:rsidRPr="005D725D">
        <w:rPr>
          <w:rFonts w:ascii="Times New Roman" w:hAnsi="Times New Roman" w:cs="Times New Roman"/>
          <w:sz w:val="24"/>
          <w:szCs w:val="24"/>
        </w:rPr>
        <w:t>ection cases in 2021</w:t>
      </w:r>
      <w:r w:rsidR="00B02D86" w:rsidRPr="005D725D">
        <w:rPr>
          <w:rFonts w:ascii="Times New Roman" w:hAnsi="Times New Roman" w:cs="Times New Roman"/>
          <w:sz w:val="24"/>
          <w:szCs w:val="24"/>
        </w:rPr>
        <w:t xml:space="preserve">; and provision of COVID-19-related support to at least 10,000 persons with disability (PWD), including food and protective equipment, while advancing the development of a Free Education Initiative for all PWDs. </w:t>
      </w:r>
    </w:p>
    <w:p w14:paraId="2A4AD32B" w14:textId="77777777" w:rsidR="00A82FFA" w:rsidRPr="005D725D" w:rsidRDefault="00C2700C"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b/>
          <w:i/>
          <w:sz w:val="24"/>
          <w:szCs w:val="24"/>
        </w:rPr>
        <w:t>Under Cluster Six on Youth Employment, Sport</w:t>
      </w:r>
      <w:r w:rsidR="00F610A3">
        <w:rPr>
          <w:rFonts w:ascii="Times New Roman" w:hAnsi="Times New Roman" w:cs="Times New Roman"/>
          <w:b/>
          <w:i/>
          <w:sz w:val="24"/>
          <w:szCs w:val="24"/>
        </w:rPr>
        <w:t>s</w:t>
      </w:r>
      <w:r w:rsidRPr="005D725D">
        <w:rPr>
          <w:rFonts w:ascii="Times New Roman" w:hAnsi="Times New Roman" w:cs="Times New Roman"/>
          <w:b/>
          <w:i/>
          <w:sz w:val="24"/>
          <w:szCs w:val="24"/>
        </w:rPr>
        <w:t xml:space="preserve"> and Migration</w:t>
      </w:r>
      <w:r w:rsidRPr="005D725D">
        <w:rPr>
          <w:rFonts w:ascii="Times New Roman" w:hAnsi="Times New Roman" w:cs="Times New Roman"/>
          <w:sz w:val="24"/>
          <w:szCs w:val="24"/>
        </w:rPr>
        <w:t xml:space="preserve">, a total of 1,400 direct jobs were created for the </w:t>
      </w:r>
      <w:r w:rsidRPr="009E4C9D">
        <w:rPr>
          <w:rFonts w:ascii="Times New Roman" w:hAnsi="Times New Roman" w:cs="Times New Roman"/>
          <w:i/>
          <w:sz w:val="24"/>
          <w:szCs w:val="24"/>
        </w:rPr>
        <w:t>youth</w:t>
      </w:r>
      <w:r w:rsidRPr="005D725D">
        <w:rPr>
          <w:rFonts w:ascii="Times New Roman" w:hAnsi="Times New Roman" w:cs="Times New Roman"/>
          <w:sz w:val="24"/>
          <w:szCs w:val="24"/>
        </w:rPr>
        <w:t xml:space="preserve"> through the government's Youth in Fisheries Project that saw the construction of 70 new fishing boats with requisite accessories distributed to youths in seven coastal districts; over 500 youth leaders were trained in entrepreneurship</w:t>
      </w:r>
      <w:r w:rsidR="00E17768" w:rsidRPr="005D725D">
        <w:rPr>
          <w:rFonts w:ascii="Times New Roman" w:hAnsi="Times New Roman" w:cs="Times New Roman"/>
          <w:sz w:val="24"/>
          <w:szCs w:val="24"/>
        </w:rPr>
        <w:t xml:space="preserve">; a total of </w:t>
      </w:r>
      <w:r w:rsidRPr="005D725D">
        <w:rPr>
          <w:rFonts w:ascii="Times New Roman" w:hAnsi="Times New Roman" w:cs="Times New Roman"/>
          <w:sz w:val="24"/>
          <w:szCs w:val="24"/>
        </w:rPr>
        <w:t>1,200 university graduates were recruited, trained, and deployed across the country</w:t>
      </w:r>
      <w:r w:rsidR="00E17768" w:rsidRPr="005D725D">
        <w:rPr>
          <w:rFonts w:ascii="Times New Roman" w:hAnsi="Times New Roman" w:cs="Times New Roman"/>
          <w:sz w:val="24"/>
          <w:szCs w:val="24"/>
        </w:rPr>
        <w:t xml:space="preserve"> through the National Youth Service Scheme, about </w:t>
      </w:r>
      <w:r w:rsidRPr="005D725D">
        <w:rPr>
          <w:rFonts w:ascii="Times New Roman" w:hAnsi="Times New Roman" w:cs="Times New Roman"/>
          <w:sz w:val="24"/>
          <w:szCs w:val="24"/>
        </w:rPr>
        <w:t>804 (</w:t>
      </w:r>
      <w:r w:rsidR="00E17768" w:rsidRPr="005D725D">
        <w:rPr>
          <w:rFonts w:ascii="Times New Roman" w:hAnsi="Times New Roman" w:cs="Times New Roman"/>
          <w:sz w:val="24"/>
          <w:szCs w:val="24"/>
        </w:rPr>
        <w:t>67 per</w:t>
      </w:r>
      <w:r w:rsidRPr="005D725D">
        <w:rPr>
          <w:rFonts w:ascii="Times New Roman" w:hAnsi="Times New Roman" w:cs="Times New Roman"/>
          <w:sz w:val="24"/>
          <w:szCs w:val="24"/>
        </w:rPr>
        <w:t xml:space="preserve">cent) of </w:t>
      </w:r>
      <w:r w:rsidR="00E17768" w:rsidRPr="005D725D">
        <w:rPr>
          <w:rFonts w:ascii="Times New Roman" w:hAnsi="Times New Roman" w:cs="Times New Roman"/>
          <w:sz w:val="24"/>
          <w:szCs w:val="24"/>
        </w:rPr>
        <w:t xml:space="preserve">whom </w:t>
      </w:r>
      <w:r w:rsidRPr="005D725D">
        <w:rPr>
          <w:rFonts w:ascii="Times New Roman" w:hAnsi="Times New Roman" w:cs="Times New Roman"/>
          <w:sz w:val="24"/>
          <w:szCs w:val="24"/>
        </w:rPr>
        <w:t>have gained permanent employment</w:t>
      </w:r>
      <w:r w:rsidR="00E17768" w:rsidRPr="005D725D">
        <w:rPr>
          <w:rFonts w:ascii="Times New Roman" w:hAnsi="Times New Roman" w:cs="Times New Roman"/>
          <w:sz w:val="24"/>
          <w:szCs w:val="24"/>
        </w:rPr>
        <w:t xml:space="preserve">. For </w:t>
      </w:r>
      <w:r w:rsidR="00E17768" w:rsidRPr="00F610A3">
        <w:rPr>
          <w:rFonts w:ascii="Times New Roman" w:hAnsi="Times New Roman" w:cs="Times New Roman"/>
          <w:i/>
          <w:sz w:val="24"/>
          <w:szCs w:val="24"/>
        </w:rPr>
        <w:t>sports</w:t>
      </w:r>
      <w:r w:rsidR="00E17768" w:rsidRPr="005D725D">
        <w:rPr>
          <w:rFonts w:ascii="Times New Roman" w:hAnsi="Times New Roman" w:cs="Times New Roman"/>
          <w:sz w:val="24"/>
          <w:szCs w:val="24"/>
        </w:rPr>
        <w:t xml:space="preserve">, the government rekindled support for the national football team leading to Sierra Leone qualifying for the 2021 Africa Cup of Nations Tournament after 25 years; while efforts with respect to addressing </w:t>
      </w:r>
      <w:r w:rsidR="00E17768" w:rsidRPr="00FA3A53">
        <w:rPr>
          <w:rFonts w:ascii="Times New Roman" w:hAnsi="Times New Roman" w:cs="Times New Roman"/>
          <w:i/>
          <w:sz w:val="24"/>
          <w:szCs w:val="24"/>
        </w:rPr>
        <w:t>migration</w:t>
      </w:r>
      <w:r w:rsidR="00E17768" w:rsidRPr="005D725D">
        <w:rPr>
          <w:rFonts w:ascii="Times New Roman" w:hAnsi="Times New Roman" w:cs="Times New Roman"/>
          <w:sz w:val="24"/>
          <w:szCs w:val="24"/>
        </w:rPr>
        <w:t xml:space="preserve"> issues are demonstrated by the government receiving and reintegrating 328 stranded Sierra Leonean migrants in more than 10 countries in 2021.</w:t>
      </w:r>
      <w:r w:rsidR="008262AD" w:rsidRPr="005D725D">
        <w:rPr>
          <w:rFonts w:ascii="Times New Roman" w:hAnsi="Times New Roman" w:cs="Times New Roman"/>
          <w:sz w:val="24"/>
          <w:szCs w:val="24"/>
        </w:rPr>
        <w:t xml:space="preserve"> </w:t>
      </w:r>
    </w:p>
    <w:p w14:paraId="1393DA69" w14:textId="77777777" w:rsidR="00E17768" w:rsidRPr="005D725D" w:rsidRDefault="00E17768"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Achievement</w:t>
      </w:r>
      <w:r w:rsidR="00727D3F" w:rsidRPr="005D725D">
        <w:rPr>
          <w:rFonts w:ascii="Times New Roman" w:hAnsi="Times New Roman" w:cs="Times New Roman"/>
          <w:sz w:val="24"/>
          <w:szCs w:val="24"/>
        </w:rPr>
        <w:t>s</w:t>
      </w:r>
      <w:r w:rsidRPr="005D725D">
        <w:rPr>
          <w:rFonts w:ascii="Times New Roman" w:hAnsi="Times New Roman" w:cs="Times New Roman"/>
          <w:sz w:val="24"/>
          <w:szCs w:val="24"/>
        </w:rPr>
        <w:t xml:space="preserve"> </w:t>
      </w:r>
      <w:r w:rsidRPr="005D725D">
        <w:rPr>
          <w:rFonts w:ascii="Times New Roman" w:hAnsi="Times New Roman" w:cs="Times New Roman"/>
          <w:b/>
          <w:i/>
          <w:sz w:val="24"/>
          <w:szCs w:val="24"/>
        </w:rPr>
        <w:t>under the Cluster Seven on Addressing Vulnerabilities and Building Resilience</w:t>
      </w:r>
      <w:r w:rsidRPr="005D725D">
        <w:rPr>
          <w:rFonts w:ascii="Times New Roman" w:hAnsi="Times New Roman" w:cs="Times New Roman"/>
          <w:sz w:val="24"/>
          <w:szCs w:val="24"/>
        </w:rPr>
        <w:t xml:space="preserve"> included: establishment of the </w:t>
      </w:r>
      <w:r w:rsidRPr="00FA3A53">
        <w:rPr>
          <w:rFonts w:ascii="Times New Roman" w:hAnsi="Times New Roman" w:cs="Times New Roman"/>
          <w:i/>
          <w:sz w:val="24"/>
          <w:szCs w:val="24"/>
        </w:rPr>
        <w:t xml:space="preserve">Ministry of Environment </w:t>
      </w:r>
      <w:r w:rsidRPr="005D725D">
        <w:rPr>
          <w:rFonts w:ascii="Times New Roman" w:hAnsi="Times New Roman" w:cs="Times New Roman"/>
          <w:sz w:val="24"/>
          <w:szCs w:val="24"/>
        </w:rPr>
        <w:t xml:space="preserve">in 2019 to increase political investment in environmental management and sustainability, alongside the establishment of the </w:t>
      </w:r>
      <w:r w:rsidRPr="00FA3A53">
        <w:rPr>
          <w:rFonts w:ascii="Times New Roman" w:hAnsi="Times New Roman" w:cs="Times New Roman"/>
          <w:i/>
          <w:sz w:val="24"/>
          <w:szCs w:val="24"/>
        </w:rPr>
        <w:t>National Disaster Management Agency</w:t>
      </w:r>
      <w:r w:rsidRPr="005D725D">
        <w:rPr>
          <w:rFonts w:ascii="Times New Roman" w:hAnsi="Times New Roman" w:cs="Times New Roman"/>
          <w:sz w:val="24"/>
          <w:szCs w:val="24"/>
        </w:rPr>
        <w:t xml:space="preserve"> as a standalone institution from the Office of National Security to scale up national preparedness and response to natural disasters. Over the period 2019-2021, more than 2,000 hectares of forest were restored; at least 100 hectares of woodlots established; and more than 300,000 trees planted in all agricultural districts, alongside 3,000 others in three flood prone communities within the western area. These initiatives led to the recruitment of 500 forest guards and the creation of over 20,000 temporary and permanent jobs in general.</w:t>
      </w:r>
      <w:r w:rsidR="008262AD" w:rsidRPr="005D725D">
        <w:rPr>
          <w:rFonts w:ascii="Times New Roman" w:hAnsi="Times New Roman" w:cs="Times New Roman"/>
          <w:sz w:val="24"/>
          <w:szCs w:val="24"/>
        </w:rPr>
        <w:t xml:space="preserve"> </w:t>
      </w:r>
    </w:p>
    <w:p w14:paraId="2A2EB40E" w14:textId="65E247E3" w:rsidR="00B213A3" w:rsidRPr="005D725D" w:rsidRDefault="00727D3F"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With regard to mobilisation of resources, partnerships and </w:t>
      </w:r>
      <w:r w:rsidR="007C733E" w:rsidRPr="005D725D">
        <w:rPr>
          <w:rFonts w:ascii="Times New Roman" w:hAnsi="Times New Roman" w:cs="Times New Roman"/>
          <w:sz w:val="24"/>
          <w:szCs w:val="24"/>
        </w:rPr>
        <w:t xml:space="preserve">general </w:t>
      </w:r>
      <w:r w:rsidRPr="005D725D">
        <w:rPr>
          <w:rFonts w:ascii="Times New Roman" w:hAnsi="Times New Roman" w:cs="Times New Roman"/>
          <w:sz w:val="24"/>
          <w:szCs w:val="24"/>
        </w:rPr>
        <w:t xml:space="preserve">support </w:t>
      </w:r>
      <w:r w:rsidR="007C733E" w:rsidRPr="005D725D">
        <w:rPr>
          <w:rFonts w:ascii="Times New Roman" w:hAnsi="Times New Roman" w:cs="Times New Roman"/>
          <w:sz w:val="24"/>
          <w:szCs w:val="24"/>
        </w:rPr>
        <w:t xml:space="preserve">for the MTNDP </w:t>
      </w:r>
      <w:r w:rsidRPr="005D725D">
        <w:rPr>
          <w:rFonts w:ascii="Times New Roman" w:hAnsi="Times New Roman" w:cs="Times New Roman"/>
          <w:sz w:val="24"/>
          <w:szCs w:val="24"/>
        </w:rPr>
        <w:t xml:space="preserve">under the </w:t>
      </w:r>
      <w:r w:rsidRPr="005D725D">
        <w:rPr>
          <w:rFonts w:ascii="Times New Roman" w:hAnsi="Times New Roman" w:cs="Times New Roman"/>
          <w:b/>
          <w:i/>
          <w:sz w:val="24"/>
          <w:szCs w:val="24"/>
        </w:rPr>
        <w:t>Means of Implementation Policy Cluster</w:t>
      </w:r>
      <w:r w:rsidRPr="005D725D">
        <w:rPr>
          <w:rFonts w:ascii="Times New Roman" w:hAnsi="Times New Roman" w:cs="Times New Roman"/>
          <w:sz w:val="24"/>
          <w:szCs w:val="24"/>
        </w:rPr>
        <w:t xml:space="preserve">, all government institutions at central and local levels, and development partners, NGOs, civil society organisations, the private sector, and the academia were involved in delivering results. </w:t>
      </w:r>
      <w:r w:rsidR="007C733E" w:rsidRPr="005D725D">
        <w:rPr>
          <w:rFonts w:ascii="Times New Roman" w:hAnsi="Times New Roman" w:cs="Times New Roman"/>
          <w:sz w:val="24"/>
          <w:szCs w:val="24"/>
        </w:rPr>
        <w:t>A</w:t>
      </w:r>
      <w:r w:rsidRPr="005D725D">
        <w:rPr>
          <w:rFonts w:ascii="Times New Roman" w:hAnsi="Times New Roman" w:cs="Times New Roman"/>
          <w:sz w:val="24"/>
          <w:szCs w:val="24"/>
        </w:rPr>
        <w:t xml:space="preserve">n estimated 104 public investment projects </w:t>
      </w:r>
      <w:r w:rsidR="007C733E" w:rsidRPr="005D725D">
        <w:rPr>
          <w:rFonts w:ascii="Times New Roman" w:hAnsi="Times New Roman" w:cs="Times New Roman"/>
          <w:sz w:val="24"/>
          <w:szCs w:val="24"/>
        </w:rPr>
        <w:t xml:space="preserve">were funded through the government budget </w:t>
      </w:r>
      <w:r w:rsidRPr="005D725D">
        <w:rPr>
          <w:rFonts w:ascii="Times New Roman" w:hAnsi="Times New Roman" w:cs="Times New Roman"/>
          <w:sz w:val="24"/>
          <w:szCs w:val="24"/>
        </w:rPr>
        <w:t>in 2019, 86 in 2020, and 70 in 2021 (up to June). A total of 392 projects were funded by Donor Agencies in 2019, 429 in 2</w:t>
      </w:r>
      <w:r w:rsidR="007C733E" w:rsidRPr="005D725D">
        <w:rPr>
          <w:rFonts w:ascii="Times New Roman" w:hAnsi="Times New Roman" w:cs="Times New Roman"/>
          <w:sz w:val="24"/>
          <w:szCs w:val="24"/>
        </w:rPr>
        <w:t>020</w:t>
      </w:r>
      <w:r w:rsidR="007B30A7" w:rsidRPr="005D725D">
        <w:rPr>
          <w:rFonts w:ascii="Times New Roman" w:hAnsi="Times New Roman" w:cs="Times New Roman"/>
          <w:sz w:val="24"/>
          <w:szCs w:val="24"/>
        </w:rPr>
        <w:t xml:space="preserve"> and 311 in 2021. As a strategy</w:t>
      </w:r>
      <w:r w:rsidR="007C733E" w:rsidRPr="005D725D">
        <w:rPr>
          <w:rFonts w:ascii="Times New Roman" w:hAnsi="Times New Roman" w:cs="Times New Roman"/>
          <w:sz w:val="24"/>
          <w:szCs w:val="24"/>
        </w:rPr>
        <w:t xml:space="preserve"> to stay the course of implementing </w:t>
      </w:r>
      <w:r w:rsidR="007B30A7" w:rsidRPr="005D725D">
        <w:rPr>
          <w:rFonts w:ascii="Times New Roman" w:hAnsi="Times New Roman" w:cs="Times New Roman"/>
          <w:sz w:val="24"/>
          <w:szCs w:val="24"/>
        </w:rPr>
        <w:t>the MTNDP with the participation</w:t>
      </w:r>
      <w:r w:rsidR="007C733E" w:rsidRPr="005D725D">
        <w:rPr>
          <w:rFonts w:ascii="Times New Roman" w:hAnsi="Times New Roman" w:cs="Times New Roman"/>
          <w:sz w:val="24"/>
          <w:szCs w:val="24"/>
        </w:rPr>
        <w:t xml:space="preserve"> of key stakeholders</w:t>
      </w:r>
      <w:r w:rsidR="007B30A7" w:rsidRPr="005D725D">
        <w:rPr>
          <w:rFonts w:ascii="Times New Roman" w:hAnsi="Times New Roman" w:cs="Times New Roman"/>
          <w:sz w:val="24"/>
          <w:szCs w:val="24"/>
        </w:rPr>
        <w:t xml:space="preserve"> at the peak </w:t>
      </w:r>
      <w:r w:rsidR="008F19E2">
        <w:rPr>
          <w:rFonts w:ascii="Times New Roman" w:hAnsi="Times New Roman" w:cs="Times New Roman"/>
          <w:sz w:val="24"/>
          <w:szCs w:val="24"/>
        </w:rPr>
        <w:t xml:space="preserve">of </w:t>
      </w:r>
      <w:r w:rsidR="007C733E" w:rsidRPr="005D725D">
        <w:rPr>
          <w:rFonts w:ascii="Times New Roman" w:hAnsi="Times New Roman" w:cs="Times New Roman"/>
          <w:sz w:val="24"/>
          <w:szCs w:val="24"/>
        </w:rPr>
        <w:t>COVID-19</w:t>
      </w:r>
      <w:r w:rsidR="007B30A7" w:rsidRPr="005D725D">
        <w:rPr>
          <w:rFonts w:ascii="Times New Roman" w:hAnsi="Times New Roman" w:cs="Times New Roman"/>
          <w:sz w:val="24"/>
          <w:szCs w:val="24"/>
        </w:rPr>
        <w:t xml:space="preserve">, government </w:t>
      </w:r>
      <w:r w:rsidR="000B1047">
        <w:rPr>
          <w:rFonts w:ascii="Times New Roman" w:hAnsi="Times New Roman" w:cs="Times New Roman"/>
          <w:sz w:val="24"/>
          <w:szCs w:val="24"/>
        </w:rPr>
        <w:t xml:space="preserve">scaled-up </w:t>
      </w:r>
      <w:r w:rsidR="007B30A7" w:rsidRPr="005D725D">
        <w:rPr>
          <w:rFonts w:ascii="Times New Roman" w:hAnsi="Times New Roman" w:cs="Times New Roman"/>
          <w:sz w:val="24"/>
          <w:szCs w:val="24"/>
        </w:rPr>
        <w:t>cooperation with development partners through the state’s traditional Development Partners</w:t>
      </w:r>
      <w:r w:rsidR="003D78B6">
        <w:rPr>
          <w:rFonts w:ascii="Times New Roman" w:hAnsi="Times New Roman" w:cs="Times New Roman"/>
          <w:sz w:val="24"/>
          <w:szCs w:val="24"/>
        </w:rPr>
        <w:t>’</w:t>
      </w:r>
      <w:r w:rsidR="007B30A7" w:rsidRPr="005D725D">
        <w:rPr>
          <w:rFonts w:ascii="Times New Roman" w:hAnsi="Times New Roman" w:cs="Times New Roman"/>
          <w:sz w:val="24"/>
          <w:szCs w:val="24"/>
        </w:rPr>
        <w:t xml:space="preserve"> Committee </w:t>
      </w:r>
      <w:r w:rsidR="00EA2860">
        <w:rPr>
          <w:rFonts w:ascii="Times New Roman" w:hAnsi="Times New Roman" w:cs="Times New Roman"/>
          <w:sz w:val="24"/>
          <w:szCs w:val="24"/>
        </w:rPr>
        <w:t xml:space="preserve">(DEPAC) </w:t>
      </w:r>
      <w:r w:rsidR="007B30A7" w:rsidRPr="005D725D">
        <w:rPr>
          <w:rFonts w:ascii="Times New Roman" w:hAnsi="Times New Roman" w:cs="Times New Roman"/>
          <w:sz w:val="24"/>
          <w:szCs w:val="24"/>
        </w:rPr>
        <w:t>framework and related others</w:t>
      </w:r>
      <w:r w:rsidR="00EA2860">
        <w:rPr>
          <w:rFonts w:ascii="Times New Roman" w:hAnsi="Times New Roman" w:cs="Times New Roman"/>
          <w:sz w:val="24"/>
          <w:szCs w:val="24"/>
        </w:rPr>
        <w:t>. Among other strategic coordination platforms utilised w</w:t>
      </w:r>
      <w:r w:rsidR="007B30A7" w:rsidRPr="005D725D">
        <w:rPr>
          <w:rFonts w:ascii="Times New Roman" w:hAnsi="Times New Roman" w:cs="Times New Roman"/>
          <w:sz w:val="24"/>
          <w:szCs w:val="24"/>
        </w:rPr>
        <w:t>as the Joint Steering Committee on the implementation of the United Nations Sustainable Development Cooperation Framework; ensuring that alignment of partner programme</w:t>
      </w:r>
      <w:r w:rsidR="003D78B6">
        <w:rPr>
          <w:rFonts w:ascii="Times New Roman" w:hAnsi="Times New Roman" w:cs="Times New Roman"/>
          <w:sz w:val="24"/>
          <w:szCs w:val="24"/>
        </w:rPr>
        <w:t>s</w:t>
      </w:r>
      <w:r w:rsidR="007B30A7" w:rsidRPr="005D725D">
        <w:rPr>
          <w:rFonts w:ascii="Times New Roman" w:hAnsi="Times New Roman" w:cs="Times New Roman"/>
          <w:sz w:val="24"/>
          <w:szCs w:val="24"/>
        </w:rPr>
        <w:t xml:space="preserve"> with the MTNDP was strengthened</w:t>
      </w:r>
      <w:r w:rsidR="00FF50E9">
        <w:rPr>
          <w:rFonts w:ascii="Times New Roman" w:hAnsi="Times New Roman" w:cs="Times New Roman"/>
          <w:sz w:val="24"/>
          <w:szCs w:val="24"/>
        </w:rPr>
        <w:t xml:space="preserve">, </w:t>
      </w:r>
      <w:r w:rsidR="00FF50E9" w:rsidRPr="005D725D">
        <w:rPr>
          <w:rFonts w:ascii="Times New Roman" w:hAnsi="Times New Roman" w:cs="Times New Roman"/>
          <w:sz w:val="24"/>
          <w:szCs w:val="24"/>
        </w:rPr>
        <w:t>while promoting sectoral</w:t>
      </w:r>
      <w:r w:rsidR="00FF50E9">
        <w:rPr>
          <w:rFonts w:ascii="Times New Roman" w:hAnsi="Times New Roman" w:cs="Times New Roman"/>
          <w:sz w:val="24"/>
          <w:szCs w:val="24"/>
        </w:rPr>
        <w:t xml:space="preserve"> coordination</w:t>
      </w:r>
      <w:r w:rsidR="00581E30">
        <w:rPr>
          <w:rFonts w:ascii="Times New Roman" w:hAnsi="Times New Roman" w:cs="Times New Roman"/>
          <w:sz w:val="24"/>
          <w:szCs w:val="24"/>
        </w:rPr>
        <w:t xml:space="preserve">. </w:t>
      </w:r>
      <w:r w:rsidR="00FF50E9">
        <w:rPr>
          <w:rFonts w:ascii="Times New Roman" w:hAnsi="Times New Roman" w:cs="Times New Roman"/>
          <w:sz w:val="24"/>
          <w:szCs w:val="24"/>
        </w:rPr>
        <w:t xml:space="preserve">As noted under Cluster 4, the District Development Coordination Committees were resuscitated to strengthen regular reporting and delivery of results at local/community level. </w:t>
      </w:r>
      <w:r w:rsidR="001432D1" w:rsidRPr="005D725D">
        <w:rPr>
          <w:rFonts w:ascii="Times New Roman" w:hAnsi="Times New Roman" w:cs="Times New Roman"/>
          <w:sz w:val="24"/>
          <w:szCs w:val="24"/>
        </w:rPr>
        <w:t xml:space="preserve"> </w:t>
      </w:r>
    </w:p>
    <w:p w14:paraId="5CBE429E" w14:textId="77777777" w:rsidR="00160757" w:rsidRPr="004931A3" w:rsidRDefault="006748A2" w:rsidP="004931A3">
      <w:pPr>
        <w:pStyle w:val="Heading1"/>
        <w:spacing w:before="360" w:after="240" w:line="240" w:lineRule="auto"/>
        <w:jc w:val="center"/>
        <w:rPr>
          <w:b/>
          <w:color w:val="0070C0"/>
        </w:rPr>
      </w:pPr>
      <w:bookmarkStart w:id="3" w:name="_Toc125729997"/>
      <w:r w:rsidRPr="004931A3">
        <w:rPr>
          <w:b/>
          <w:color w:val="0070C0"/>
        </w:rPr>
        <w:t xml:space="preserve">D. </w:t>
      </w:r>
      <w:r w:rsidR="00160757" w:rsidRPr="004931A3">
        <w:rPr>
          <w:b/>
          <w:color w:val="0070C0"/>
        </w:rPr>
        <w:t>Challenges to implementation</w:t>
      </w:r>
      <w:bookmarkEnd w:id="3"/>
    </w:p>
    <w:p w14:paraId="0A0E96D2" w14:textId="77777777" w:rsidR="0052688C" w:rsidRPr="005D725D" w:rsidRDefault="000663DA"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Sierra Leone’s </w:t>
      </w:r>
      <w:r w:rsidR="00334900">
        <w:rPr>
          <w:rFonts w:ascii="Times New Roman" w:hAnsi="Times New Roman" w:cs="Times New Roman"/>
          <w:sz w:val="24"/>
          <w:szCs w:val="24"/>
        </w:rPr>
        <w:t>i</w:t>
      </w:r>
      <w:r w:rsidR="003D78B6">
        <w:rPr>
          <w:rFonts w:ascii="Times New Roman" w:hAnsi="Times New Roman" w:cs="Times New Roman"/>
          <w:sz w:val="24"/>
          <w:szCs w:val="24"/>
        </w:rPr>
        <w:t>ncome poverty remain</w:t>
      </w:r>
      <w:r w:rsidR="00CF287E">
        <w:rPr>
          <w:rFonts w:ascii="Times New Roman" w:hAnsi="Times New Roman" w:cs="Times New Roman"/>
          <w:sz w:val="24"/>
          <w:szCs w:val="24"/>
        </w:rPr>
        <w:t>ed</w:t>
      </w:r>
      <w:r w:rsidR="0052688C" w:rsidRPr="005D725D">
        <w:rPr>
          <w:rFonts w:ascii="Times New Roman" w:hAnsi="Times New Roman" w:cs="Times New Roman"/>
          <w:sz w:val="24"/>
          <w:szCs w:val="24"/>
        </w:rPr>
        <w:t xml:space="preserve"> high in excess of 50 percent during implementation, as population growth rate continued to be positive.</w:t>
      </w:r>
    </w:p>
    <w:p w14:paraId="6CBCAD95" w14:textId="77777777" w:rsidR="00655A40" w:rsidRPr="005D725D" w:rsidRDefault="0052688C"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 </w:t>
      </w:r>
      <w:r w:rsidR="00160757" w:rsidRPr="005D725D">
        <w:rPr>
          <w:rFonts w:ascii="Times New Roman" w:hAnsi="Times New Roman" w:cs="Times New Roman"/>
          <w:sz w:val="24"/>
          <w:szCs w:val="24"/>
        </w:rPr>
        <w:t>The COVID-19 pandemic was a leading barrier to achieving planned results</w:t>
      </w:r>
      <w:r w:rsidR="004D0F2F" w:rsidRPr="005D725D">
        <w:rPr>
          <w:rFonts w:ascii="Times New Roman" w:hAnsi="Times New Roman" w:cs="Times New Roman"/>
          <w:sz w:val="24"/>
          <w:szCs w:val="24"/>
        </w:rPr>
        <w:t>. The virus</w:t>
      </w:r>
      <w:r w:rsidR="00655A40" w:rsidRPr="005D725D">
        <w:rPr>
          <w:rFonts w:ascii="Times New Roman" w:hAnsi="Times New Roman" w:cs="Times New Roman"/>
          <w:sz w:val="24"/>
          <w:szCs w:val="24"/>
        </w:rPr>
        <w:t xml:space="preserve"> br</w:t>
      </w:r>
      <w:r w:rsidR="004D0F2F" w:rsidRPr="005D725D">
        <w:rPr>
          <w:rFonts w:ascii="Times New Roman" w:hAnsi="Times New Roman" w:cs="Times New Roman"/>
          <w:sz w:val="24"/>
          <w:szCs w:val="24"/>
        </w:rPr>
        <w:t xml:space="preserve">oke </w:t>
      </w:r>
      <w:r w:rsidR="00655A40" w:rsidRPr="005D725D">
        <w:rPr>
          <w:rFonts w:ascii="Times New Roman" w:hAnsi="Times New Roman" w:cs="Times New Roman"/>
          <w:sz w:val="24"/>
          <w:szCs w:val="24"/>
        </w:rPr>
        <w:t>out</w:t>
      </w:r>
      <w:r w:rsidR="00221753">
        <w:rPr>
          <w:rFonts w:ascii="Times New Roman" w:hAnsi="Times New Roman" w:cs="Times New Roman"/>
          <w:sz w:val="24"/>
          <w:szCs w:val="24"/>
        </w:rPr>
        <w:t xml:space="preserve"> </w:t>
      </w:r>
      <w:r w:rsidR="00655A40" w:rsidRPr="005D725D">
        <w:rPr>
          <w:rFonts w:ascii="Times New Roman" w:hAnsi="Times New Roman" w:cs="Times New Roman"/>
          <w:b/>
          <w:i/>
          <w:sz w:val="24"/>
          <w:szCs w:val="24"/>
        </w:rPr>
        <w:t>nine</w:t>
      </w:r>
      <w:r w:rsidR="00A30F4D">
        <w:rPr>
          <w:rFonts w:ascii="Times New Roman" w:hAnsi="Times New Roman" w:cs="Times New Roman"/>
          <w:sz w:val="24"/>
          <w:szCs w:val="24"/>
        </w:rPr>
        <w:t xml:space="preserve"> months after the launch of the</w:t>
      </w:r>
      <w:r w:rsidR="004D0F2F" w:rsidRPr="005D725D">
        <w:rPr>
          <w:rFonts w:ascii="Times New Roman" w:hAnsi="Times New Roman" w:cs="Times New Roman"/>
          <w:sz w:val="24"/>
          <w:szCs w:val="24"/>
        </w:rPr>
        <w:t xml:space="preserve"> </w:t>
      </w:r>
      <w:r w:rsidR="00655A40" w:rsidRPr="005D725D">
        <w:rPr>
          <w:rFonts w:ascii="Times New Roman" w:hAnsi="Times New Roman" w:cs="Times New Roman"/>
          <w:sz w:val="24"/>
          <w:szCs w:val="24"/>
        </w:rPr>
        <w:t>MTNDP</w:t>
      </w:r>
      <w:r w:rsidR="00160757" w:rsidRPr="005D725D">
        <w:rPr>
          <w:rFonts w:ascii="Times New Roman" w:hAnsi="Times New Roman" w:cs="Times New Roman"/>
          <w:sz w:val="24"/>
          <w:szCs w:val="24"/>
        </w:rPr>
        <w:t xml:space="preserve">. </w:t>
      </w:r>
      <w:r w:rsidR="00655A40" w:rsidRPr="005D725D">
        <w:rPr>
          <w:rFonts w:ascii="Times New Roman" w:hAnsi="Times New Roman" w:cs="Times New Roman"/>
          <w:sz w:val="24"/>
          <w:szCs w:val="24"/>
        </w:rPr>
        <w:t>It badly affected private sector activities and revenue generation to finance development.</w:t>
      </w:r>
      <w:r w:rsidR="004D0F2F" w:rsidRPr="005D725D">
        <w:rPr>
          <w:rFonts w:ascii="Times New Roman" w:hAnsi="Times New Roman" w:cs="Times New Roman"/>
          <w:sz w:val="24"/>
          <w:szCs w:val="24"/>
        </w:rPr>
        <w:t xml:space="preserve"> The Ukraine-Russia war heightened the country’s economic and revenue vulnerability and fluctuation</w:t>
      </w:r>
      <w:r w:rsidR="00A30F4D">
        <w:rPr>
          <w:rFonts w:ascii="Times New Roman" w:hAnsi="Times New Roman" w:cs="Times New Roman"/>
          <w:sz w:val="24"/>
          <w:szCs w:val="24"/>
        </w:rPr>
        <w:t>,</w:t>
      </w:r>
      <w:r w:rsidR="004D0F2F" w:rsidRPr="005D725D">
        <w:rPr>
          <w:rFonts w:ascii="Times New Roman" w:hAnsi="Times New Roman" w:cs="Times New Roman"/>
          <w:sz w:val="24"/>
          <w:szCs w:val="24"/>
        </w:rPr>
        <w:t xml:space="preserve"> being highly dependent on international market</w:t>
      </w:r>
      <w:r w:rsidR="00A30F4D">
        <w:rPr>
          <w:rFonts w:ascii="Times New Roman" w:hAnsi="Times New Roman" w:cs="Times New Roman"/>
          <w:sz w:val="24"/>
          <w:szCs w:val="24"/>
        </w:rPr>
        <w:t>s</w:t>
      </w:r>
      <w:r w:rsidR="004D0F2F" w:rsidRPr="005D725D">
        <w:rPr>
          <w:rFonts w:ascii="Times New Roman" w:hAnsi="Times New Roman" w:cs="Times New Roman"/>
          <w:sz w:val="24"/>
          <w:szCs w:val="24"/>
        </w:rPr>
        <w:t xml:space="preserve"> and foreign assistance.</w:t>
      </w:r>
    </w:p>
    <w:p w14:paraId="1D5C2F48" w14:textId="41206CEB" w:rsidR="004D0F2F" w:rsidRDefault="004D0F2F"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The protracted fiscal squeeze suffered by the state could not permit planned invest</w:t>
      </w:r>
      <w:r w:rsidR="00A30F4D">
        <w:rPr>
          <w:rFonts w:ascii="Times New Roman" w:hAnsi="Times New Roman" w:cs="Times New Roman"/>
          <w:sz w:val="24"/>
          <w:szCs w:val="24"/>
        </w:rPr>
        <w:t>ment in critical infrastructure</w:t>
      </w:r>
      <w:r w:rsidRPr="005D725D">
        <w:rPr>
          <w:rFonts w:ascii="Times New Roman" w:hAnsi="Times New Roman" w:cs="Times New Roman"/>
          <w:sz w:val="24"/>
          <w:szCs w:val="24"/>
        </w:rPr>
        <w:t>, such as energy, water, roads, and ICT towards boosting private sector operations.</w:t>
      </w:r>
    </w:p>
    <w:p w14:paraId="13FF5827" w14:textId="2F28B577" w:rsidR="00921E0E" w:rsidRDefault="00921E0E"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w:t>
      </w:r>
      <w:r w:rsidR="00B16F05">
        <w:rPr>
          <w:rFonts w:ascii="Times New Roman" w:hAnsi="Times New Roman" w:cs="Times New Roman"/>
          <w:sz w:val="24"/>
          <w:szCs w:val="24"/>
        </w:rPr>
        <w:t xml:space="preserve">technical </w:t>
      </w:r>
      <w:r>
        <w:rPr>
          <w:rFonts w:ascii="Times New Roman" w:hAnsi="Times New Roman" w:cs="Times New Roman"/>
          <w:sz w:val="24"/>
          <w:szCs w:val="24"/>
        </w:rPr>
        <w:t xml:space="preserve">capacity to effectively </w:t>
      </w:r>
      <w:r w:rsidR="00D166F4">
        <w:rPr>
          <w:rFonts w:ascii="Times New Roman" w:hAnsi="Times New Roman" w:cs="Times New Roman"/>
          <w:sz w:val="24"/>
          <w:szCs w:val="24"/>
        </w:rPr>
        <w:t xml:space="preserve">prepare and </w:t>
      </w:r>
      <w:r>
        <w:rPr>
          <w:rFonts w:ascii="Times New Roman" w:hAnsi="Times New Roman" w:cs="Times New Roman"/>
          <w:sz w:val="24"/>
          <w:szCs w:val="24"/>
        </w:rPr>
        <w:t xml:space="preserve">deliver </w:t>
      </w:r>
      <w:r w:rsidR="00D166F4">
        <w:rPr>
          <w:rFonts w:ascii="Times New Roman" w:hAnsi="Times New Roman" w:cs="Times New Roman"/>
          <w:sz w:val="24"/>
          <w:szCs w:val="24"/>
        </w:rPr>
        <w:t xml:space="preserve">bankable </w:t>
      </w:r>
      <w:r>
        <w:rPr>
          <w:rFonts w:ascii="Times New Roman" w:hAnsi="Times New Roman" w:cs="Times New Roman"/>
          <w:sz w:val="24"/>
          <w:szCs w:val="24"/>
        </w:rPr>
        <w:t xml:space="preserve">projects at sector and local level was still </w:t>
      </w:r>
      <w:r w:rsidR="003D2AFC">
        <w:rPr>
          <w:rFonts w:ascii="Times New Roman" w:hAnsi="Times New Roman" w:cs="Times New Roman"/>
          <w:sz w:val="24"/>
          <w:szCs w:val="24"/>
        </w:rPr>
        <w:t>seriously inadequate</w:t>
      </w:r>
      <w:r>
        <w:rPr>
          <w:rFonts w:ascii="Times New Roman" w:hAnsi="Times New Roman" w:cs="Times New Roman"/>
          <w:sz w:val="24"/>
          <w:szCs w:val="24"/>
        </w:rPr>
        <w:t xml:space="preserve">—absorptive capacity for the available scarce resources from both government and development partners, especially in sectors like agriculture, remained weak; huge </w:t>
      </w:r>
      <w:r w:rsidR="0007264A">
        <w:rPr>
          <w:rFonts w:ascii="Times New Roman" w:hAnsi="Times New Roman" w:cs="Times New Roman"/>
          <w:sz w:val="24"/>
          <w:szCs w:val="24"/>
        </w:rPr>
        <w:t xml:space="preserve">allocated </w:t>
      </w:r>
      <w:r>
        <w:rPr>
          <w:rFonts w:ascii="Times New Roman" w:hAnsi="Times New Roman" w:cs="Times New Roman"/>
          <w:sz w:val="24"/>
          <w:szCs w:val="24"/>
        </w:rPr>
        <w:t>resource</w:t>
      </w:r>
      <w:r w:rsidR="0007264A">
        <w:rPr>
          <w:rFonts w:ascii="Times New Roman" w:hAnsi="Times New Roman" w:cs="Times New Roman"/>
          <w:sz w:val="24"/>
          <w:szCs w:val="24"/>
        </w:rPr>
        <w:t>s</w:t>
      </w:r>
      <w:r>
        <w:rPr>
          <w:rFonts w:ascii="Times New Roman" w:hAnsi="Times New Roman" w:cs="Times New Roman"/>
          <w:sz w:val="24"/>
          <w:szCs w:val="24"/>
        </w:rPr>
        <w:t xml:space="preserve"> remained unspent in this situation.</w:t>
      </w:r>
    </w:p>
    <w:p w14:paraId="08DEF52D" w14:textId="6D08F6F2" w:rsidR="00921E0E" w:rsidRPr="005D725D" w:rsidRDefault="0007264A"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Domestic resource mobilisation was generally challenged. For instance, the implementation of the Electronic Cash Register System introduced by the National Revenue Authority met stiff resistance from the business community. </w:t>
      </w:r>
    </w:p>
    <w:p w14:paraId="748EA443" w14:textId="77777777" w:rsidR="00160757" w:rsidRPr="005D725D" w:rsidRDefault="00095E61"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T</w:t>
      </w:r>
      <w:r w:rsidR="00160757" w:rsidRPr="005D725D">
        <w:rPr>
          <w:rFonts w:ascii="Times New Roman" w:hAnsi="Times New Roman" w:cs="Times New Roman"/>
          <w:sz w:val="24"/>
          <w:szCs w:val="24"/>
        </w:rPr>
        <w:t xml:space="preserve">he digital divide between regions </w:t>
      </w:r>
      <w:r w:rsidRPr="005D725D">
        <w:rPr>
          <w:rFonts w:ascii="Times New Roman" w:hAnsi="Times New Roman" w:cs="Times New Roman"/>
          <w:sz w:val="24"/>
          <w:szCs w:val="24"/>
        </w:rPr>
        <w:t>and districts in the country remain</w:t>
      </w:r>
      <w:r w:rsidR="00A30F4D">
        <w:rPr>
          <w:rFonts w:ascii="Times New Roman" w:hAnsi="Times New Roman" w:cs="Times New Roman"/>
          <w:sz w:val="24"/>
          <w:szCs w:val="24"/>
        </w:rPr>
        <w:t>ed</w:t>
      </w:r>
      <w:r w:rsidRPr="005D725D">
        <w:rPr>
          <w:rFonts w:ascii="Times New Roman" w:hAnsi="Times New Roman" w:cs="Times New Roman"/>
          <w:sz w:val="24"/>
          <w:szCs w:val="24"/>
        </w:rPr>
        <w:t xml:space="preserve"> a major challenge to effectively engaging</w:t>
      </w:r>
      <w:r w:rsidR="00160757" w:rsidRPr="005D725D">
        <w:rPr>
          <w:rFonts w:ascii="Times New Roman" w:hAnsi="Times New Roman" w:cs="Times New Roman"/>
          <w:sz w:val="24"/>
          <w:szCs w:val="24"/>
        </w:rPr>
        <w:t xml:space="preserve"> all relevant locations </w:t>
      </w:r>
      <w:r w:rsidRPr="005D725D">
        <w:rPr>
          <w:rFonts w:ascii="Times New Roman" w:hAnsi="Times New Roman" w:cs="Times New Roman"/>
          <w:sz w:val="24"/>
          <w:szCs w:val="24"/>
        </w:rPr>
        <w:t>in the plan implementation</w:t>
      </w:r>
      <w:r w:rsidR="008970E1" w:rsidRPr="005D725D">
        <w:rPr>
          <w:rFonts w:ascii="Times New Roman" w:hAnsi="Times New Roman" w:cs="Times New Roman"/>
          <w:sz w:val="24"/>
          <w:szCs w:val="24"/>
        </w:rPr>
        <w:t>; inequality in m</w:t>
      </w:r>
      <w:r w:rsidR="00160757" w:rsidRPr="005D725D">
        <w:rPr>
          <w:rFonts w:ascii="Times New Roman" w:hAnsi="Times New Roman" w:cs="Times New Roman"/>
          <w:sz w:val="24"/>
          <w:szCs w:val="24"/>
        </w:rPr>
        <w:t xml:space="preserve">obile network coverage </w:t>
      </w:r>
      <w:r w:rsidR="008970E1" w:rsidRPr="005D725D">
        <w:rPr>
          <w:rFonts w:ascii="Times New Roman" w:hAnsi="Times New Roman" w:cs="Times New Roman"/>
          <w:sz w:val="24"/>
          <w:szCs w:val="24"/>
        </w:rPr>
        <w:t xml:space="preserve">across </w:t>
      </w:r>
      <w:r w:rsidR="00160757" w:rsidRPr="005D725D">
        <w:rPr>
          <w:rFonts w:ascii="Times New Roman" w:hAnsi="Times New Roman" w:cs="Times New Roman"/>
          <w:sz w:val="24"/>
          <w:szCs w:val="24"/>
        </w:rPr>
        <w:t>communities</w:t>
      </w:r>
      <w:r w:rsidR="008970E1" w:rsidRPr="005D725D">
        <w:rPr>
          <w:rFonts w:ascii="Times New Roman" w:hAnsi="Times New Roman" w:cs="Times New Roman"/>
          <w:sz w:val="24"/>
          <w:szCs w:val="24"/>
        </w:rPr>
        <w:t xml:space="preserve"> </w:t>
      </w:r>
      <w:r w:rsidR="004D0F2F" w:rsidRPr="005D725D">
        <w:rPr>
          <w:rFonts w:ascii="Times New Roman" w:hAnsi="Times New Roman" w:cs="Times New Roman"/>
          <w:sz w:val="24"/>
          <w:szCs w:val="24"/>
        </w:rPr>
        <w:t xml:space="preserve">has been </w:t>
      </w:r>
      <w:r w:rsidR="00160757" w:rsidRPr="005D725D">
        <w:rPr>
          <w:rFonts w:ascii="Times New Roman" w:hAnsi="Times New Roman" w:cs="Times New Roman"/>
          <w:sz w:val="24"/>
          <w:szCs w:val="24"/>
        </w:rPr>
        <w:t xml:space="preserve">a challenge, which contributed to the financial exclusion of many local economic actors. </w:t>
      </w:r>
    </w:p>
    <w:p w14:paraId="1F4086A4" w14:textId="77777777" w:rsidR="004D0F2F" w:rsidRPr="005D725D" w:rsidRDefault="00A30F4D"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There has been c</w:t>
      </w:r>
      <w:r w:rsidR="001A1CEC" w:rsidRPr="005D725D">
        <w:rPr>
          <w:rFonts w:ascii="Times New Roman" w:hAnsi="Times New Roman" w:cs="Times New Roman"/>
          <w:sz w:val="24"/>
          <w:szCs w:val="24"/>
        </w:rPr>
        <w:t xml:space="preserve">onsiderable room </w:t>
      </w:r>
      <w:r>
        <w:rPr>
          <w:rFonts w:ascii="Times New Roman" w:hAnsi="Times New Roman" w:cs="Times New Roman"/>
          <w:sz w:val="24"/>
          <w:szCs w:val="24"/>
        </w:rPr>
        <w:t>for improvement in coordinati</w:t>
      </w:r>
      <w:r w:rsidR="001A1CEC" w:rsidRPr="005D725D">
        <w:rPr>
          <w:rFonts w:ascii="Times New Roman" w:hAnsi="Times New Roman" w:cs="Times New Roman"/>
          <w:sz w:val="24"/>
          <w:szCs w:val="24"/>
        </w:rPr>
        <w:t>n</w:t>
      </w:r>
      <w:r>
        <w:rPr>
          <w:rFonts w:ascii="Times New Roman" w:hAnsi="Times New Roman" w:cs="Times New Roman"/>
          <w:sz w:val="24"/>
          <w:szCs w:val="24"/>
        </w:rPr>
        <w:t>g</w:t>
      </w:r>
      <w:r w:rsidR="001A1CEC" w:rsidRPr="005D725D">
        <w:rPr>
          <w:rFonts w:ascii="Times New Roman" w:hAnsi="Times New Roman" w:cs="Times New Roman"/>
          <w:sz w:val="24"/>
          <w:szCs w:val="24"/>
        </w:rPr>
        <w:t xml:space="preserve"> development actors within the public sector and non-state sph</w:t>
      </w:r>
      <w:r>
        <w:rPr>
          <w:rFonts w:ascii="Times New Roman" w:hAnsi="Times New Roman" w:cs="Times New Roman"/>
          <w:sz w:val="24"/>
          <w:szCs w:val="24"/>
        </w:rPr>
        <w:t>ere; in promoting public financial</w:t>
      </w:r>
      <w:r w:rsidR="001A1CEC" w:rsidRPr="005D725D">
        <w:rPr>
          <w:rFonts w:ascii="Times New Roman" w:hAnsi="Times New Roman" w:cs="Times New Roman"/>
          <w:sz w:val="24"/>
          <w:szCs w:val="24"/>
        </w:rPr>
        <w:t xml:space="preserve"> management and alignment/tracking of donor funding to sectoral priorities</w:t>
      </w:r>
      <w:r w:rsidR="00F058F1">
        <w:rPr>
          <w:rFonts w:ascii="Times New Roman" w:hAnsi="Times New Roman" w:cs="Times New Roman"/>
          <w:sz w:val="24"/>
          <w:szCs w:val="24"/>
        </w:rPr>
        <w:t>,</w:t>
      </w:r>
      <w:r w:rsidR="001A1CEC" w:rsidRPr="005D725D">
        <w:rPr>
          <w:rFonts w:ascii="Times New Roman" w:hAnsi="Times New Roman" w:cs="Times New Roman"/>
          <w:sz w:val="24"/>
          <w:szCs w:val="24"/>
        </w:rPr>
        <w:t xml:space="preserve"> and frontline monitoring of development projects.</w:t>
      </w:r>
    </w:p>
    <w:p w14:paraId="097A156D" w14:textId="77777777" w:rsidR="00BC6502" w:rsidRPr="005D725D" w:rsidRDefault="004D0F2F"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Data systems and reporting in the public sector </w:t>
      </w:r>
      <w:r w:rsidR="00DA2489" w:rsidRPr="005D725D">
        <w:rPr>
          <w:rFonts w:ascii="Times New Roman" w:hAnsi="Times New Roman" w:cs="Times New Roman"/>
          <w:sz w:val="24"/>
          <w:szCs w:val="24"/>
        </w:rPr>
        <w:t>generally remained weak, while m</w:t>
      </w:r>
      <w:r w:rsidRPr="005D725D">
        <w:rPr>
          <w:rFonts w:ascii="Times New Roman" w:hAnsi="Times New Roman" w:cs="Times New Roman"/>
          <w:sz w:val="24"/>
          <w:szCs w:val="24"/>
        </w:rPr>
        <w:t xml:space="preserve">any indicators </w:t>
      </w:r>
      <w:r w:rsidR="00DA2489" w:rsidRPr="005D725D">
        <w:rPr>
          <w:rFonts w:ascii="Times New Roman" w:hAnsi="Times New Roman" w:cs="Times New Roman"/>
          <w:sz w:val="24"/>
          <w:szCs w:val="24"/>
        </w:rPr>
        <w:t xml:space="preserve">were programmed </w:t>
      </w:r>
      <w:r w:rsidRPr="005D725D">
        <w:rPr>
          <w:rFonts w:ascii="Times New Roman" w:hAnsi="Times New Roman" w:cs="Times New Roman"/>
          <w:sz w:val="24"/>
          <w:szCs w:val="24"/>
        </w:rPr>
        <w:t xml:space="preserve">in the Results Framework </w:t>
      </w:r>
      <w:r w:rsidR="00F058F1">
        <w:rPr>
          <w:rFonts w:ascii="Times New Roman" w:hAnsi="Times New Roman" w:cs="Times New Roman"/>
          <w:sz w:val="24"/>
          <w:szCs w:val="24"/>
        </w:rPr>
        <w:t>of</w:t>
      </w:r>
      <w:r w:rsidR="00DA2489" w:rsidRPr="005D725D">
        <w:rPr>
          <w:rFonts w:ascii="Times New Roman" w:hAnsi="Times New Roman" w:cs="Times New Roman"/>
          <w:sz w:val="24"/>
          <w:szCs w:val="24"/>
        </w:rPr>
        <w:t xml:space="preserve"> the MTNDP</w:t>
      </w:r>
      <w:r w:rsidRPr="005D725D">
        <w:rPr>
          <w:rFonts w:ascii="Times New Roman" w:hAnsi="Times New Roman" w:cs="Times New Roman"/>
          <w:sz w:val="24"/>
          <w:szCs w:val="24"/>
        </w:rPr>
        <w:t xml:space="preserve"> without data (baselines and targets</w:t>
      </w:r>
      <w:r w:rsidR="00A02D06" w:rsidRPr="005D725D">
        <w:rPr>
          <w:rFonts w:ascii="Times New Roman" w:hAnsi="Times New Roman" w:cs="Times New Roman"/>
          <w:sz w:val="24"/>
          <w:szCs w:val="24"/>
        </w:rPr>
        <w:t xml:space="preserve">); </w:t>
      </w:r>
      <w:r w:rsidR="00B3730A">
        <w:rPr>
          <w:rFonts w:ascii="Times New Roman" w:hAnsi="Times New Roman" w:cs="Times New Roman"/>
          <w:sz w:val="24"/>
          <w:szCs w:val="24"/>
        </w:rPr>
        <w:t>close to</w:t>
      </w:r>
      <w:r w:rsidR="00DA2489" w:rsidRPr="005D725D">
        <w:rPr>
          <w:rFonts w:ascii="Times New Roman" w:hAnsi="Times New Roman" w:cs="Times New Roman"/>
          <w:sz w:val="24"/>
          <w:szCs w:val="24"/>
        </w:rPr>
        <w:t xml:space="preserve"> h</w:t>
      </w:r>
      <w:r w:rsidR="00F058F1">
        <w:rPr>
          <w:rFonts w:ascii="Times New Roman" w:hAnsi="Times New Roman" w:cs="Times New Roman"/>
          <w:sz w:val="24"/>
          <w:szCs w:val="24"/>
        </w:rPr>
        <w:t xml:space="preserve">alf of the 686 indicators </w:t>
      </w:r>
      <w:r w:rsidR="00B3707B">
        <w:rPr>
          <w:rFonts w:ascii="Times New Roman" w:hAnsi="Times New Roman" w:cs="Times New Roman"/>
          <w:sz w:val="24"/>
          <w:szCs w:val="24"/>
        </w:rPr>
        <w:t xml:space="preserve">in the framework </w:t>
      </w:r>
      <w:r w:rsidR="00F058F1">
        <w:rPr>
          <w:rFonts w:ascii="Times New Roman" w:hAnsi="Times New Roman" w:cs="Times New Roman"/>
          <w:sz w:val="24"/>
          <w:szCs w:val="24"/>
        </w:rPr>
        <w:t>were without data</w:t>
      </w:r>
      <w:r w:rsidRPr="005D725D">
        <w:rPr>
          <w:rFonts w:ascii="Times New Roman" w:hAnsi="Times New Roman" w:cs="Times New Roman"/>
          <w:sz w:val="24"/>
          <w:szCs w:val="24"/>
        </w:rPr>
        <w:t xml:space="preserve">, largely because of limited resources to undertake the necessary baseline assessment during </w:t>
      </w:r>
      <w:r w:rsidR="00DA2489" w:rsidRPr="005D725D">
        <w:rPr>
          <w:rFonts w:ascii="Times New Roman" w:hAnsi="Times New Roman" w:cs="Times New Roman"/>
          <w:sz w:val="24"/>
          <w:szCs w:val="24"/>
        </w:rPr>
        <w:t xml:space="preserve">implementation. </w:t>
      </w:r>
    </w:p>
    <w:p w14:paraId="2B94B3E4" w14:textId="77777777" w:rsidR="00BC6502" w:rsidRPr="004931A3" w:rsidRDefault="00F2133C" w:rsidP="004931A3">
      <w:pPr>
        <w:pStyle w:val="Heading1"/>
        <w:spacing w:before="360" w:after="240" w:line="240" w:lineRule="auto"/>
        <w:jc w:val="center"/>
        <w:rPr>
          <w:b/>
          <w:color w:val="0070C0"/>
        </w:rPr>
      </w:pPr>
      <w:bookmarkStart w:id="4" w:name="_Toc125729998"/>
      <w:r w:rsidRPr="004931A3">
        <w:rPr>
          <w:b/>
          <w:color w:val="0070C0"/>
        </w:rPr>
        <w:t xml:space="preserve">E. </w:t>
      </w:r>
      <w:r w:rsidR="00A02D06" w:rsidRPr="004931A3">
        <w:rPr>
          <w:b/>
          <w:color w:val="0070C0"/>
        </w:rPr>
        <w:t>Lesson</w:t>
      </w:r>
      <w:r w:rsidR="00AF2A16" w:rsidRPr="004931A3">
        <w:rPr>
          <w:b/>
          <w:color w:val="0070C0"/>
        </w:rPr>
        <w:t>s l</w:t>
      </w:r>
      <w:r w:rsidR="00BC6502" w:rsidRPr="004931A3">
        <w:rPr>
          <w:b/>
          <w:color w:val="0070C0"/>
        </w:rPr>
        <w:t>earned</w:t>
      </w:r>
      <w:bookmarkEnd w:id="4"/>
    </w:p>
    <w:p w14:paraId="02C5FBA3" w14:textId="77777777" w:rsidR="00BC6502" w:rsidRPr="005D725D" w:rsidRDefault="00BC6502"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Diversifying sources of financing </w:t>
      </w:r>
      <w:r w:rsidR="00F058F1">
        <w:rPr>
          <w:rFonts w:ascii="Times New Roman" w:hAnsi="Times New Roman" w:cs="Times New Roman"/>
          <w:sz w:val="24"/>
          <w:szCs w:val="24"/>
        </w:rPr>
        <w:t>national p</w:t>
      </w:r>
      <w:r w:rsidRPr="005D725D">
        <w:rPr>
          <w:rFonts w:ascii="Times New Roman" w:hAnsi="Times New Roman" w:cs="Times New Roman"/>
          <w:sz w:val="24"/>
          <w:szCs w:val="24"/>
        </w:rPr>
        <w:t xml:space="preserve">lans with more emphasis on domestic resource mobilisation is critical for the sustainable implementation of </w:t>
      </w:r>
      <w:r w:rsidR="00F058F1">
        <w:rPr>
          <w:rFonts w:ascii="Times New Roman" w:hAnsi="Times New Roman" w:cs="Times New Roman"/>
          <w:sz w:val="24"/>
          <w:szCs w:val="24"/>
        </w:rPr>
        <w:t xml:space="preserve">public projects; </w:t>
      </w:r>
      <w:r w:rsidRPr="005D725D">
        <w:rPr>
          <w:rFonts w:ascii="Times New Roman" w:hAnsi="Times New Roman" w:cs="Times New Roman"/>
          <w:sz w:val="24"/>
          <w:szCs w:val="24"/>
        </w:rPr>
        <w:t xml:space="preserve">critical for </w:t>
      </w:r>
      <w:r w:rsidR="00B367F1">
        <w:rPr>
          <w:rFonts w:ascii="Times New Roman" w:hAnsi="Times New Roman" w:cs="Times New Roman"/>
          <w:sz w:val="24"/>
          <w:szCs w:val="24"/>
        </w:rPr>
        <w:t xml:space="preserve">providing </w:t>
      </w:r>
      <w:r w:rsidRPr="005D725D">
        <w:rPr>
          <w:rFonts w:ascii="Times New Roman" w:hAnsi="Times New Roman" w:cs="Times New Roman"/>
          <w:sz w:val="24"/>
          <w:szCs w:val="24"/>
        </w:rPr>
        <w:t>shock absorbers during crises, such as drawn from climate change, COVID-19 and Ukraine-Russia War</w:t>
      </w:r>
      <w:r w:rsidR="00103BE2" w:rsidRPr="005D725D">
        <w:rPr>
          <w:rFonts w:ascii="Times New Roman" w:hAnsi="Times New Roman" w:cs="Times New Roman"/>
          <w:sz w:val="24"/>
          <w:szCs w:val="24"/>
        </w:rPr>
        <w:t>.</w:t>
      </w:r>
      <w:r w:rsidRPr="005D725D">
        <w:rPr>
          <w:rFonts w:ascii="Times New Roman" w:hAnsi="Times New Roman" w:cs="Times New Roman"/>
          <w:sz w:val="24"/>
          <w:szCs w:val="24"/>
        </w:rPr>
        <w:t xml:space="preserve"> </w:t>
      </w:r>
    </w:p>
    <w:p w14:paraId="00534C79" w14:textId="77777777" w:rsidR="00103BE2" w:rsidRPr="005D725D" w:rsidRDefault="00103BE2"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Entrenched digital solutions are inevitable in building resilient soci</w:t>
      </w:r>
      <w:r w:rsidR="00FC3954">
        <w:rPr>
          <w:rFonts w:ascii="Times New Roman" w:hAnsi="Times New Roman" w:cs="Times New Roman"/>
          <w:sz w:val="24"/>
          <w:szCs w:val="24"/>
        </w:rPr>
        <w:t>oeconomic systems. V</w:t>
      </w:r>
      <w:r w:rsidRPr="005D725D">
        <w:rPr>
          <w:rFonts w:ascii="Times New Roman" w:hAnsi="Times New Roman" w:cs="Times New Roman"/>
          <w:sz w:val="24"/>
          <w:szCs w:val="24"/>
        </w:rPr>
        <w:t xml:space="preserve">irtual spaces are critical to the insulation of operations during crises, coupled with their general default importance for sustainable development. </w:t>
      </w:r>
    </w:p>
    <w:p w14:paraId="16A9708A" w14:textId="77777777" w:rsidR="00103BE2" w:rsidRPr="005D725D" w:rsidRDefault="00103BE2"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Sustained</w:t>
      </w:r>
      <w:r w:rsidR="00BC6502" w:rsidRPr="005D725D">
        <w:rPr>
          <w:rFonts w:ascii="Times New Roman" w:hAnsi="Times New Roman" w:cs="Times New Roman"/>
          <w:sz w:val="24"/>
          <w:szCs w:val="24"/>
        </w:rPr>
        <w:t xml:space="preserve"> development cooperation</w:t>
      </w:r>
      <w:r w:rsidRPr="005D725D">
        <w:rPr>
          <w:rFonts w:ascii="Times New Roman" w:hAnsi="Times New Roman" w:cs="Times New Roman"/>
          <w:sz w:val="24"/>
          <w:szCs w:val="24"/>
        </w:rPr>
        <w:t xml:space="preserve">, strengthened regional/sub-regional trade and </w:t>
      </w:r>
      <w:r w:rsidR="00BC6502" w:rsidRPr="005D725D">
        <w:rPr>
          <w:rFonts w:ascii="Times New Roman" w:hAnsi="Times New Roman" w:cs="Times New Roman"/>
          <w:sz w:val="24"/>
          <w:szCs w:val="24"/>
        </w:rPr>
        <w:t>sectoral/general</w:t>
      </w:r>
      <w:r w:rsidR="00B67F3F">
        <w:rPr>
          <w:rFonts w:ascii="Times New Roman" w:hAnsi="Times New Roman" w:cs="Times New Roman"/>
          <w:sz w:val="24"/>
          <w:szCs w:val="24"/>
        </w:rPr>
        <w:t xml:space="preserve"> stakeholder coordination are</w:t>
      </w:r>
      <w:r w:rsidR="00BC6502" w:rsidRPr="005D725D">
        <w:rPr>
          <w:rFonts w:ascii="Times New Roman" w:hAnsi="Times New Roman" w:cs="Times New Roman"/>
          <w:sz w:val="24"/>
          <w:szCs w:val="24"/>
        </w:rPr>
        <w:t xml:space="preserve"> critical dimensions to </w:t>
      </w:r>
      <w:r w:rsidR="00B67F3F">
        <w:rPr>
          <w:rFonts w:ascii="Times New Roman" w:hAnsi="Times New Roman" w:cs="Times New Roman"/>
          <w:sz w:val="24"/>
          <w:szCs w:val="24"/>
        </w:rPr>
        <w:t>sustainable financing</w:t>
      </w:r>
      <w:r w:rsidRPr="005D725D">
        <w:rPr>
          <w:rFonts w:ascii="Times New Roman" w:hAnsi="Times New Roman" w:cs="Times New Roman"/>
          <w:sz w:val="24"/>
          <w:szCs w:val="24"/>
        </w:rPr>
        <w:t>.</w:t>
      </w:r>
    </w:p>
    <w:p w14:paraId="7D4F198B" w14:textId="77777777" w:rsidR="00103BE2" w:rsidRPr="005D725D" w:rsidRDefault="00BC6502"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Decentralised systems with a highly people-centred approach are fundamental prerequisites for effective public service delivery. </w:t>
      </w:r>
    </w:p>
    <w:p w14:paraId="5E93DB03" w14:textId="0BF69695" w:rsidR="00103BE2" w:rsidRDefault="00BC6502"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Building risk management into plan implementation frameworks is fundamental to ensuring the continued implementation of plans during shocks.</w:t>
      </w:r>
    </w:p>
    <w:p w14:paraId="0DFB7E91" w14:textId="27BD2A62" w:rsidR="0007264A" w:rsidRPr="005D725D" w:rsidRDefault="0007264A"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Using computer aided online system for conducting large statistical operations like </w:t>
      </w:r>
      <w:r w:rsidR="00997ED8">
        <w:rPr>
          <w:rFonts w:ascii="Times New Roman" w:hAnsi="Times New Roman" w:cs="Times New Roman"/>
          <w:sz w:val="24"/>
          <w:szCs w:val="24"/>
        </w:rPr>
        <w:t xml:space="preserve">national housing and population </w:t>
      </w:r>
      <w:r>
        <w:rPr>
          <w:rFonts w:ascii="Times New Roman" w:hAnsi="Times New Roman" w:cs="Times New Roman"/>
          <w:sz w:val="24"/>
          <w:szCs w:val="24"/>
        </w:rPr>
        <w:t xml:space="preserve">census yields great </w:t>
      </w:r>
      <w:r w:rsidR="00997ED8">
        <w:rPr>
          <w:rFonts w:ascii="Times New Roman" w:hAnsi="Times New Roman" w:cs="Times New Roman"/>
          <w:sz w:val="24"/>
          <w:szCs w:val="24"/>
        </w:rPr>
        <w:t xml:space="preserve">efficiency </w:t>
      </w:r>
      <w:r>
        <w:rPr>
          <w:rFonts w:ascii="Times New Roman" w:hAnsi="Times New Roman" w:cs="Times New Roman"/>
          <w:sz w:val="24"/>
          <w:szCs w:val="24"/>
        </w:rPr>
        <w:t>as demonstrated during the 2021 Mid-</w:t>
      </w:r>
      <w:r w:rsidR="00997ED8">
        <w:rPr>
          <w:rFonts w:ascii="Times New Roman" w:hAnsi="Times New Roman" w:cs="Times New Roman"/>
          <w:sz w:val="24"/>
          <w:szCs w:val="24"/>
        </w:rPr>
        <w:t>Term Census of Sierra Leone.</w:t>
      </w:r>
    </w:p>
    <w:p w14:paraId="6945E31F" w14:textId="77777777" w:rsidR="00DA2489" w:rsidRDefault="00BC6502"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sidRPr="005D725D">
        <w:rPr>
          <w:rFonts w:ascii="Times New Roman" w:hAnsi="Times New Roman" w:cs="Times New Roman"/>
          <w:sz w:val="24"/>
          <w:szCs w:val="24"/>
        </w:rPr>
        <w:t xml:space="preserve">A strong political will is the </w:t>
      </w:r>
      <w:r w:rsidR="00B67F3F">
        <w:rPr>
          <w:rFonts w:ascii="Times New Roman" w:hAnsi="Times New Roman" w:cs="Times New Roman"/>
          <w:sz w:val="24"/>
          <w:szCs w:val="24"/>
        </w:rPr>
        <w:t>most crucial requirement for</w:t>
      </w:r>
      <w:r w:rsidRPr="005D725D">
        <w:rPr>
          <w:rFonts w:ascii="Times New Roman" w:hAnsi="Times New Roman" w:cs="Times New Roman"/>
          <w:sz w:val="24"/>
          <w:szCs w:val="24"/>
        </w:rPr>
        <w:t xml:space="preserve"> effective delivery of services.</w:t>
      </w:r>
    </w:p>
    <w:p w14:paraId="3926FEB8" w14:textId="77777777" w:rsidR="00AF2A16" w:rsidRPr="004931A3" w:rsidRDefault="00F2133C" w:rsidP="004931A3">
      <w:pPr>
        <w:pStyle w:val="Heading1"/>
        <w:spacing w:before="360" w:after="240" w:line="240" w:lineRule="auto"/>
        <w:jc w:val="center"/>
        <w:rPr>
          <w:b/>
          <w:color w:val="0070C0"/>
        </w:rPr>
      </w:pPr>
      <w:bookmarkStart w:id="5" w:name="_Toc125729999"/>
      <w:r w:rsidRPr="004931A3">
        <w:rPr>
          <w:b/>
          <w:color w:val="0070C0"/>
        </w:rPr>
        <w:t xml:space="preserve">F. </w:t>
      </w:r>
      <w:r w:rsidR="00AF2A16" w:rsidRPr="004931A3">
        <w:rPr>
          <w:b/>
          <w:color w:val="0070C0"/>
        </w:rPr>
        <w:t xml:space="preserve">Emerging </w:t>
      </w:r>
      <w:r w:rsidR="00356E69">
        <w:rPr>
          <w:b/>
          <w:color w:val="0070C0"/>
        </w:rPr>
        <w:t>s</w:t>
      </w:r>
      <w:r w:rsidR="00AF2A16" w:rsidRPr="004931A3">
        <w:rPr>
          <w:b/>
          <w:color w:val="0070C0"/>
        </w:rPr>
        <w:t xml:space="preserve">trategic </w:t>
      </w:r>
      <w:r w:rsidR="00356E69">
        <w:rPr>
          <w:b/>
          <w:color w:val="0070C0"/>
        </w:rPr>
        <w:t>a</w:t>
      </w:r>
      <w:r w:rsidR="00E24699">
        <w:rPr>
          <w:b/>
          <w:color w:val="0070C0"/>
        </w:rPr>
        <w:t xml:space="preserve">reas </w:t>
      </w:r>
      <w:r w:rsidR="00356E69">
        <w:rPr>
          <w:b/>
          <w:color w:val="0070C0"/>
        </w:rPr>
        <w:t>for consideration in the s</w:t>
      </w:r>
      <w:r w:rsidR="00AF2A16" w:rsidRPr="004931A3">
        <w:rPr>
          <w:b/>
          <w:color w:val="0070C0"/>
        </w:rPr>
        <w:t>uccessor to the MTNDP 2019-2023</w:t>
      </w:r>
      <w:bookmarkEnd w:id="5"/>
    </w:p>
    <w:p w14:paraId="38F07EF5" w14:textId="77777777" w:rsidR="005B3DFE" w:rsidRPr="005B3DFE" w:rsidRDefault="005B2CF1" w:rsidP="005B3DFE">
      <w:pPr>
        <w:pStyle w:val="ListParagraph"/>
        <w:tabs>
          <w:tab w:val="left" w:pos="426"/>
        </w:tabs>
        <w:spacing w:after="120" w:line="240" w:lineRule="auto"/>
        <w:ind w:left="0"/>
        <w:contextualSpacing w:val="0"/>
        <w:jc w:val="both"/>
        <w:rPr>
          <w:rFonts w:ascii="Times New Roman" w:hAnsi="Times New Roman" w:cs="Times New Roman"/>
          <w:b/>
          <w:bCs/>
          <w:i/>
          <w:iCs/>
          <w:sz w:val="24"/>
          <w:szCs w:val="24"/>
        </w:rPr>
      </w:pPr>
      <w:r w:rsidRPr="005B3DFE">
        <w:rPr>
          <w:rFonts w:ascii="Times New Roman" w:hAnsi="Times New Roman" w:cs="Times New Roman"/>
          <w:b/>
          <w:bCs/>
          <w:i/>
          <w:iCs/>
          <w:sz w:val="24"/>
          <w:szCs w:val="24"/>
        </w:rPr>
        <w:t>Those drawn from periodic review</w:t>
      </w:r>
      <w:r w:rsidR="005B3DFE" w:rsidRPr="005B3DFE">
        <w:rPr>
          <w:rFonts w:ascii="Times New Roman" w:hAnsi="Times New Roman" w:cs="Times New Roman"/>
          <w:b/>
          <w:bCs/>
          <w:i/>
          <w:iCs/>
          <w:sz w:val="24"/>
          <w:szCs w:val="24"/>
        </w:rPr>
        <w:t xml:space="preserve"> and general development debates</w:t>
      </w:r>
    </w:p>
    <w:p w14:paraId="2806A63F" w14:textId="5D62F8D2" w:rsidR="00AF2A16" w:rsidRDefault="00C05067"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A range of strategic areas for consideration in the next MTNDP were highlighted in the periodic </w:t>
      </w:r>
      <w:r w:rsidR="00AF2A16">
        <w:rPr>
          <w:rFonts w:ascii="Times New Roman" w:hAnsi="Times New Roman" w:cs="Times New Roman"/>
          <w:sz w:val="24"/>
          <w:szCs w:val="24"/>
        </w:rPr>
        <w:t>re</w:t>
      </w:r>
      <w:r>
        <w:rPr>
          <w:rFonts w:ascii="Times New Roman" w:hAnsi="Times New Roman" w:cs="Times New Roman"/>
          <w:sz w:val="24"/>
          <w:szCs w:val="24"/>
        </w:rPr>
        <w:t>views</w:t>
      </w:r>
      <w:r w:rsidR="00AF2A16">
        <w:rPr>
          <w:rFonts w:ascii="Times New Roman" w:hAnsi="Times New Roman" w:cs="Times New Roman"/>
          <w:sz w:val="24"/>
          <w:szCs w:val="24"/>
        </w:rPr>
        <w:t xml:space="preserve"> of implementation of the </w:t>
      </w:r>
      <w:r>
        <w:rPr>
          <w:rFonts w:ascii="Times New Roman" w:hAnsi="Times New Roman" w:cs="Times New Roman"/>
          <w:sz w:val="24"/>
          <w:szCs w:val="24"/>
        </w:rPr>
        <w:t>current plan</w:t>
      </w:r>
      <w:r w:rsidR="00195587">
        <w:rPr>
          <w:rFonts w:ascii="Times New Roman" w:hAnsi="Times New Roman" w:cs="Times New Roman"/>
          <w:sz w:val="24"/>
          <w:szCs w:val="24"/>
        </w:rPr>
        <w:t xml:space="preserve"> and general debates/discussions on contemporary issues affecting global, regional and national developments. </w:t>
      </w:r>
      <w:r w:rsidR="00E42689">
        <w:rPr>
          <w:rFonts w:ascii="Times New Roman" w:hAnsi="Times New Roman" w:cs="Times New Roman"/>
          <w:sz w:val="24"/>
          <w:szCs w:val="24"/>
        </w:rPr>
        <w:t>The following are among the critical emerging areas</w:t>
      </w:r>
      <w:r w:rsidR="0037190A">
        <w:rPr>
          <w:rFonts w:ascii="Times New Roman" w:hAnsi="Times New Roman" w:cs="Times New Roman"/>
          <w:sz w:val="24"/>
          <w:szCs w:val="24"/>
        </w:rPr>
        <w:t xml:space="preserve"> for consideration</w:t>
      </w:r>
      <w:r w:rsidR="00B202D4">
        <w:rPr>
          <w:rFonts w:ascii="Times New Roman" w:hAnsi="Times New Roman" w:cs="Times New Roman"/>
          <w:sz w:val="24"/>
          <w:szCs w:val="24"/>
        </w:rPr>
        <w:t>:</w:t>
      </w:r>
      <w:r w:rsidR="0037190A">
        <w:rPr>
          <w:rFonts w:ascii="Times New Roman" w:hAnsi="Times New Roman" w:cs="Times New Roman"/>
          <w:sz w:val="24"/>
          <w:szCs w:val="24"/>
        </w:rPr>
        <w:t xml:space="preserve"> </w:t>
      </w:r>
      <w:r w:rsidR="00407B28">
        <w:rPr>
          <w:rFonts w:ascii="Times New Roman" w:hAnsi="Times New Roman" w:cs="Times New Roman"/>
          <w:sz w:val="24"/>
          <w:szCs w:val="24"/>
        </w:rPr>
        <w:t xml:space="preserve">  </w:t>
      </w:r>
      <w:r w:rsidR="00AF2A16">
        <w:rPr>
          <w:rFonts w:ascii="Times New Roman" w:hAnsi="Times New Roman" w:cs="Times New Roman"/>
          <w:sz w:val="24"/>
          <w:szCs w:val="24"/>
        </w:rPr>
        <w:t xml:space="preserve"> </w:t>
      </w:r>
    </w:p>
    <w:p w14:paraId="22248AB7" w14:textId="77777777" w:rsidR="00F23066" w:rsidRDefault="005D0064"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sidRPr="0037190A">
        <w:rPr>
          <w:rFonts w:ascii="Times New Roman" w:hAnsi="Times New Roman" w:cs="Times New Roman"/>
          <w:sz w:val="24"/>
          <w:szCs w:val="24"/>
        </w:rPr>
        <w:t>Advancing Human Capital Development Programme</w:t>
      </w:r>
      <w:r w:rsidR="00B41C1D">
        <w:rPr>
          <w:rFonts w:ascii="Times New Roman" w:hAnsi="Times New Roman" w:cs="Times New Roman"/>
          <w:sz w:val="24"/>
          <w:szCs w:val="24"/>
        </w:rPr>
        <w:t xml:space="preserve"> of GoSL</w:t>
      </w:r>
      <w:r w:rsidR="0037190A" w:rsidRPr="0037190A">
        <w:rPr>
          <w:rFonts w:ascii="Times New Roman" w:hAnsi="Times New Roman" w:cs="Times New Roman"/>
          <w:sz w:val="24"/>
          <w:szCs w:val="24"/>
        </w:rPr>
        <w:t xml:space="preserve">, with a continued focus on education, healthcare and nutrition; </w:t>
      </w:r>
      <w:r w:rsidR="00B41C1D">
        <w:rPr>
          <w:rFonts w:ascii="Times New Roman" w:hAnsi="Times New Roman" w:cs="Times New Roman"/>
          <w:sz w:val="24"/>
          <w:szCs w:val="24"/>
        </w:rPr>
        <w:t xml:space="preserve">the need for </w:t>
      </w:r>
      <w:r w:rsidR="0037190A">
        <w:rPr>
          <w:rFonts w:ascii="Times New Roman" w:hAnsi="Times New Roman" w:cs="Times New Roman"/>
          <w:sz w:val="24"/>
          <w:szCs w:val="24"/>
        </w:rPr>
        <w:t xml:space="preserve">prioritisation of </w:t>
      </w:r>
      <w:r w:rsidR="0037190A" w:rsidRPr="0037190A">
        <w:rPr>
          <w:rFonts w:ascii="Times New Roman" w:hAnsi="Times New Roman" w:cs="Times New Roman"/>
          <w:sz w:val="24"/>
          <w:szCs w:val="24"/>
        </w:rPr>
        <w:t>investment in sustainable AgriFood System</w:t>
      </w:r>
      <w:r w:rsidR="00B41C1D">
        <w:rPr>
          <w:rFonts w:ascii="Times New Roman" w:hAnsi="Times New Roman" w:cs="Times New Roman"/>
          <w:sz w:val="24"/>
          <w:szCs w:val="24"/>
        </w:rPr>
        <w:t xml:space="preserve"> is coming out strongly.</w:t>
      </w:r>
    </w:p>
    <w:p w14:paraId="6EEA616C" w14:textId="7069339F" w:rsidR="00F23066" w:rsidRDefault="00F23D5A"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Increasing</w:t>
      </w:r>
      <w:r w:rsidR="005D0064" w:rsidRPr="00F23066">
        <w:rPr>
          <w:rFonts w:ascii="Times New Roman" w:hAnsi="Times New Roman" w:cs="Times New Roman"/>
          <w:sz w:val="24"/>
          <w:szCs w:val="24"/>
        </w:rPr>
        <w:t xml:space="preserve"> resource mobilisation through </w:t>
      </w:r>
      <w:r w:rsidR="0037190A" w:rsidRPr="00F23066">
        <w:rPr>
          <w:rFonts w:ascii="Times New Roman" w:hAnsi="Times New Roman" w:cs="Times New Roman"/>
          <w:sz w:val="24"/>
          <w:szCs w:val="24"/>
        </w:rPr>
        <w:t xml:space="preserve">strengthening implementation of Sierra Leone’s </w:t>
      </w:r>
      <w:r w:rsidR="005D0064" w:rsidRPr="00F23066">
        <w:rPr>
          <w:rFonts w:ascii="Times New Roman" w:hAnsi="Times New Roman" w:cs="Times New Roman"/>
          <w:sz w:val="24"/>
          <w:szCs w:val="24"/>
        </w:rPr>
        <w:t>Integrated National Financing Framework</w:t>
      </w:r>
      <w:r>
        <w:rPr>
          <w:rFonts w:ascii="Times New Roman" w:hAnsi="Times New Roman" w:cs="Times New Roman"/>
          <w:sz w:val="24"/>
          <w:szCs w:val="24"/>
        </w:rPr>
        <w:t>.</w:t>
      </w:r>
    </w:p>
    <w:p w14:paraId="0EEE3C06" w14:textId="4D987422" w:rsidR="00D23DBE" w:rsidRDefault="00D23DBE"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 xml:space="preserve">Capacity will be built for the formulation and implementation of bankable projects linked to broad and strategic project areas that the new Plan will identify to pursue sectoral strategic objectives and key targets—a strong case expected to be made for securing an adequate Project Preparation Facility.     </w:t>
      </w:r>
    </w:p>
    <w:p w14:paraId="30A86F5C" w14:textId="6CAC1284" w:rsidR="00F23066" w:rsidRDefault="0037190A"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sidRPr="00F23066">
        <w:rPr>
          <w:rFonts w:ascii="Times New Roman" w:hAnsi="Times New Roman" w:cs="Times New Roman"/>
          <w:sz w:val="24"/>
          <w:szCs w:val="24"/>
        </w:rPr>
        <w:t>Economic d</w:t>
      </w:r>
      <w:r w:rsidR="005D0064" w:rsidRPr="00F23066">
        <w:rPr>
          <w:rFonts w:ascii="Times New Roman" w:hAnsi="Times New Roman" w:cs="Times New Roman"/>
          <w:sz w:val="24"/>
          <w:szCs w:val="24"/>
        </w:rPr>
        <w:t>iversification</w:t>
      </w:r>
      <w:r w:rsidRPr="00F23066">
        <w:rPr>
          <w:rFonts w:ascii="Times New Roman" w:hAnsi="Times New Roman" w:cs="Times New Roman"/>
          <w:sz w:val="24"/>
          <w:szCs w:val="24"/>
        </w:rPr>
        <w:t>, private sector development</w:t>
      </w:r>
      <w:r w:rsidR="005D0064" w:rsidRPr="00F23066">
        <w:rPr>
          <w:rFonts w:ascii="Times New Roman" w:hAnsi="Times New Roman" w:cs="Times New Roman"/>
          <w:sz w:val="24"/>
          <w:szCs w:val="24"/>
        </w:rPr>
        <w:t xml:space="preserve"> &amp; </w:t>
      </w:r>
      <w:r w:rsidRPr="00F23066">
        <w:rPr>
          <w:rFonts w:ascii="Times New Roman" w:hAnsi="Times New Roman" w:cs="Times New Roman"/>
          <w:sz w:val="24"/>
          <w:szCs w:val="24"/>
        </w:rPr>
        <w:t>increased implementation of African Continental Free Trade Area (</w:t>
      </w:r>
      <w:r w:rsidR="005D0064" w:rsidRPr="00F23066">
        <w:rPr>
          <w:rFonts w:ascii="Times New Roman" w:hAnsi="Times New Roman" w:cs="Times New Roman"/>
          <w:sz w:val="24"/>
          <w:szCs w:val="24"/>
        </w:rPr>
        <w:t>AfCFTA</w:t>
      </w:r>
      <w:r w:rsidRPr="00F23066">
        <w:rPr>
          <w:rFonts w:ascii="Times New Roman" w:hAnsi="Times New Roman" w:cs="Times New Roman"/>
          <w:sz w:val="24"/>
          <w:szCs w:val="24"/>
        </w:rPr>
        <w:t>)</w:t>
      </w:r>
      <w:r w:rsidR="0044671D">
        <w:rPr>
          <w:rFonts w:ascii="Times New Roman" w:hAnsi="Times New Roman" w:cs="Times New Roman"/>
          <w:sz w:val="24"/>
          <w:szCs w:val="24"/>
        </w:rPr>
        <w:t>.</w:t>
      </w:r>
      <w:r w:rsidR="003F6A6E">
        <w:rPr>
          <w:rFonts w:ascii="Times New Roman" w:hAnsi="Times New Roman" w:cs="Times New Roman"/>
          <w:sz w:val="24"/>
          <w:szCs w:val="24"/>
        </w:rPr>
        <w:t xml:space="preserve"> Trade interventions will be emphasised, ensuring a sharp focus on implementation of the revised industrialisation policy, and new policy on Special Economic Zone</w:t>
      </w:r>
      <w:r w:rsidR="00D23DBE">
        <w:rPr>
          <w:rFonts w:ascii="Times New Roman" w:hAnsi="Times New Roman" w:cs="Times New Roman"/>
          <w:sz w:val="24"/>
          <w:szCs w:val="24"/>
        </w:rPr>
        <w:t>s</w:t>
      </w:r>
      <w:r w:rsidR="003F6A6E">
        <w:rPr>
          <w:rFonts w:ascii="Times New Roman" w:hAnsi="Times New Roman" w:cs="Times New Roman"/>
          <w:sz w:val="24"/>
          <w:szCs w:val="24"/>
        </w:rPr>
        <w:t>.</w:t>
      </w:r>
    </w:p>
    <w:p w14:paraId="207AB2D5" w14:textId="1E2B69C0" w:rsidR="003F6A6E" w:rsidRDefault="0037190A"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sidRPr="00F23066">
        <w:rPr>
          <w:rFonts w:ascii="Times New Roman" w:hAnsi="Times New Roman" w:cs="Times New Roman"/>
          <w:sz w:val="24"/>
          <w:szCs w:val="24"/>
        </w:rPr>
        <w:t xml:space="preserve">Promoting </w:t>
      </w:r>
      <w:r w:rsidR="00783378" w:rsidRPr="00F23066">
        <w:rPr>
          <w:rFonts w:ascii="Times New Roman" w:hAnsi="Times New Roman" w:cs="Times New Roman"/>
          <w:sz w:val="24"/>
          <w:szCs w:val="24"/>
        </w:rPr>
        <w:t>g</w:t>
      </w:r>
      <w:r w:rsidR="005D0064" w:rsidRPr="00F23066">
        <w:rPr>
          <w:rFonts w:ascii="Times New Roman" w:hAnsi="Times New Roman" w:cs="Times New Roman"/>
          <w:sz w:val="24"/>
          <w:szCs w:val="24"/>
        </w:rPr>
        <w:t xml:space="preserve">ender </w:t>
      </w:r>
      <w:r w:rsidR="00783378" w:rsidRPr="00F23066">
        <w:rPr>
          <w:rFonts w:ascii="Times New Roman" w:hAnsi="Times New Roman" w:cs="Times New Roman"/>
          <w:sz w:val="24"/>
          <w:szCs w:val="24"/>
        </w:rPr>
        <w:t>consideration in socioeconomic operations</w:t>
      </w:r>
      <w:r w:rsidR="003F6A6E">
        <w:rPr>
          <w:rFonts w:ascii="Times New Roman" w:hAnsi="Times New Roman" w:cs="Times New Roman"/>
          <w:sz w:val="24"/>
          <w:szCs w:val="24"/>
        </w:rPr>
        <w:t>, ensuring the fullest implementation of the recently passed Gender and Women Empowerment Act.</w:t>
      </w:r>
    </w:p>
    <w:p w14:paraId="755368B1" w14:textId="77777777" w:rsidR="00302961" w:rsidRDefault="00783378"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sidRPr="00F23066">
        <w:rPr>
          <w:rFonts w:ascii="Times New Roman" w:hAnsi="Times New Roman" w:cs="Times New Roman"/>
          <w:sz w:val="24"/>
          <w:szCs w:val="24"/>
        </w:rPr>
        <w:t xml:space="preserve"> </w:t>
      </w:r>
      <w:r w:rsidR="00061612">
        <w:rPr>
          <w:rFonts w:ascii="Times New Roman" w:hAnsi="Times New Roman" w:cs="Times New Roman"/>
          <w:sz w:val="24"/>
          <w:szCs w:val="24"/>
        </w:rPr>
        <w:t xml:space="preserve">Also, the next Plan will raise the premium on Climate Action and Finance in light of the increased concerns derived from </w:t>
      </w:r>
      <w:r w:rsidRPr="00F23066">
        <w:rPr>
          <w:rFonts w:ascii="Times New Roman" w:hAnsi="Times New Roman" w:cs="Times New Roman"/>
          <w:sz w:val="24"/>
          <w:szCs w:val="24"/>
        </w:rPr>
        <w:t>climate c</w:t>
      </w:r>
      <w:r w:rsidR="005D0064" w:rsidRPr="00F23066">
        <w:rPr>
          <w:rFonts w:ascii="Times New Roman" w:hAnsi="Times New Roman" w:cs="Times New Roman"/>
          <w:sz w:val="24"/>
          <w:szCs w:val="24"/>
        </w:rPr>
        <w:t>hange</w:t>
      </w:r>
      <w:r w:rsidR="0044671D">
        <w:rPr>
          <w:rFonts w:ascii="Times New Roman" w:hAnsi="Times New Roman" w:cs="Times New Roman"/>
          <w:sz w:val="24"/>
          <w:szCs w:val="24"/>
        </w:rPr>
        <w:t>.</w:t>
      </w:r>
    </w:p>
    <w:p w14:paraId="48C4F177" w14:textId="76589963" w:rsidR="00F23066" w:rsidRDefault="00302961"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 xml:space="preserve">Urban habitat and development will stand out with a special focus on promoting secondary cities. </w:t>
      </w:r>
      <w:r w:rsidR="005D0064" w:rsidRPr="00F23066">
        <w:rPr>
          <w:rFonts w:ascii="Times New Roman" w:hAnsi="Times New Roman" w:cs="Times New Roman"/>
          <w:sz w:val="24"/>
          <w:szCs w:val="24"/>
        </w:rPr>
        <w:t xml:space="preserve"> </w:t>
      </w:r>
    </w:p>
    <w:p w14:paraId="4670424A" w14:textId="77777777" w:rsidR="00F23066" w:rsidRDefault="003E21D6"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sidRPr="00F23066">
        <w:rPr>
          <w:rFonts w:ascii="Times New Roman" w:hAnsi="Times New Roman" w:cs="Times New Roman"/>
          <w:sz w:val="24"/>
          <w:szCs w:val="24"/>
        </w:rPr>
        <w:t>Increasing investment in science, technology and i</w:t>
      </w:r>
      <w:r w:rsidR="005D0064" w:rsidRPr="00F23066">
        <w:rPr>
          <w:rFonts w:ascii="Times New Roman" w:hAnsi="Times New Roman" w:cs="Times New Roman"/>
          <w:sz w:val="24"/>
          <w:szCs w:val="24"/>
        </w:rPr>
        <w:t>nnovation</w:t>
      </w:r>
      <w:r w:rsidRPr="00F23066">
        <w:rPr>
          <w:rFonts w:ascii="Times New Roman" w:hAnsi="Times New Roman" w:cs="Times New Roman"/>
          <w:sz w:val="24"/>
          <w:szCs w:val="24"/>
        </w:rPr>
        <w:t xml:space="preserve"> and digital solution</w:t>
      </w:r>
      <w:r w:rsidR="007B1BF5">
        <w:rPr>
          <w:rFonts w:ascii="Times New Roman" w:hAnsi="Times New Roman" w:cs="Times New Roman"/>
          <w:sz w:val="24"/>
          <w:szCs w:val="24"/>
        </w:rPr>
        <w:t>s</w:t>
      </w:r>
      <w:r w:rsidRPr="00F23066">
        <w:rPr>
          <w:rFonts w:ascii="Times New Roman" w:hAnsi="Times New Roman" w:cs="Times New Roman"/>
          <w:sz w:val="24"/>
          <w:szCs w:val="24"/>
        </w:rPr>
        <w:t xml:space="preserve"> in the public service delivery</w:t>
      </w:r>
      <w:r w:rsidR="007B1BF5">
        <w:rPr>
          <w:rFonts w:ascii="Times New Roman" w:hAnsi="Times New Roman" w:cs="Times New Roman"/>
          <w:sz w:val="24"/>
          <w:szCs w:val="24"/>
        </w:rPr>
        <w:t>.</w:t>
      </w:r>
      <w:r w:rsidRPr="00F23066">
        <w:rPr>
          <w:rFonts w:ascii="Times New Roman" w:hAnsi="Times New Roman" w:cs="Times New Roman"/>
          <w:sz w:val="24"/>
          <w:szCs w:val="24"/>
        </w:rPr>
        <w:t xml:space="preserve"> </w:t>
      </w:r>
    </w:p>
    <w:p w14:paraId="5BABE57A" w14:textId="77777777" w:rsidR="00F23066" w:rsidRDefault="00C64D65"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sidRPr="00F23066">
        <w:rPr>
          <w:rFonts w:ascii="Times New Roman" w:hAnsi="Times New Roman" w:cs="Times New Roman"/>
          <w:sz w:val="24"/>
          <w:szCs w:val="24"/>
        </w:rPr>
        <w:t>Scaling-</w:t>
      </w:r>
      <w:r w:rsidR="003E21D6" w:rsidRPr="00F23066">
        <w:rPr>
          <w:rFonts w:ascii="Times New Roman" w:hAnsi="Times New Roman" w:cs="Times New Roman"/>
          <w:sz w:val="24"/>
          <w:szCs w:val="24"/>
        </w:rPr>
        <w:t>up efforts at p</w:t>
      </w:r>
      <w:r w:rsidR="005D0064" w:rsidRPr="00F23066">
        <w:rPr>
          <w:rFonts w:ascii="Times New Roman" w:hAnsi="Times New Roman" w:cs="Times New Roman"/>
          <w:sz w:val="24"/>
          <w:szCs w:val="24"/>
        </w:rPr>
        <w:t xml:space="preserve">ursuing </w:t>
      </w:r>
      <w:r w:rsidR="003E21D6" w:rsidRPr="00F23066">
        <w:rPr>
          <w:rFonts w:ascii="Times New Roman" w:hAnsi="Times New Roman" w:cs="Times New Roman"/>
          <w:sz w:val="24"/>
          <w:szCs w:val="24"/>
        </w:rPr>
        <w:t xml:space="preserve">the </w:t>
      </w:r>
      <w:r w:rsidR="000B28DF" w:rsidRPr="00F23066">
        <w:rPr>
          <w:rFonts w:ascii="Times New Roman" w:hAnsi="Times New Roman" w:cs="Times New Roman"/>
          <w:i/>
          <w:sz w:val="24"/>
          <w:szCs w:val="24"/>
        </w:rPr>
        <w:t>blue economy potential</w:t>
      </w:r>
      <w:r w:rsidR="003E21D6" w:rsidRPr="00F23066">
        <w:rPr>
          <w:rFonts w:ascii="Times New Roman" w:hAnsi="Times New Roman" w:cs="Times New Roman"/>
          <w:sz w:val="24"/>
          <w:szCs w:val="24"/>
        </w:rPr>
        <w:t xml:space="preserve"> of Sierra Leone</w:t>
      </w:r>
      <w:r w:rsidR="000B28DF" w:rsidRPr="00F23066">
        <w:rPr>
          <w:rFonts w:ascii="Times New Roman" w:hAnsi="Times New Roman" w:cs="Times New Roman"/>
          <w:sz w:val="24"/>
          <w:szCs w:val="24"/>
        </w:rPr>
        <w:t xml:space="preserve"> </w:t>
      </w:r>
      <w:r w:rsidR="00EB4482">
        <w:rPr>
          <w:rFonts w:ascii="Times New Roman" w:hAnsi="Times New Roman" w:cs="Times New Roman"/>
          <w:sz w:val="24"/>
          <w:szCs w:val="24"/>
        </w:rPr>
        <w:t>aimed at</w:t>
      </w:r>
      <w:r w:rsidRPr="00F23066">
        <w:rPr>
          <w:rFonts w:ascii="Times New Roman" w:hAnsi="Times New Roman" w:cs="Times New Roman"/>
          <w:sz w:val="24"/>
          <w:szCs w:val="24"/>
        </w:rPr>
        <w:t xml:space="preserve"> increasing human well-being through the sustainable development of ocean resources</w:t>
      </w:r>
      <w:r w:rsidR="00FD4DEC" w:rsidRPr="00F23066">
        <w:rPr>
          <w:rFonts w:ascii="Times New Roman" w:hAnsi="Times New Roman" w:cs="Times New Roman"/>
          <w:sz w:val="24"/>
          <w:szCs w:val="24"/>
        </w:rPr>
        <w:t xml:space="preserve">; as well as </w:t>
      </w:r>
      <w:r w:rsidR="00DF1BD2">
        <w:rPr>
          <w:rFonts w:ascii="Times New Roman" w:hAnsi="Times New Roman" w:cs="Times New Roman"/>
          <w:sz w:val="24"/>
          <w:szCs w:val="24"/>
        </w:rPr>
        <w:t xml:space="preserve">harnessing the </w:t>
      </w:r>
      <w:r w:rsidR="00FD4DEC" w:rsidRPr="00EB4482">
        <w:rPr>
          <w:rFonts w:ascii="Times New Roman" w:hAnsi="Times New Roman" w:cs="Times New Roman"/>
          <w:i/>
          <w:sz w:val="24"/>
          <w:szCs w:val="24"/>
        </w:rPr>
        <w:t>demographic d</w:t>
      </w:r>
      <w:r w:rsidR="005D0064" w:rsidRPr="00EB4482">
        <w:rPr>
          <w:rFonts w:ascii="Times New Roman" w:hAnsi="Times New Roman" w:cs="Times New Roman"/>
          <w:i/>
          <w:sz w:val="24"/>
          <w:szCs w:val="24"/>
        </w:rPr>
        <w:t>ividend</w:t>
      </w:r>
      <w:r w:rsidR="00B97A45">
        <w:rPr>
          <w:rFonts w:ascii="Times New Roman" w:hAnsi="Times New Roman" w:cs="Times New Roman"/>
          <w:i/>
          <w:sz w:val="24"/>
          <w:szCs w:val="24"/>
        </w:rPr>
        <w:t xml:space="preserve"> of the state</w:t>
      </w:r>
      <w:r w:rsidR="00F23066" w:rsidRPr="00F23066">
        <w:rPr>
          <w:rFonts w:ascii="Times New Roman" w:hAnsi="Times New Roman" w:cs="Times New Roman"/>
          <w:sz w:val="24"/>
          <w:szCs w:val="24"/>
        </w:rPr>
        <w:t>, taking advantage of having more economic</w:t>
      </w:r>
      <w:r w:rsidR="00EB4482">
        <w:rPr>
          <w:rFonts w:ascii="Times New Roman" w:hAnsi="Times New Roman" w:cs="Times New Roman"/>
          <w:sz w:val="24"/>
          <w:szCs w:val="24"/>
        </w:rPr>
        <w:t>ally</w:t>
      </w:r>
      <w:r w:rsidR="00F23066" w:rsidRPr="00F23066">
        <w:rPr>
          <w:rFonts w:ascii="Times New Roman" w:hAnsi="Times New Roman" w:cs="Times New Roman"/>
          <w:sz w:val="24"/>
          <w:szCs w:val="24"/>
        </w:rPr>
        <w:t xml:space="preserve"> active population and dependents</w:t>
      </w:r>
      <w:r w:rsidR="00EB4482">
        <w:rPr>
          <w:rFonts w:ascii="Times New Roman" w:hAnsi="Times New Roman" w:cs="Times New Roman"/>
          <w:sz w:val="24"/>
          <w:szCs w:val="24"/>
        </w:rPr>
        <w:t xml:space="preserve"> in the country</w:t>
      </w:r>
      <w:r w:rsidR="00F23066" w:rsidRPr="00F23066">
        <w:rPr>
          <w:rFonts w:ascii="Times New Roman" w:hAnsi="Times New Roman" w:cs="Times New Roman"/>
          <w:sz w:val="24"/>
          <w:szCs w:val="24"/>
        </w:rPr>
        <w:t>.</w:t>
      </w:r>
      <w:r w:rsidR="00FD4DEC" w:rsidRPr="00F23066">
        <w:rPr>
          <w:rFonts w:ascii="Times New Roman" w:hAnsi="Times New Roman" w:cs="Times New Roman"/>
          <w:sz w:val="24"/>
          <w:szCs w:val="24"/>
        </w:rPr>
        <w:t xml:space="preserve"> </w:t>
      </w:r>
    </w:p>
    <w:p w14:paraId="6C8F55EE" w14:textId="77777777" w:rsidR="00F23066" w:rsidRDefault="00C00E0D"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 xml:space="preserve">Paying special attention to </w:t>
      </w:r>
      <w:r w:rsidR="00F23066" w:rsidRPr="00F23066">
        <w:rPr>
          <w:rFonts w:ascii="Times New Roman" w:hAnsi="Times New Roman" w:cs="Times New Roman"/>
          <w:sz w:val="24"/>
          <w:szCs w:val="24"/>
        </w:rPr>
        <w:t>current infrastructure i</w:t>
      </w:r>
      <w:r w:rsidR="005D0064" w:rsidRPr="00F23066">
        <w:rPr>
          <w:rFonts w:ascii="Times New Roman" w:hAnsi="Times New Roman" w:cs="Times New Roman"/>
          <w:sz w:val="24"/>
          <w:szCs w:val="24"/>
        </w:rPr>
        <w:t>nitiatives</w:t>
      </w:r>
      <w:r>
        <w:rPr>
          <w:rFonts w:ascii="Times New Roman" w:hAnsi="Times New Roman" w:cs="Times New Roman"/>
          <w:sz w:val="24"/>
          <w:szCs w:val="24"/>
        </w:rPr>
        <w:t xml:space="preserve"> of </w:t>
      </w:r>
      <w:r w:rsidR="00A564CC">
        <w:rPr>
          <w:rFonts w:ascii="Times New Roman" w:hAnsi="Times New Roman" w:cs="Times New Roman"/>
          <w:sz w:val="24"/>
          <w:szCs w:val="24"/>
        </w:rPr>
        <w:t>GoSL</w:t>
      </w:r>
      <w:r w:rsidR="00F23066" w:rsidRPr="00F23066">
        <w:rPr>
          <w:rFonts w:ascii="Times New Roman" w:hAnsi="Times New Roman" w:cs="Times New Roman"/>
          <w:sz w:val="24"/>
          <w:szCs w:val="24"/>
        </w:rPr>
        <w:t>; including giving attention to W</w:t>
      </w:r>
      <w:r w:rsidR="005D0064" w:rsidRPr="00F23066">
        <w:rPr>
          <w:rFonts w:ascii="Times New Roman" w:hAnsi="Times New Roman" w:cs="Times New Roman"/>
          <w:sz w:val="24"/>
          <w:szCs w:val="24"/>
        </w:rPr>
        <w:t>estern Area Penin</w:t>
      </w:r>
      <w:r w:rsidR="00F23066" w:rsidRPr="00F23066">
        <w:rPr>
          <w:rFonts w:ascii="Times New Roman" w:hAnsi="Times New Roman" w:cs="Times New Roman"/>
          <w:sz w:val="24"/>
          <w:szCs w:val="24"/>
        </w:rPr>
        <w:t>sula Local Economic Development.</w:t>
      </w:r>
    </w:p>
    <w:p w14:paraId="51E078C8" w14:textId="77777777" w:rsidR="000A1C9E" w:rsidRDefault="00F23066"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sidRPr="00F23066">
        <w:rPr>
          <w:rFonts w:ascii="Times New Roman" w:hAnsi="Times New Roman" w:cs="Times New Roman"/>
          <w:sz w:val="24"/>
          <w:szCs w:val="24"/>
        </w:rPr>
        <w:t>S</w:t>
      </w:r>
      <w:r w:rsidR="005D0064" w:rsidRPr="00F23066">
        <w:rPr>
          <w:rFonts w:ascii="Times New Roman" w:hAnsi="Times New Roman" w:cs="Times New Roman"/>
          <w:sz w:val="24"/>
          <w:szCs w:val="24"/>
        </w:rPr>
        <w:t xml:space="preserve">trengthening </w:t>
      </w:r>
      <w:r w:rsidRPr="00F23066">
        <w:rPr>
          <w:rFonts w:ascii="Times New Roman" w:hAnsi="Times New Roman" w:cs="Times New Roman"/>
          <w:sz w:val="24"/>
          <w:szCs w:val="24"/>
        </w:rPr>
        <w:t xml:space="preserve">national data systems, </w:t>
      </w:r>
      <w:r w:rsidR="005D0064" w:rsidRPr="00F23066">
        <w:rPr>
          <w:rFonts w:ascii="Times New Roman" w:hAnsi="Times New Roman" w:cs="Times New Roman"/>
          <w:sz w:val="24"/>
          <w:szCs w:val="24"/>
        </w:rPr>
        <w:t>monitoring of implementation and reporting</w:t>
      </w:r>
      <w:r w:rsidR="00A564CC">
        <w:rPr>
          <w:rFonts w:ascii="Times New Roman" w:hAnsi="Times New Roman" w:cs="Times New Roman"/>
          <w:sz w:val="24"/>
          <w:szCs w:val="24"/>
        </w:rPr>
        <w:t>,</w:t>
      </w:r>
      <w:r w:rsidRPr="00F23066">
        <w:rPr>
          <w:rFonts w:ascii="Times New Roman" w:hAnsi="Times New Roman" w:cs="Times New Roman"/>
          <w:sz w:val="24"/>
          <w:szCs w:val="24"/>
        </w:rPr>
        <w:t xml:space="preserve"> including establishing integrated web-based monitoring and reporting for the National Development Plan, SDGs and AU Agenda 2063. </w:t>
      </w:r>
    </w:p>
    <w:p w14:paraId="685A70F1" w14:textId="5E58AD3D" w:rsidR="000A62C7" w:rsidRPr="000A62C7" w:rsidRDefault="000A62C7" w:rsidP="000A62C7">
      <w:pPr>
        <w:pStyle w:val="ListParagraph"/>
        <w:tabs>
          <w:tab w:val="left" w:pos="426"/>
        </w:tabs>
        <w:spacing w:after="120" w:line="240" w:lineRule="auto"/>
        <w:ind w:left="0"/>
        <w:contextualSpacing w:val="0"/>
        <w:jc w:val="both"/>
        <w:rPr>
          <w:rFonts w:ascii="Times New Roman" w:hAnsi="Times New Roman" w:cs="Times New Roman"/>
          <w:b/>
          <w:bCs/>
          <w:i/>
          <w:iCs/>
          <w:sz w:val="24"/>
          <w:szCs w:val="24"/>
        </w:rPr>
      </w:pPr>
      <w:r w:rsidRPr="000A62C7">
        <w:rPr>
          <w:rFonts w:ascii="Times New Roman" w:hAnsi="Times New Roman" w:cs="Times New Roman"/>
          <w:b/>
          <w:bCs/>
          <w:i/>
          <w:iCs/>
          <w:sz w:val="24"/>
          <w:szCs w:val="24"/>
        </w:rPr>
        <w:t>Presidential strategic policy areas for the next five years: The Big 5 Game changes</w:t>
      </w:r>
    </w:p>
    <w:p w14:paraId="74595FE2" w14:textId="3B3929F0" w:rsidR="006A2D6B" w:rsidRPr="00A900A8" w:rsidRDefault="006A2D6B" w:rsidP="00A900A8">
      <w:pPr>
        <w:pStyle w:val="ListParagraph"/>
        <w:numPr>
          <w:ilvl w:val="0"/>
          <w:numId w:val="2"/>
        </w:numPr>
        <w:tabs>
          <w:tab w:val="left" w:pos="426"/>
        </w:tabs>
        <w:spacing w:after="120" w:line="240" w:lineRule="auto"/>
        <w:ind w:left="0" w:firstLine="0"/>
        <w:contextualSpacing w:val="0"/>
        <w:jc w:val="both"/>
        <w:rPr>
          <w:rFonts w:ascii="Times New Roman" w:hAnsi="Times New Roman"/>
          <w:sz w:val="24"/>
          <w:szCs w:val="24"/>
        </w:rPr>
      </w:pPr>
      <w:r>
        <w:rPr>
          <w:rFonts w:ascii="Times New Roman" w:hAnsi="Times New Roman" w:cs="Times New Roman"/>
          <w:sz w:val="24"/>
          <w:szCs w:val="24"/>
        </w:rPr>
        <w:t>Going into the second term of its administration for the next five years until 2028, the Government of President Maada Bio</w:t>
      </w:r>
      <w:r w:rsidRPr="006A2D6B">
        <w:rPr>
          <w:rFonts w:ascii="Times New Roman" w:hAnsi="Times New Roman"/>
          <w:sz w:val="24"/>
          <w:szCs w:val="24"/>
        </w:rPr>
        <w:t xml:space="preserve"> has articulated its Big 5 Game Changers as its overarching strategic framework</w:t>
      </w:r>
      <w:r>
        <w:rPr>
          <w:rFonts w:ascii="Times New Roman" w:hAnsi="Times New Roman"/>
          <w:sz w:val="24"/>
          <w:szCs w:val="24"/>
        </w:rPr>
        <w:t xml:space="preserve">. This will </w:t>
      </w:r>
      <w:r w:rsidRPr="006A2D6B">
        <w:rPr>
          <w:rFonts w:ascii="Times New Roman" w:hAnsi="Times New Roman"/>
          <w:sz w:val="24"/>
          <w:szCs w:val="24"/>
        </w:rPr>
        <w:t>consolidat</w:t>
      </w:r>
      <w:r>
        <w:rPr>
          <w:rFonts w:ascii="Times New Roman" w:hAnsi="Times New Roman"/>
          <w:sz w:val="24"/>
          <w:szCs w:val="24"/>
        </w:rPr>
        <w:t xml:space="preserve">e gains in the implementation of the MTNDP 2019-2023 while </w:t>
      </w:r>
      <w:r w:rsidRPr="006A2D6B">
        <w:rPr>
          <w:rFonts w:ascii="Times New Roman" w:hAnsi="Times New Roman"/>
          <w:sz w:val="24"/>
          <w:szCs w:val="24"/>
        </w:rPr>
        <w:t>accelerat</w:t>
      </w:r>
      <w:r>
        <w:rPr>
          <w:rFonts w:ascii="Times New Roman" w:hAnsi="Times New Roman"/>
          <w:sz w:val="24"/>
          <w:szCs w:val="24"/>
        </w:rPr>
        <w:t xml:space="preserve">ing </w:t>
      </w:r>
      <w:r w:rsidRPr="006A2D6B">
        <w:rPr>
          <w:rFonts w:ascii="Times New Roman" w:hAnsi="Times New Roman"/>
          <w:sz w:val="24"/>
          <w:szCs w:val="24"/>
        </w:rPr>
        <w:t xml:space="preserve">efforts towards </w:t>
      </w:r>
      <w:r>
        <w:rPr>
          <w:rFonts w:ascii="Times New Roman" w:hAnsi="Times New Roman"/>
          <w:sz w:val="24"/>
          <w:szCs w:val="24"/>
        </w:rPr>
        <w:t>the country’s vision of</w:t>
      </w:r>
      <w:r w:rsidRPr="006A2D6B">
        <w:rPr>
          <w:rFonts w:ascii="Times New Roman" w:hAnsi="Times New Roman"/>
          <w:sz w:val="24"/>
          <w:szCs w:val="24"/>
        </w:rPr>
        <w:t xml:space="preserve"> </w:t>
      </w:r>
      <w:r>
        <w:rPr>
          <w:rFonts w:ascii="Times New Roman" w:hAnsi="Times New Roman"/>
          <w:sz w:val="24"/>
          <w:szCs w:val="24"/>
        </w:rPr>
        <w:t>ach</w:t>
      </w:r>
      <w:r w:rsidR="00253643">
        <w:rPr>
          <w:rFonts w:ascii="Times New Roman" w:hAnsi="Times New Roman"/>
          <w:sz w:val="24"/>
          <w:szCs w:val="24"/>
        </w:rPr>
        <w:t>i</w:t>
      </w:r>
      <w:r>
        <w:rPr>
          <w:rFonts w:ascii="Times New Roman" w:hAnsi="Times New Roman"/>
          <w:sz w:val="24"/>
          <w:szCs w:val="24"/>
        </w:rPr>
        <w:t>ev</w:t>
      </w:r>
      <w:r w:rsidR="00253643">
        <w:rPr>
          <w:rFonts w:ascii="Times New Roman" w:hAnsi="Times New Roman"/>
          <w:sz w:val="24"/>
          <w:szCs w:val="24"/>
        </w:rPr>
        <w:t xml:space="preserve">ing a </w:t>
      </w:r>
      <w:r w:rsidRPr="006A2D6B">
        <w:rPr>
          <w:rFonts w:ascii="Times New Roman" w:hAnsi="Times New Roman"/>
          <w:sz w:val="24"/>
          <w:szCs w:val="24"/>
        </w:rPr>
        <w:t xml:space="preserve">middle-income status by 2035 through </w:t>
      </w:r>
      <w:r w:rsidR="00253643">
        <w:rPr>
          <w:rFonts w:ascii="Times New Roman" w:hAnsi="Times New Roman"/>
          <w:sz w:val="24"/>
          <w:szCs w:val="24"/>
        </w:rPr>
        <w:t>next successive n</w:t>
      </w:r>
      <w:r w:rsidRPr="006A2D6B">
        <w:rPr>
          <w:rFonts w:ascii="Times New Roman" w:hAnsi="Times New Roman"/>
          <w:sz w:val="24"/>
          <w:szCs w:val="24"/>
        </w:rPr>
        <w:t xml:space="preserve">ational </w:t>
      </w:r>
      <w:r w:rsidR="00253643">
        <w:rPr>
          <w:rFonts w:ascii="Times New Roman" w:hAnsi="Times New Roman"/>
          <w:sz w:val="24"/>
          <w:szCs w:val="24"/>
        </w:rPr>
        <w:t>d</w:t>
      </w:r>
      <w:r w:rsidRPr="006A2D6B">
        <w:rPr>
          <w:rFonts w:ascii="Times New Roman" w:hAnsi="Times New Roman"/>
          <w:sz w:val="24"/>
          <w:szCs w:val="24"/>
        </w:rPr>
        <w:t xml:space="preserve">evelopment </w:t>
      </w:r>
      <w:r w:rsidR="00253643">
        <w:rPr>
          <w:rFonts w:ascii="Times New Roman" w:hAnsi="Times New Roman"/>
          <w:sz w:val="24"/>
          <w:szCs w:val="24"/>
        </w:rPr>
        <w:t>p</w:t>
      </w:r>
      <w:r w:rsidRPr="006A2D6B">
        <w:rPr>
          <w:rFonts w:ascii="Times New Roman" w:hAnsi="Times New Roman"/>
          <w:sz w:val="24"/>
          <w:szCs w:val="24"/>
        </w:rPr>
        <w:t xml:space="preserve">lan. </w:t>
      </w:r>
      <w:r w:rsidR="00A900A8">
        <w:rPr>
          <w:rFonts w:ascii="Times New Roman" w:hAnsi="Times New Roman"/>
          <w:sz w:val="24"/>
          <w:szCs w:val="24"/>
        </w:rPr>
        <w:t>The Big 5 will p</w:t>
      </w:r>
      <w:r w:rsidRPr="006A2D6B">
        <w:rPr>
          <w:rFonts w:ascii="Times New Roman" w:hAnsi="Times New Roman"/>
          <w:sz w:val="24"/>
          <w:szCs w:val="24"/>
        </w:rPr>
        <w:t>rovid</w:t>
      </w:r>
      <w:r w:rsidR="00A900A8">
        <w:rPr>
          <w:rFonts w:ascii="Times New Roman" w:hAnsi="Times New Roman"/>
          <w:sz w:val="24"/>
          <w:szCs w:val="24"/>
        </w:rPr>
        <w:t xml:space="preserve">e </w:t>
      </w:r>
      <w:r w:rsidRPr="006A2D6B">
        <w:rPr>
          <w:rFonts w:ascii="Times New Roman" w:hAnsi="Times New Roman"/>
          <w:sz w:val="24"/>
          <w:szCs w:val="24"/>
        </w:rPr>
        <w:t xml:space="preserve">principal direction to the country’s new MTNDP 2024-2028, </w:t>
      </w:r>
      <w:r w:rsidR="00A900A8">
        <w:rPr>
          <w:rFonts w:ascii="Times New Roman" w:hAnsi="Times New Roman"/>
          <w:sz w:val="24"/>
          <w:szCs w:val="24"/>
        </w:rPr>
        <w:t xml:space="preserve">with the </w:t>
      </w:r>
      <w:r w:rsidRPr="00A900A8">
        <w:rPr>
          <w:rFonts w:ascii="Times New Roman" w:hAnsi="Times New Roman"/>
          <w:sz w:val="24"/>
          <w:szCs w:val="24"/>
        </w:rPr>
        <w:t>following broad acceleration commitments:</w:t>
      </w:r>
    </w:p>
    <w:p w14:paraId="23C0679A" w14:textId="77777777" w:rsidR="006A2D6B" w:rsidRPr="0012291B" w:rsidRDefault="006A2D6B" w:rsidP="006A2D6B">
      <w:pPr>
        <w:pStyle w:val="ListParagraph"/>
        <w:numPr>
          <w:ilvl w:val="1"/>
          <w:numId w:val="2"/>
        </w:numPr>
        <w:tabs>
          <w:tab w:val="left" w:pos="426"/>
        </w:tabs>
        <w:spacing w:after="120" w:line="240" w:lineRule="auto"/>
        <w:contextualSpacing w:val="0"/>
        <w:jc w:val="both"/>
        <w:rPr>
          <w:rFonts w:ascii="Times New Roman" w:hAnsi="Times New Roman"/>
          <w:sz w:val="24"/>
          <w:szCs w:val="24"/>
        </w:rPr>
      </w:pPr>
      <w:r w:rsidRPr="0012291B">
        <w:rPr>
          <w:rFonts w:ascii="Times New Roman" w:hAnsi="Times New Roman"/>
          <w:i/>
          <w:iCs/>
          <w:sz w:val="24"/>
          <w:szCs w:val="24"/>
        </w:rPr>
        <w:t>Feed Salone</w:t>
      </w:r>
      <w:r w:rsidRPr="0012291B">
        <w:rPr>
          <w:rFonts w:ascii="Times New Roman" w:hAnsi="Times New Roman"/>
          <w:sz w:val="24"/>
          <w:szCs w:val="24"/>
        </w:rPr>
        <w:t xml:space="preserve">: Essentially aimed at boosting agricultural productivity to ensure food security, and inclusive economic growth; </w:t>
      </w:r>
    </w:p>
    <w:p w14:paraId="27533439" w14:textId="77777777" w:rsidR="006A2D6B" w:rsidRPr="0012291B" w:rsidRDefault="006A2D6B" w:rsidP="006A2D6B">
      <w:pPr>
        <w:pStyle w:val="ListParagraph"/>
        <w:numPr>
          <w:ilvl w:val="1"/>
          <w:numId w:val="2"/>
        </w:numPr>
        <w:tabs>
          <w:tab w:val="left" w:pos="426"/>
        </w:tabs>
        <w:spacing w:after="120" w:line="240" w:lineRule="auto"/>
        <w:contextualSpacing w:val="0"/>
        <w:jc w:val="both"/>
        <w:rPr>
          <w:rFonts w:ascii="Times New Roman" w:hAnsi="Times New Roman"/>
          <w:sz w:val="24"/>
          <w:szCs w:val="24"/>
        </w:rPr>
      </w:pPr>
      <w:r w:rsidRPr="0012291B">
        <w:rPr>
          <w:rFonts w:ascii="Times New Roman" w:hAnsi="Times New Roman"/>
          <w:i/>
          <w:iCs/>
          <w:sz w:val="24"/>
          <w:szCs w:val="24"/>
        </w:rPr>
        <w:t>Human Capital Development:</w:t>
      </w:r>
      <w:r w:rsidRPr="0012291B">
        <w:rPr>
          <w:rFonts w:ascii="Times New Roman" w:hAnsi="Times New Roman"/>
          <w:sz w:val="24"/>
          <w:szCs w:val="24"/>
        </w:rPr>
        <w:t xml:space="preserve"> Focusing on nurturing inclusive skills and healthy population for the 21</w:t>
      </w:r>
      <w:r w:rsidRPr="0012291B">
        <w:rPr>
          <w:rFonts w:ascii="Times New Roman" w:hAnsi="Times New Roman"/>
          <w:sz w:val="24"/>
          <w:szCs w:val="24"/>
          <w:vertAlign w:val="superscript"/>
        </w:rPr>
        <w:t>st</w:t>
      </w:r>
      <w:r w:rsidRPr="0012291B">
        <w:rPr>
          <w:rFonts w:ascii="Times New Roman" w:hAnsi="Times New Roman"/>
          <w:sz w:val="24"/>
          <w:szCs w:val="24"/>
        </w:rPr>
        <w:t xml:space="preserve"> century demands through scaled-up investment in human capital development;</w:t>
      </w:r>
    </w:p>
    <w:p w14:paraId="3E0727CE" w14:textId="77777777" w:rsidR="006A2D6B" w:rsidRPr="0012291B" w:rsidRDefault="006A2D6B" w:rsidP="006A2D6B">
      <w:pPr>
        <w:pStyle w:val="ListParagraph"/>
        <w:numPr>
          <w:ilvl w:val="1"/>
          <w:numId w:val="2"/>
        </w:numPr>
        <w:tabs>
          <w:tab w:val="left" w:pos="426"/>
        </w:tabs>
        <w:spacing w:after="120" w:line="240" w:lineRule="auto"/>
        <w:contextualSpacing w:val="0"/>
        <w:jc w:val="both"/>
        <w:rPr>
          <w:rFonts w:ascii="Times New Roman" w:hAnsi="Times New Roman"/>
          <w:sz w:val="24"/>
          <w:szCs w:val="24"/>
        </w:rPr>
      </w:pPr>
      <w:r w:rsidRPr="0012291B">
        <w:rPr>
          <w:rFonts w:ascii="Times New Roman" w:hAnsi="Times New Roman"/>
          <w:i/>
          <w:iCs/>
          <w:sz w:val="24"/>
          <w:szCs w:val="24"/>
        </w:rPr>
        <w:t>Youth Employment Scheme as a Catalyst for Democracy, Economic Productivity and National Security:</w:t>
      </w:r>
      <w:r w:rsidRPr="0012291B">
        <w:rPr>
          <w:rFonts w:ascii="Times New Roman" w:hAnsi="Times New Roman"/>
          <w:sz w:val="24"/>
          <w:szCs w:val="24"/>
        </w:rPr>
        <w:t xml:space="preserve"> Aimed at creating 500,000 jobs for youths in the next five years; </w:t>
      </w:r>
    </w:p>
    <w:p w14:paraId="338ECD0C" w14:textId="77777777" w:rsidR="006A2D6B" w:rsidRPr="0012291B" w:rsidRDefault="006A2D6B" w:rsidP="006A2D6B">
      <w:pPr>
        <w:pStyle w:val="ListParagraph"/>
        <w:numPr>
          <w:ilvl w:val="1"/>
          <w:numId w:val="2"/>
        </w:numPr>
        <w:tabs>
          <w:tab w:val="left" w:pos="426"/>
        </w:tabs>
        <w:spacing w:after="120" w:line="240" w:lineRule="auto"/>
        <w:contextualSpacing w:val="0"/>
        <w:jc w:val="both"/>
        <w:rPr>
          <w:rFonts w:ascii="Times New Roman" w:hAnsi="Times New Roman"/>
          <w:sz w:val="24"/>
          <w:szCs w:val="24"/>
        </w:rPr>
      </w:pPr>
      <w:r w:rsidRPr="0012291B">
        <w:rPr>
          <w:rFonts w:ascii="Times New Roman" w:hAnsi="Times New Roman"/>
          <w:i/>
          <w:iCs/>
          <w:sz w:val="24"/>
          <w:szCs w:val="24"/>
        </w:rPr>
        <w:t>Enhancing Public Service Architecture for Empowering Democracy and National Development:</w:t>
      </w:r>
      <w:r w:rsidRPr="0012291B">
        <w:rPr>
          <w:rFonts w:ascii="Times New Roman" w:hAnsi="Times New Roman"/>
          <w:sz w:val="24"/>
          <w:szCs w:val="24"/>
        </w:rPr>
        <w:t xml:space="preserve"> Aimed at ensuring effective service delivery, efficiency and professionalism in the public service architecture; and </w:t>
      </w:r>
    </w:p>
    <w:p w14:paraId="36C676E1" w14:textId="085D1C94" w:rsidR="006A2D6B" w:rsidRDefault="006A2D6B" w:rsidP="006A2D6B">
      <w:pPr>
        <w:pStyle w:val="ListParagraph"/>
        <w:numPr>
          <w:ilvl w:val="0"/>
          <w:numId w:val="2"/>
        </w:numPr>
        <w:tabs>
          <w:tab w:val="left" w:pos="426"/>
        </w:tabs>
        <w:spacing w:after="120" w:line="240" w:lineRule="auto"/>
        <w:contextualSpacing w:val="0"/>
        <w:jc w:val="both"/>
        <w:rPr>
          <w:rFonts w:ascii="Times New Roman" w:hAnsi="Times New Roman" w:cs="Times New Roman"/>
          <w:sz w:val="24"/>
          <w:szCs w:val="24"/>
        </w:rPr>
      </w:pPr>
      <w:r w:rsidRPr="0012291B">
        <w:rPr>
          <w:rFonts w:ascii="Times New Roman" w:hAnsi="Times New Roman"/>
          <w:i/>
          <w:iCs/>
          <w:sz w:val="24"/>
          <w:szCs w:val="24"/>
        </w:rPr>
        <w:t>Technology and Infrastructure:</w:t>
      </w:r>
      <w:r w:rsidRPr="0012291B">
        <w:rPr>
          <w:rFonts w:ascii="Times New Roman" w:hAnsi="Times New Roman"/>
          <w:sz w:val="24"/>
          <w:szCs w:val="24"/>
        </w:rPr>
        <w:t xml:space="preserve"> Focused on increasing investment in infrastructure, </w:t>
      </w:r>
      <w:r w:rsidRPr="00AA165E">
        <w:rPr>
          <w:rFonts w:ascii="Times New Roman" w:hAnsi="Times New Roman"/>
          <w:sz w:val="24"/>
          <w:szCs w:val="24"/>
        </w:rPr>
        <w:t xml:space="preserve">technology and </w:t>
      </w:r>
      <w:r>
        <w:rPr>
          <w:rFonts w:ascii="Times New Roman" w:hAnsi="Times New Roman"/>
          <w:sz w:val="24"/>
          <w:szCs w:val="24"/>
        </w:rPr>
        <w:t>digitalisation.</w:t>
      </w:r>
    </w:p>
    <w:p w14:paraId="2B866B19" w14:textId="7DF1461F" w:rsidR="00AF2A16" w:rsidRPr="0083211F" w:rsidRDefault="006513F5" w:rsidP="004931A3">
      <w:pPr>
        <w:pStyle w:val="Heading1"/>
        <w:spacing w:before="360" w:after="240" w:line="240" w:lineRule="auto"/>
        <w:jc w:val="center"/>
      </w:pPr>
      <w:bookmarkStart w:id="6" w:name="_Toc125730000"/>
      <w:r w:rsidRPr="004931A3">
        <w:rPr>
          <w:b/>
          <w:color w:val="0070C0"/>
        </w:rPr>
        <w:t xml:space="preserve">G. </w:t>
      </w:r>
      <w:r w:rsidR="00D65C4E">
        <w:rPr>
          <w:b/>
          <w:color w:val="0070C0"/>
        </w:rPr>
        <w:t>Proposed</w:t>
      </w:r>
      <w:r w:rsidR="00F23066" w:rsidRPr="004931A3">
        <w:rPr>
          <w:b/>
          <w:color w:val="0070C0"/>
        </w:rPr>
        <w:t xml:space="preserve"> </w:t>
      </w:r>
      <w:r w:rsidR="0075093C">
        <w:rPr>
          <w:b/>
          <w:color w:val="0070C0"/>
        </w:rPr>
        <w:t xml:space="preserve">direction and </w:t>
      </w:r>
      <w:r w:rsidR="00A426EB">
        <w:rPr>
          <w:b/>
          <w:color w:val="0070C0"/>
        </w:rPr>
        <w:t xml:space="preserve">structure </w:t>
      </w:r>
      <w:r w:rsidR="006228CE" w:rsidRPr="004931A3">
        <w:rPr>
          <w:b/>
          <w:color w:val="0070C0"/>
        </w:rPr>
        <w:t>of the successor</w:t>
      </w:r>
      <w:r w:rsidR="0075093C">
        <w:rPr>
          <w:b/>
          <w:color w:val="0070C0"/>
        </w:rPr>
        <w:t xml:space="preserve"> </w:t>
      </w:r>
      <w:r w:rsidR="00A322C0">
        <w:rPr>
          <w:b/>
          <w:color w:val="0070C0"/>
        </w:rPr>
        <w:t xml:space="preserve">plan,  </w:t>
      </w:r>
      <w:r w:rsidR="0075093C">
        <w:rPr>
          <w:b/>
          <w:color w:val="0070C0"/>
        </w:rPr>
        <w:t xml:space="preserve">            </w:t>
      </w:r>
      <w:r w:rsidR="006228CE" w:rsidRPr="004931A3">
        <w:rPr>
          <w:b/>
          <w:color w:val="0070C0"/>
        </w:rPr>
        <w:t>MTNDP 2024-2028</w:t>
      </w:r>
      <w:bookmarkEnd w:id="6"/>
    </w:p>
    <w:p w14:paraId="5EC75AC6" w14:textId="155B223B" w:rsidR="00AF2A16" w:rsidRDefault="006228CE"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In light of the experience encountered during the implementation of the MTNDP 2019-202</w:t>
      </w:r>
      <w:r w:rsidR="00BC3380">
        <w:rPr>
          <w:rFonts w:ascii="Times New Roman" w:hAnsi="Times New Roman" w:cs="Times New Roman"/>
          <w:sz w:val="24"/>
          <w:szCs w:val="24"/>
        </w:rPr>
        <w:t>3</w:t>
      </w:r>
      <w:r>
        <w:rPr>
          <w:rFonts w:ascii="Times New Roman" w:hAnsi="Times New Roman" w:cs="Times New Roman"/>
          <w:sz w:val="24"/>
          <w:szCs w:val="24"/>
        </w:rPr>
        <w:t>, drawing from the fallouts of COVID-19 a</w:t>
      </w:r>
      <w:r w:rsidR="00E60893">
        <w:rPr>
          <w:rFonts w:ascii="Times New Roman" w:hAnsi="Times New Roman" w:cs="Times New Roman"/>
          <w:sz w:val="24"/>
          <w:szCs w:val="24"/>
        </w:rPr>
        <w:t>nd the Ukraine-Russia war</w:t>
      </w:r>
      <w:r>
        <w:rPr>
          <w:rFonts w:ascii="Times New Roman" w:hAnsi="Times New Roman" w:cs="Times New Roman"/>
          <w:sz w:val="24"/>
          <w:szCs w:val="24"/>
        </w:rPr>
        <w:t xml:space="preserve"> on the Sierra Leone economy, the following are</w:t>
      </w:r>
      <w:r w:rsidR="00227D97">
        <w:rPr>
          <w:rFonts w:ascii="Times New Roman" w:hAnsi="Times New Roman" w:cs="Times New Roman"/>
          <w:sz w:val="24"/>
          <w:szCs w:val="24"/>
        </w:rPr>
        <w:t xml:space="preserve"> critical</w:t>
      </w:r>
      <w:r>
        <w:rPr>
          <w:rFonts w:ascii="Times New Roman" w:hAnsi="Times New Roman" w:cs="Times New Roman"/>
          <w:sz w:val="24"/>
          <w:szCs w:val="24"/>
        </w:rPr>
        <w:t xml:space="preserve"> arguments </w:t>
      </w:r>
      <w:r w:rsidR="00182705">
        <w:rPr>
          <w:rFonts w:ascii="Times New Roman" w:hAnsi="Times New Roman" w:cs="Times New Roman"/>
          <w:sz w:val="24"/>
          <w:szCs w:val="24"/>
        </w:rPr>
        <w:t xml:space="preserve">have been advanced </w:t>
      </w:r>
      <w:r w:rsidR="00227D97">
        <w:rPr>
          <w:rFonts w:ascii="Times New Roman" w:hAnsi="Times New Roman" w:cs="Times New Roman"/>
          <w:sz w:val="24"/>
          <w:szCs w:val="24"/>
        </w:rPr>
        <w:t xml:space="preserve">towards shaping </w:t>
      </w:r>
      <w:r>
        <w:rPr>
          <w:rFonts w:ascii="Times New Roman" w:hAnsi="Times New Roman" w:cs="Times New Roman"/>
          <w:sz w:val="24"/>
          <w:szCs w:val="24"/>
        </w:rPr>
        <w:t>the</w:t>
      </w:r>
      <w:r w:rsidR="008B78D8">
        <w:rPr>
          <w:rFonts w:ascii="Times New Roman" w:hAnsi="Times New Roman" w:cs="Times New Roman"/>
          <w:sz w:val="24"/>
          <w:szCs w:val="24"/>
        </w:rPr>
        <w:t xml:space="preserve"> direction and</w:t>
      </w:r>
      <w:r>
        <w:rPr>
          <w:rFonts w:ascii="Times New Roman" w:hAnsi="Times New Roman" w:cs="Times New Roman"/>
          <w:sz w:val="24"/>
          <w:szCs w:val="24"/>
        </w:rPr>
        <w:t xml:space="preserve"> </w:t>
      </w:r>
      <w:r w:rsidR="00AF583A">
        <w:rPr>
          <w:rFonts w:ascii="Times New Roman" w:hAnsi="Times New Roman" w:cs="Times New Roman"/>
          <w:sz w:val="24"/>
          <w:szCs w:val="24"/>
        </w:rPr>
        <w:t xml:space="preserve">structure of the </w:t>
      </w:r>
      <w:r>
        <w:rPr>
          <w:rFonts w:ascii="Times New Roman" w:hAnsi="Times New Roman" w:cs="Times New Roman"/>
          <w:sz w:val="24"/>
          <w:szCs w:val="24"/>
        </w:rPr>
        <w:t>successor plan:</w:t>
      </w:r>
    </w:p>
    <w:p w14:paraId="20F23CB7" w14:textId="25620CEC" w:rsidR="006228CE" w:rsidRDefault="00BC3380"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Consider</w:t>
      </w:r>
      <w:r w:rsidR="00E6089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60893">
        <w:rPr>
          <w:rFonts w:ascii="Times New Roman" w:hAnsi="Times New Roman" w:cs="Times New Roman"/>
          <w:sz w:val="24"/>
          <w:szCs w:val="24"/>
        </w:rPr>
        <w:t xml:space="preserve">need to </w:t>
      </w:r>
      <w:r>
        <w:rPr>
          <w:rFonts w:ascii="Times New Roman" w:hAnsi="Times New Roman" w:cs="Times New Roman"/>
          <w:sz w:val="24"/>
          <w:szCs w:val="24"/>
        </w:rPr>
        <w:t>broadly</w:t>
      </w:r>
      <w:r w:rsidR="006228CE">
        <w:rPr>
          <w:rFonts w:ascii="Times New Roman" w:hAnsi="Times New Roman" w:cs="Times New Roman"/>
          <w:sz w:val="24"/>
          <w:szCs w:val="24"/>
        </w:rPr>
        <w:t xml:space="preserve"> continu</w:t>
      </w:r>
      <w:r w:rsidR="00E60893">
        <w:rPr>
          <w:rFonts w:ascii="Times New Roman" w:hAnsi="Times New Roman" w:cs="Times New Roman"/>
          <w:sz w:val="24"/>
          <w:szCs w:val="24"/>
        </w:rPr>
        <w:t xml:space="preserve">e </w:t>
      </w:r>
      <w:r w:rsidR="00361E85">
        <w:rPr>
          <w:rFonts w:ascii="Times New Roman" w:hAnsi="Times New Roman" w:cs="Times New Roman"/>
          <w:sz w:val="24"/>
          <w:szCs w:val="24"/>
        </w:rPr>
        <w:t xml:space="preserve">with the </w:t>
      </w:r>
      <w:r w:rsidR="006228CE">
        <w:rPr>
          <w:rFonts w:ascii="Times New Roman" w:hAnsi="Times New Roman" w:cs="Times New Roman"/>
          <w:sz w:val="24"/>
          <w:szCs w:val="24"/>
        </w:rPr>
        <w:t>implementation of the priorities of the current national development plan</w:t>
      </w:r>
      <w:r w:rsidR="00361E85">
        <w:rPr>
          <w:rFonts w:ascii="Times New Roman" w:hAnsi="Times New Roman" w:cs="Times New Roman"/>
          <w:sz w:val="24"/>
          <w:szCs w:val="24"/>
        </w:rPr>
        <w:t xml:space="preserve"> owing to </w:t>
      </w:r>
      <w:r w:rsidR="00E60893">
        <w:rPr>
          <w:rFonts w:ascii="Times New Roman" w:hAnsi="Times New Roman" w:cs="Times New Roman"/>
          <w:sz w:val="24"/>
          <w:szCs w:val="24"/>
        </w:rPr>
        <w:t>the enormous sh</w:t>
      </w:r>
      <w:r w:rsidR="0051675B">
        <w:rPr>
          <w:rFonts w:ascii="Times New Roman" w:hAnsi="Times New Roman" w:cs="Times New Roman"/>
          <w:sz w:val="24"/>
          <w:szCs w:val="24"/>
        </w:rPr>
        <w:t xml:space="preserve">ocks </w:t>
      </w:r>
      <w:r w:rsidR="00A01E29">
        <w:rPr>
          <w:rFonts w:ascii="Times New Roman" w:hAnsi="Times New Roman" w:cs="Times New Roman"/>
          <w:sz w:val="24"/>
          <w:szCs w:val="24"/>
        </w:rPr>
        <w:t xml:space="preserve">it </w:t>
      </w:r>
      <w:r w:rsidR="00361E85">
        <w:rPr>
          <w:rFonts w:ascii="Times New Roman" w:hAnsi="Times New Roman" w:cs="Times New Roman"/>
          <w:sz w:val="24"/>
          <w:szCs w:val="24"/>
        </w:rPr>
        <w:t>went</w:t>
      </w:r>
      <w:r w:rsidR="00A01E29">
        <w:rPr>
          <w:rFonts w:ascii="Times New Roman" w:hAnsi="Times New Roman" w:cs="Times New Roman"/>
          <w:sz w:val="24"/>
          <w:szCs w:val="24"/>
        </w:rPr>
        <w:t xml:space="preserve"> through</w:t>
      </w:r>
      <w:r w:rsidR="00361E85">
        <w:rPr>
          <w:rFonts w:ascii="Times New Roman" w:hAnsi="Times New Roman" w:cs="Times New Roman"/>
          <w:sz w:val="24"/>
          <w:szCs w:val="24"/>
        </w:rPr>
        <w:t xml:space="preserve">. The </w:t>
      </w:r>
      <w:r w:rsidR="00431872" w:rsidRPr="00431872">
        <w:rPr>
          <w:rFonts w:ascii="Times New Roman" w:hAnsi="Times New Roman" w:cs="Times New Roman"/>
          <w:i/>
          <w:sz w:val="24"/>
          <w:szCs w:val="24"/>
        </w:rPr>
        <w:t>four national goals</w:t>
      </w:r>
      <w:r w:rsidR="00431872">
        <w:rPr>
          <w:rFonts w:ascii="Times New Roman" w:hAnsi="Times New Roman" w:cs="Times New Roman"/>
          <w:sz w:val="24"/>
          <w:szCs w:val="24"/>
        </w:rPr>
        <w:t xml:space="preserve"> </w:t>
      </w:r>
      <w:r w:rsidR="00F161CF">
        <w:rPr>
          <w:rFonts w:ascii="Times New Roman" w:hAnsi="Times New Roman" w:cs="Times New Roman"/>
          <w:sz w:val="24"/>
          <w:szCs w:val="24"/>
        </w:rPr>
        <w:t xml:space="preserve">of the plan </w:t>
      </w:r>
      <w:r w:rsidR="00431872">
        <w:rPr>
          <w:rFonts w:ascii="Times New Roman" w:hAnsi="Times New Roman" w:cs="Times New Roman"/>
          <w:sz w:val="24"/>
          <w:szCs w:val="24"/>
        </w:rPr>
        <w:t xml:space="preserve">and </w:t>
      </w:r>
      <w:r w:rsidR="00E60893">
        <w:rPr>
          <w:rFonts w:ascii="Times New Roman" w:hAnsi="Times New Roman" w:cs="Times New Roman"/>
          <w:sz w:val="24"/>
          <w:szCs w:val="24"/>
        </w:rPr>
        <w:t xml:space="preserve">most of </w:t>
      </w:r>
      <w:r w:rsidR="003C40A2">
        <w:rPr>
          <w:rFonts w:ascii="Times New Roman" w:hAnsi="Times New Roman" w:cs="Times New Roman"/>
          <w:sz w:val="24"/>
          <w:szCs w:val="24"/>
        </w:rPr>
        <w:t>its</w:t>
      </w:r>
      <w:r w:rsidR="00E60893">
        <w:rPr>
          <w:rFonts w:ascii="Times New Roman" w:hAnsi="Times New Roman" w:cs="Times New Roman"/>
          <w:sz w:val="24"/>
          <w:szCs w:val="24"/>
        </w:rPr>
        <w:t xml:space="preserve"> </w:t>
      </w:r>
      <w:r w:rsidR="00E60893" w:rsidRPr="003C40A2">
        <w:rPr>
          <w:rFonts w:ascii="Times New Roman" w:hAnsi="Times New Roman" w:cs="Times New Roman"/>
          <w:i/>
          <w:sz w:val="24"/>
          <w:szCs w:val="24"/>
        </w:rPr>
        <w:t>target</w:t>
      </w:r>
      <w:r w:rsidR="0051675B" w:rsidRPr="003C40A2">
        <w:rPr>
          <w:rFonts w:ascii="Times New Roman" w:hAnsi="Times New Roman" w:cs="Times New Roman"/>
          <w:i/>
          <w:sz w:val="24"/>
          <w:szCs w:val="24"/>
        </w:rPr>
        <w:t>s</w:t>
      </w:r>
      <w:r w:rsidR="00FA69E1">
        <w:rPr>
          <w:rFonts w:ascii="Times New Roman" w:hAnsi="Times New Roman" w:cs="Times New Roman"/>
          <w:sz w:val="24"/>
          <w:szCs w:val="24"/>
        </w:rPr>
        <w:t xml:space="preserve"> </w:t>
      </w:r>
      <w:r w:rsidR="00F161CF">
        <w:rPr>
          <w:rFonts w:ascii="Times New Roman" w:hAnsi="Times New Roman" w:cs="Times New Roman"/>
          <w:sz w:val="24"/>
          <w:szCs w:val="24"/>
        </w:rPr>
        <w:t xml:space="preserve">largely </w:t>
      </w:r>
      <w:r w:rsidR="00FA69E1">
        <w:rPr>
          <w:rFonts w:ascii="Times New Roman" w:hAnsi="Times New Roman" w:cs="Times New Roman"/>
          <w:sz w:val="24"/>
          <w:szCs w:val="24"/>
        </w:rPr>
        <w:t>remain</w:t>
      </w:r>
      <w:r w:rsidR="00E60893">
        <w:rPr>
          <w:rFonts w:ascii="Times New Roman" w:hAnsi="Times New Roman" w:cs="Times New Roman"/>
          <w:sz w:val="24"/>
          <w:szCs w:val="24"/>
        </w:rPr>
        <w:t xml:space="preserve"> undelivered </w:t>
      </w:r>
      <w:r w:rsidR="00F161CF">
        <w:rPr>
          <w:rFonts w:ascii="Times New Roman" w:hAnsi="Times New Roman" w:cs="Times New Roman"/>
          <w:sz w:val="24"/>
          <w:szCs w:val="24"/>
        </w:rPr>
        <w:t>to expectation</w:t>
      </w:r>
      <w:r w:rsidR="00A01E29">
        <w:rPr>
          <w:rFonts w:ascii="Times New Roman" w:hAnsi="Times New Roman" w:cs="Times New Roman"/>
          <w:sz w:val="24"/>
          <w:szCs w:val="24"/>
        </w:rPr>
        <w:t>,</w:t>
      </w:r>
      <w:r w:rsidR="00F161CF">
        <w:rPr>
          <w:rFonts w:ascii="Times New Roman" w:hAnsi="Times New Roman" w:cs="Times New Roman"/>
          <w:sz w:val="24"/>
          <w:szCs w:val="24"/>
        </w:rPr>
        <w:t xml:space="preserve"> and </w:t>
      </w:r>
      <w:r w:rsidR="00E60893">
        <w:rPr>
          <w:rFonts w:ascii="Times New Roman" w:hAnsi="Times New Roman" w:cs="Times New Roman"/>
          <w:sz w:val="24"/>
          <w:szCs w:val="24"/>
        </w:rPr>
        <w:t xml:space="preserve">they continue to be strategic. </w:t>
      </w:r>
      <w:r w:rsidR="006228CE">
        <w:rPr>
          <w:rFonts w:ascii="Times New Roman" w:hAnsi="Times New Roman" w:cs="Times New Roman"/>
          <w:sz w:val="24"/>
          <w:szCs w:val="24"/>
        </w:rPr>
        <w:t xml:space="preserve"> </w:t>
      </w:r>
    </w:p>
    <w:p w14:paraId="081009B5" w14:textId="6AA553BB" w:rsidR="0018590B" w:rsidRPr="004D480B" w:rsidRDefault="00A01E29" w:rsidP="004D480B">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It is a</w:t>
      </w:r>
      <w:r w:rsidR="0018590B">
        <w:rPr>
          <w:rFonts w:ascii="Times New Roman" w:hAnsi="Times New Roman" w:cs="Times New Roman"/>
          <w:sz w:val="24"/>
          <w:szCs w:val="24"/>
        </w:rPr>
        <w:t>ccordingly</w:t>
      </w:r>
      <w:r>
        <w:rPr>
          <w:rFonts w:ascii="Times New Roman" w:hAnsi="Times New Roman" w:cs="Times New Roman"/>
          <w:sz w:val="24"/>
          <w:szCs w:val="24"/>
        </w:rPr>
        <w:t xml:space="preserve"> expected that </w:t>
      </w:r>
      <w:r w:rsidR="00644E31">
        <w:rPr>
          <w:rFonts w:ascii="Times New Roman" w:hAnsi="Times New Roman" w:cs="Times New Roman"/>
          <w:sz w:val="24"/>
          <w:szCs w:val="24"/>
        </w:rPr>
        <w:t>the next plan</w:t>
      </w:r>
      <w:r w:rsidR="0018590B">
        <w:rPr>
          <w:rFonts w:ascii="Times New Roman" w:hAnsi="Times New Roman" w:cs="Times New Roman"/>
          <w:sz w:val="24"/>
          <w:szCs w:val="24"/>
        </w:rPr>
        <w:t xml:space="preserve"> preparation process </w:t>
      </w:r>
      <w:r w:rsidR="004D480B">
        <w:rPr>
          <w:rFonts w:ascii="Times New Roman" w:hAnsi="Times New Roman" w:cs="Times New Roman"/>
          <w:sz w:val="24"/>
          <w:szCs w:val="24"/>
        </w:rPr>
        <w:t>will e</w:t>
      </w:r>
      <w:r w:rsidR="00644E31">
        <w:rPr>
          <w:rFonts w:ascii="Times New Roman" w:hAnsi="Times New Roman" w:cs="Times New Roman"/>
          <w:sz w:val="24"/>
          <w:szCs w:val="24"/>
        </w:rPr>
        <w:t xml:space="preserve">ssentially </w:t>
      </w:r>
      <w:r w:rsidR="0018590B">
        <w:rPr>
          <w:rFonts w:ascii="Times New Roman" w:hAnsi="Times New Roman" w:cs="Times New Roman"/>
          <w:sz w:val="24"/>
          <w:szCs w:val="24"/>
        </w:rPr>
        <w:t xml:space="preserve">involve </w:t>
      </w:r>
      <w:r w:rsidR="00182705">
        <w:rPr>
          <w:rFonts w:ascii="Times New Roman" w:hAnsi="Times New Roman" w:cs="Times New Roman"/>
          <w:sz w:val="24"/>
          <w:szCs w:val="24"/>
        </w:rPr>
        <w:t xml:space="preserve">an </w:t>
      </w:r>
      <w:r w:rsidR="0018590B">
        <w:rPr>
          <w:rFonts w:ascii="Times New Roman" w:hAnsi="Times New Roman" w:cs="Times New Roman"/>
          <w:sz w:val="24"/>
          <w:szCs w:val="24"/>
        </w:rPr>
        <w:t>updating of the current national development plan</w:t>
      </w:r>
      <w:r w:rsidR="004D480B">
        <w:rPr>
          <w:rFonts w:ascii="Times New Roman" w:hAnsi="Times New Roman" w:cs="Times New Roman"/>
          <w:sz w:val="24"/>
          <w:szCs w:val="24"/>
        </w:rPr>
        <w:t xml:space="preserve"> (the </w:t>
      </w:r>
      <w:r w:rsidR="00644E31">
        <w:rPr>
          <w:rFonts w:ascii="Times New Roman" w:hAnsi="Times New Roman" w:cs="Times New Roman"/>
          <w:sz w:val="24"/>
          <w:szCs w:val="24"/>
        </w:rPr>
        <w:t>MTNDP 2019-2023</w:t>
      </w:r>
      <w:r w:rsidR="004D480B">
        <w:rPr>
          <w:rFonts w:ascii="Times New Roman" w:hAnsi="Times New Roman" w:cs="Times New Roman"/>
          <w:sz w:val="24"/>
          <w:szCs w:val="24"/>
        </w:rPr>
        <w:t>)</w:t>
      </w:r>
      <w:r w:rsidR="00644E31">
        <w:rPr>
          <w:rFonts w:ascii="Times New Roman" w:hAnsi="Times New Roman" w:cs="Times New Roman"/>
          <w:sz w:val="24"/>
          <w:szCs w:val="24"/>
        </w:rPr>
        <w:t xml:space="preserve">, </w:t>
      </w:r>
      <w:r w:rsidR="0018590B">
        <w:rPr>
          <w:rFonts w:ascii="Times New Roman" w:hAnsi="Times New Roman" w:cs="Times New Roman"/>
          <w:sz w:val="24"/>
          <w:szCs w:val="24"/>
        </w:rPr>
        <w:t>to</w:t>
      </w:r>
      <w:r w:rsidR="00644E31">
        <w:rPr>
          <w:rFonts w:ascii="Times New Roman" w:hAnsi="Times New Roman" w:cs="Times New Roman"/>
          <w:sz w:val="24"/>
          <w:szCs w:val="24"/>
        </w:rPr>
        <w:t xml:space="preserve"> derive</w:t>
      </w:r>
      <w:r w:rsidR="006829DA">
        <w:rPr>
          <w:rFonts w:ascii="Times New Roman" w:hAnsi="Times New Roman" w:cs="Times New Roman"/>
          <w:sz w:val="24"/>
          <w:szCs w:val="24"/>
        </w:rPr>
        <w:t xml:space="preserve"> MTNDP 2024-2028</w:t>
      </w:r>
      <w:r w:rsidR="004D480B">
        <w:rPr>
          <w:rFonts w:ascii="Times New Roman" w:hAnsi="Times New Roman" w:cs="Times New Roman"/>
          <w:sz w:val="24"/>
          <w:szCs w:val="24"/>
        </w:rPr>
        <w:t xml:space="preserve">. It is crucial to </w:t>
      </w:r>
      <w:r w:rsidR="006829DA" w:rsidRPr="004D480B">
        <w:rPr>
          <w:rFonts w:ascii="Times New Roman" w:hAnsi="Times New Roman" w:cs="Times New Roman"/>
          <w:sz w:val="24"/>
          <w:szCs w:val="24"/>
        </w:rPr>
        <w:t>ensur</w:t>
      </w:r>
      <w:r w:rsidR="004D480B">
        <w:rPr>
          <w:rFonts w:ascii="Times New Roman" w:hAnsi="Times New Roman" w:cs="Times New Roman"/>
          <w:sz w:val="24"/>
          <w:szCs w:val="24"/>
        </w:rPr>
        <w:t xml:space="preserve">e in the process </w:t>
      </w:r>
      <w:r w:rsidR="006829DA" w:rsidRPr="004D480B">
        <w:rPr>
          <w:rFonts w:ascii="Times New Roman" w:hAnsi="Times New Roman" w:cs="Times New Roman"/>
          <w:sz w:val="24"/>
          <w:szCs w:val="24"/>
        </w:rPr>
        <w:t xml:space="preserve">that </w:t>
      </w:r>
      <w:r w:rsidR="0018590B" w:rsidRPr="004D480B">
        <w:rPr>
          <w:rFonts w:ascii="Times New Roman" w:hAnsi="Times New Roman" w:cs="Times New Roman"/>
          <w:sz w:val="24"/>
          <w:szCs w:val="24"/>
        </w:rPr>
        <w:t>emerging topical/strategic issues that did not standout in the current plan</w:t>
      </w:r>
      <w:r w:rsidR="006829DA" w:rsidRPr="004D480B">
        <w:rPr>
          <w:rFonts w:ascii="Times New Roman" w:hAnsi="Times New Roman" w:cs="Times New Roman"/>
          <w:sz w:val="24"/>
          <w:szCs w:val="24"/>
        </w:rPr>
        <w:t xml:space="preserve"> are captured in the next plan</w:t>
      </w:r>
      <w:r w:rsidR="0018590B" w:rsidRPr="004D480B">
        <w:rPr>
          <w:rFonts w:ascii="Times New Roman" w:hAnsi="Times New Roman" w:cs="Times New Roman"/>
          <w:sz w:val="24"/>
          <w:szCs w:val="24"/>
        </w:rPr>
        <w:t>.</w:t>
      </w:r>
    </w:p>
    <w:p w14:paraId="6A511455" w14:textId="12E34DA9" w:rsidR="0018590B" w:rsidRDefault="002D52BC"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Basically</w:t>
      </w:r>
      <w:r w:rsidR="00165546">
        <w:rPr>
          <w:rFonts w:ascii="Times New Roman" w:hAnsi="Times New Roman" w:cs="Times New Roman"/>
          <w:sz w:val="24"/>
          <w:szCs w:val="24"/>
        </w:rPr>
        <w:t>,</w:t>
      </w:r>
      <w:r w:rsidR="0018590B">
        <w:rPr>
          <w:rFonts w:ascii="Times New Roman" w:hAnsi="Times New Roman" w:cs="Times New Roman"/>
          <w:sz w:val="24"/>
          <w:szCs w:val="24"/>
        </w:rPr>
        <w:t xml:space="preserve"> </w:t>
      </w:r>
      <w:r w:rsidR="00165546">
        <w:rPr>
          <w:rFonts w:ascii="Times New Roman" w:hAnsi="Times New Roman" w:cs="Times New Roman"/>
          <w:sz w:val="24"/>
          <w:szCs w:val="24"/>
        </w:rPr>
        <w:t xml:space="preserve">there is </w:t>
      </w:r>
      <w:r w:rsidR="0018590B">
        <w:rPr>
          <w:rFonts w:ascii="Times New Roman" w:hAnsi="Times New Roman" w:cs="Times New Roman"/>
          <w:sz w:val="24"/>
          <w:szCs w:val="24"/>
        </w:rPr>
        <w:t>need to continue with the cluster/thematic structure of the current plan, with tweaks</w:t>
      </w:r>
      <w:r w:rsidR="005B12D6">
        <w:rPr>
          <w:rFonts w:ascii="Times New Roman" w:hAnsi="Times New Roman" w:cs="Times New Roman"/>
          <w:sz w:val="24"/>
          <w:szCs w:val="24"/>
        </w:rPr>
        <w:t xml:space="preserve"> where necessary</w:t>
      </w:r>
      <w:r w:rsidR="0018590B">
        <w:rPr>
          <w:rFonts w:ascii="Times New Roman" w:hAnsi="Times New Roman" w:cs="Times New Roman"/>
          <w:sz w:val="24"/>
          <w:szCs w:val="24"/>
        </w:rPr>
        <w:t xml:space="preserve"> to ensure that fundamental emerging perspectives</w:t>
      </w:r>
      <w:r w:rsidR="002E7606">
        <w:rPr>
          <w:rFonts w:ascii="Times New Roman" w:hAnsi="Times New Roman" w:cs="Times New Roman"/>
          <w:sz w:val="24"/>
          <w:szCs w:val="24"/>
        </w:rPr>
        <w:t>/</w:t>
      </w:r>
      <w:r w:rsidR="0018590B">
        <w:rPr>
          <w:rFonts w:ascii="Times New Roman" w:hAnsi="Times New Roman" w:cs="Times New Roman"/>
          <w:sz w:val="24"/>
          <w:szCs w:val="24"/>
        </w:rPr>
        <w:t>orientations are capture</w:t>
      </w:r>
      <w:r w:rsidR="002E7606">
        <w:rPr>
          <w:rFonts w:ascii="Times New Roman" w:hAnsi="Times New Roman" w:cs="Times New Roman"/>
          <w:sz w:val="24"/>
          <w:szCs w:val="24"/>
        </w:rPr>
        <w:t>d</w:t>
      </w:r>
      <w:r w:rsidR="0018590B">
        <w:rPr>
          <w:rFonts w:ascii="Times New Roman" w:hAnsi="Times New Roman" w:cs="Times New Roman"/>
          <w:sz w:val="24"/>
          <w:szCs w:val="24"/>
        </w:rPr>
        <w:t xml:space="preserve"> in the next plan.</w:t>
      </w:r>
    </w:p>
    <w:p w14:paraId="4385E7D5" w14:textId="36432A34" w:rsidR="00207784" w:rsidRDefault="0078494F"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S</w:t>
      </w:r>
      <w:r w:rsidR="0018590B">
        <w:rPr>
          <w:rFonts w:ascii="Times New Roman" w:hAnsi="Times New Roman" w:cs="Times New Roman"/>
          <w:sz w:val="24"/>
          <w:szCs w:val="24"/>
        </w:rPr>
        <w:t xml:space="preserve">ome of the emerging strategic issues could help define broad </w:t>
      </w:r>
      <w:r w:rsidR="0018590B" w:rsidRPr="00097A6A">
        <w:rPr>
          <w:rFonts w:ascii="Times New Roman" w:hAnsi="Times New Roman" w:cs="Times New Roman"/>
          <w:i/>
          <w:sz w:val="24"/>
          <w:szCs w:val="24"/>
        </w:rPr>
        <w:t>parameters and principles</w:t>
      </w:r>
      <w:r w:rsidR="0018590B">
        <w:rPr>
          <w:rFonts w:ascii="Times New Roman" w:hAnsi="Times New Roman" w:cs="Times New Roman"/>
          <w:sz w:val="24"/>
          <w:szCs w:val="24"/>
        </w:rPr>
        <w:t xml:space="preserve"> to guide the implementation </w:t>
      </w:r>
      <w:r w:rsidR="00F77CCC">
        <w:rPr>
          <w:rFonts w:ascii="Times New Roman" w:hAnsi="Times New Roman" w:cs="Times New Roman"/>
          <w:sz w:val="24"/>
          <w:szCs w:val="24"/>
        </w:rPr>
        <w:t xml:space="preserve">of </w:t>
      </w:r>
      <w:r w:rsidR="0018590B">
        <w:rPr>
          <w:rFonts w:ascii="Times New Roman" w:hAnsi="Times New Roman" w:cs="Times New Roman"/>
          <w:sz w:val="24"/>
          <w:szCs w:val="24"/>
        </w:rPr>
        <w:t>tangible projects and programme</w:t>
      </w:r>
      <w:r w:rsidR="005B2FDC">
        <w:rPr>
          <w:rFonts w:ascii="Times New Roman" w:hAnsi="Times New Roman" w:cs="Times New Roman"/>
          <w:sz w:val="24"/>
          <w:szCs w:val="24"/>
        </w:rPr>
        <w:t>s</w:t>
      </w:r>
      <w:r>
        <w:rPr>
          <w:rFonts w:ascii="Times New Roman" w:hAnsi="Times New Roman" w:cs="Times New Roman"/>
          <w:sz w:val="24"/>
          <w:szCs w:val="24"/>
        </w:rPr>
        <w:t xml:space="preserve"> in the next plan</w:t>
      </w:r>
      <w:r w:rsidR="0018590B">
        <w:rPr>
          <w:rFonts w:ascii="Times New Roman" w:hAnsi="Times New Roman" w:cs="Times New Roman"/>
          <w:sz w:val="24"/>
          <w:szCs w:val="24"/>
        </w:rPr>
        <w:t xml:space="preserve">; </w:t>
      </w:r>
      <w:r w:rsidR="005B2FDC">
        <w:rPr>
          <w:rFonts w:ascii="Times New Roman" w:hAnsi="Times New Roman" w:cs="Times New Roman"/>
          <w:sz w:val="24"/>
          <w:szCs w:val="24"/>
        </w:rPr>
        <w:t>ensuring</w:t>
      </w:r>
      <w:r w:rsidR="0018590B">
        <w:rPr>
          <w:rFonts w:ascii="Times New Roman" w:hAnsi="Times New Roman" w:cs="Times New Roman"/>
          <w:sz w:val="24"/>
          <w:szCs w:val="24"/>
        </w:rPr>
        <w:t xml:space="preserve"> </w:t>
      </w:r>
      <w:r w:rsidR="005B2FDC">
        <w:rPr>
          <w:rFonts w:ascii="Times New Roman" w:hAnsi="Times New Roman" w:cs="Times New Roman"/>
          <w:sz w:val="24"/>
          <w:szCs w:val="24"/>
        </w:rPr>
        <w:t>regular</w:t>
      </w:r>
      <w:r w:rsidR="008B61B9">
        <w:rPr>
          <w:rFonts w:ascii="Times New Roman" w:hAnsi="Times New Roman" w:cs="Times New Roman"/>
          <w:sz w:val="24"/>
          <w:szCs w:val="24"/>
        </w:rPr>
        <w:t xml:space="preserve"> monitoring</w:t>
      </w:r>
      <w:r w:rsidR="005B2FDC">
        <w:rPr>
          <w:rFonts w:ascii="Times New Roman" w:hAnsi="Times New Roman" w:cs="Times New Roman"/>
          <w:sz w:val="24"/>
          <w:szCs w:val="24"/>
        </w:rPr>
        <w:t xml:space="preserve"> and report</w:t>
      </w:r>
      <w:r w:rsidR="00BC557E">
        <w:rPr>
          <w:rFonts w:ascii="Times New Roman" w:hAnsi="Times New Roman" w:cs="Times New Roman"/>
          <w:sz w:val="24"/>
          <w:szCs w:val="24"/>
        </w:rPr>
        <w:t xml:space="preserve">ing </w:t>
      </w:r>
      <w:r w:rsidR="005B2FDC">
        <w:rPr>
          <w:rFonts w:ascii="Times New Roman" w:hAnsi="Times New Roman" w:cs="Times New Roman"/>
          <w:sz w:val="24"/>
          <w:szCs w:val="24"/>
        </w:rPr>
        <w:t>on</w:t>
      </w:r>
      <w:r w:rsidR="00BC557E">
        <w:rPr>
          <w:rFonts w:ascii="Times New Roman" w:hAnsi="Times New Roman" w:cs="Times New Roman"/>
          <w:sz w:val="24"/>
          <w:szCs w:val="24"/>
        </w:rPr>
        <w:t xml:space="preserve"> </w:t>
      </w:r>
      <w:r w:rsidR="0018590B">
        <w:rPr>
          <w:rFonts w:ascii="Times New Roman" w:hAnsi="Times New Roman" w:cs="Times New Roman"/>
          <w:sz w:val="24"/>
          <w:szCs w:val="24"/>
        </w:rPr>
        <w:t xml:space="preserve">compliance with these critical </w:t>
      </w:r>
      <w:r w:rsidR="0018590B" w:rsidRPr="00BE4661">
        <w:rPr>
          <w:rFonts w:ascii="Times New Roman" w:hAnsi="Times New Roman" w:cs="Times New Roman"/>
          <w:sz w:val="24"/>
          <w:szCs w:val="24"/>
        </w:rPr>
        <w:t>parameters/principles</w:t>
      </w:r>
      <w:r w:rsidR="00BC557E">
        <w:rPr>
          <w:rFonts w:ascii="Times New Roman" w:hAnsi="Times New Roman" w:cs="Times New Roman"/>
          <w:sz w:val="24"/>
          <w:szCs w:val="24"/>
        </w:rPr>
        <w:t>.</w:t>
      </w:r>
      <w:r w:rsidR="0018590B">
        <w:rPr>
          <w:rFonts w:ascii="Times New Roman" w:hAnsi="Times New Roman" w:cs="Times New Roman"/>
          <w:sz w:val="24"/>
          <w:szCs w:val="24"/>
        </w:rPr>
        <w:t xml:space="preserve"> </w:t>
      </w:r>
    </w:p>
    <w:p w14:paraId="031B9FE3" w14:textId="4A507368" w:rsidR="000730F4" w:rsidRDefault="00207784"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These principles/parameter</w:t>
      </w:r>
      <w:r w:rsidR="00B63D49">
        <w:rPr>
          <w:rFonts w:ascii="Times New Roman" w:hAnsi="Times New Roman" w:cs="Times New Roman"/>
          <w:sz w:val="24"/>
          <w:szCs w:val="24"/>
        </w:rPr>
        <w:t>s</w:t>
      </w:r>
      <w:r>
        <w:rPr>
          <w:rFonts w:ascii="Times New Roman" w:hAnsi="Times New Roman" w:cs="Times New Roman"/>
          <w:sz w:val="24"/>
          <w:szCs w:val="24"/>
        </w:rPr>
        <w:t xml:space="preserve"> </w:t>
      </w:r>
      <w:r w:rsidR="0018590B">
        <w:rPr>
          <w:rFonts w:ascii="Times New Roman" w:hAnsi="Times New Roman" w:cs="Times New Roman"/>
          <w:sz w:val="24"/>
          <w:szCs w:val="24"/>
        </w:rPr>
        <w:t>may rela</w:t>
      </w:r>
      <w:r w:rsidR="007B70BB">
        <w:rPr>
          <w:rFonts w:ascii="Times New Roman" w:hAnsi="Times New Roman" w:cs="Times New Roman"/>
          <w:sz w:val="24"/>
          <w:szCs w:val="24"/>
        </w:rPr>
        <w:t>te to</w:t>
      </w:r>
      <w:r w:rsidR="000730F4">
        <w:rPr>
          <w:rFonts w:ascii="Times New Roman" w:hAnsi="Times New Roman" w:cs="Times New Roman"/>
          <w:sz w:val="24"/>
          <w:szCs w:val="24"/>
        </w:rPr>
        <w:t xml:space="preserve"> mainstreaming </w:t>
      </w:r>
      <w:r w:rsidR="00C65641">
        <w:rPr>
          <w:rFonts w:ascii="Times New Roman" w:hAnsi="Times New Roman" w:cs="Times New Roman"/>
          <w:sz w:val="24"/>
          <w:szCs w:val="24"/>
        </w:rPr>
        <w:t xml:space="preserve">the </w:t>
      </w:r>
      <w:r w:rsidR="000730F4">
        <w:rPr>
          <w:rFonts w:ascii="Times New Roman" w:hAnsi="Times New Roman" w:cs="Times New Roman"/>
          <w:sz w:val="24"/>
          <w:szCs w:val="24"/>
        </w:rPr>
        <w:t xml:space="preserve">harnessing </w:t>
      </w:r>
      <w:r w:rsidR="00C65641">
        <w:rPr>
          <w:rFonts w:ascii="Times New Roman" w:hAnsi="Times New Roman" w:cs="Times New Roman"/>
          <w:sz w:val="24"/>
          <w:szCs w:val="24"/>
        </w:rPr>
        <w:t xml:space="preserve">of </w:t>
      </w:r>
      <w:r w:rsidR="000730F4">
        <w:rPr>
          <w:rFonts w:ascii="Times New Roman" w:hAnsi="Times New Roman" w:cs="Times New Roman"/>
          <w:sz w:val="24"/>
          <w:szCs w:val="24"/>
        </w:rPr>
        <w:t xml:space="preserve">blue economy potential, harnessing </w:t>
      </w:r>
      <w:r w:rsidR="00C65641">
        <w:rPr>
          <w:rFonts w:ascii="Times New Roman" w:hAnsi="Times New Roman" w:cs="Times New Roman"/>
          <w:sz w:val="24"/>
          <w:szCs w:val="24"/>
        </w:rPr>
        <w:t>the demographic dividend, scaling-</w:t>
      </w:r>
      <w:r w:rsidR="000730F4">
        <w:rPr>
          <w:rFonts w:ascii="Times New Roman" w:hAnsi="Times New Roman" w:cs="Times New Roman"/>
          <w:sz w:val="24"/>
          <w:szCs w:val="24"/>
        </w:rPr>
        <w:t>up climate action, harnessing AfCFTA opportunities, diversifying the economy, more deployment of digital solution/STI, opera</w:t>
      </w:r>
      <w:r w:rsidR="00C65641">
        <w:rPr>
          <w:rFonts w:ascii="Times New Roman" w:hAnsi="Times New Roman" w:cs="Times New Roman"/>
          <w:sz w:val="24"/>
          <w:szCs w:val="24"/>
        </w:rPr>
        <w:t>tionalising gender equality legislation</w:t>
      </w:r>
      <w:r w:rsidR="000730F4">
        <w:rPr>
          <w:rFonts w:ascii="Times New Roman" w:hAnsi="Times New Roman" w:cs="Times New Roman"/>
          <w:sz w:val="24"/>
          <w:szCs w:val="24"/>
        </w:rPr>
        <w:t xml:space="preserve">, </w:t>
      </w:r>
      <w:r w:rsidR="00C65641">
        <w:rPr>
          <w:rFonts w:ascii="Times New Roman" w:hAnsi="Times New Roman" w:cs="Times New Roman"/>
          <w:sz w:val="24"/>
          <w:szCs w:val="24"/>
        </w:rPr>
        <w:t xml:space="preserve">generally enforcing the INFF, </w:t>
      </w:r>
      <w:r w:rsidR="000730F4">
        <w:rPr>
          <w:rFonts w:ascii="Times New Roman" w:hAnsi="Times New Roman" w:cs="Times New Roman"/>
          <w:sz w:val="24"/>
          <w:szCs w:val="24"/>
        </w:rPr>
        <w:t>and operationalising an integrated M&amp;E platform for national plan, SDGs and AU Agenda 2063.</w:t>
      </w:r>
    </w:p>
    <w:p w14:paraId="26C506A3" w14:textId="77777777" w:rsidR="00D75481" w:rsidRDefault="00F77CCC"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i/>
          <w:iCs/>
          <w:sz w:val="24"/>
          <w:szCs w:val="24"/>
        </w:rPr>
      </w:pPr>
      <w:r w:rsidRPr="00D24D63">
        <w:rPr>
          <w:rFonts w:ascii="Times New Roman" w:hAnsi="Times New Roman" w:cs="Times New Roman"/>
          <w:i/>
          <w:iCs/>
          <w:sz w:val="24"/>
          <w:szCs w:val="24"/>
        </w:rPr>
        <w:t xml:space="preserve">A key </w:t>
      </w:r>
      <w:r w:rsidRPr="004E0EAD">
        <w:rPr>
          <w:rFonts w:ascii="Times New Roman" w:hAnsi="Times New Roman" w:cs="Times New Roman"/>
          <w:b/>
          <w:bCs/>
          <w:i/>
          <w:iCs/>
          <w:sz w:val="24"/>
          <w:szCs w:val="24"/>
        </w:rPr>
        <w:t>principle</w:t>
      </w:r>
      <w:r w:rsidRPr="00D24D63">
        <w:rPr>
          <w:rFonts w:ascii="Times New Roman" w:hAnsi="Times New Roman" w:cs="Times New Roman"/>
          <w:i/>
          <w:iCs/>
          <w:sz w:val="24"/>
          <w:szCs w:val="24"/>
        </w:rPr>
        <w:t xml:space="preserve"> that GoSL has given </w:t>
      </w:r>
      <w:r w:rsidR="0075093C">
        <w:rPr>
          <w:rFonts w:ascii="Times New Roman" w:hAnsi="Times New Roman" w:cs="Times New Roman"/>
          <w:i/>
          <w:iCs/>
          <w:sz w:val="24"/>
          <w:szCs w:val="24"/>
        </w:rPr>
        <w:t xml:space="preserve">special </w:t>
      </w:r>
      <w:r w:rsidRPr="00D24D63">
        <w:rPr>
          <w:rFonts w:ascii="Times New Roman" w:hAnsi="Times New Roman" w:cs="Times New Roman"/>
          <w:i/>
          <w:iCs/>
          <w:sz w:val="24"/>
          <w:szCs w:val="24"/>
        </w:rPr>
        <w:t xml:space="preserve">prominence </w:t>
      </w:r>
      <w:r w:rsidR="00D24D63" w:rsidRPr="00D24D63">
        <w:rPr>
          <w:rFonts w:ascii="Times New Roman" w:hAnsi="Times New Roman" w:cs="Times New Roman"/>
          <w:i/>
          <w:iCs/>
          <w:sz w:val="24"/>
          <w:szCs w:val="24"/>
        </w:rPr>
        <w:t xml:space="preserve">is that, the formulation of the next plan and </w:t>
      </w:r>
      <w:r w:rsidR="0075093C">
        <w:rPr>
          <w:rFonts w:ascii="Times New Roman" w:hAnsi="Times New Roman" w:cs="Times New Roman"/>
          <w:i/>
          <w:iCs/>
          <w:sz w:val="24"/>
          <w:szCs w:val="24"/>
        </w:rPr>
        <w:t xml:space="preserve">its </w:t>
      </w:r>
      <w:r w:rsidR="00D24D63" w:rsidRPr="00D24D63">
        <w:rPr>
          <w:rFonts w:ascii="Times New Roman" w:hAnsi="Times New Roman" w:cs="Times New Roman"/>
          <w:i/>
          <w:iCs/>
          <w:sz w:val="24"/>
          <w:szCs w:val="24"/>
        </w:rPr>
        <w:t>implementation will be</w:t>
      </w:r>
      <w:r w:rsidR="00D75481">
        <w:rPr>
          <w:rFonts w:ascii="Times New Roman" w:hAnsi="Times New Roman" w:cs="Times New Roman"/>
          <w:i/>
          <w:iCs/>
          <w:sz w:val="24"/>
          <w:szCs w:val="24"/>
        </w:rPr>
        <w:t xml:space="preserve"> </w:t>
      </w:r>
      <w:r w:rsidR="00D24D63" w:rsidRPr="00D24D63">
        <w:rPr>
          <w:rFonts w:ascii="Times New Roman" w:hAnsi="Times New Roman" w:cs="Times New Roman"/>
          <w:i/>
          <w:iCs/>
          <w:sz w:val="24"/>
          <w:szCs w:val="24"/>
        </w:rPr>
        <w:t xml:space="preserve">heavily people-centred using the </w:t>
      </w:r>
      <w:r w:rsidR="00D24D63" w:rsidRPr="00A322C0">
        <w:rPr>
          <w:rFonts w:ascii="Times New Roman" w:hAnsi="Times New Roman" w:cs="Times New Roman"/>
          <w:b/>
          <w:bCs/>
          <w:i/>
          <w:iCs/>
          <w:sz w:val="24"/>
          <w:szCs w:val="24"/>
        </w:rPr>
        <w:t>Wan Fambul Framework (the People’s Planning Process</w:t>
      </w:r>
      <w:r w:rsidR="00D24D63" w:rsidRPr="00D24D63">
        <w:rPr>
          <w:rFonts w:ascii="Times New Roman" w:hAnsi="Times New Roman" w:cs="Times New Roman"/>
          <w:i/>
          <w:iCs/>
          <w:sz w:val="24"/>
          <w:szCs w:val="24"/>
        </w:rPr>
        <w:t xml:space="preserve">) as </w:t>
      </w:r>
      <w:r w:rsidR="00A5403D">
        <w:rPr>
          <w:rFonts w:ascii="Times New Roman" w:hAnsi="Times New Roman" w:cs="Times New Roman"/>
          <w:i/>
          <w:iCs/>
          <w:sz w:val="24"/>
          <w:szCs w:val="24"/>
        </w:rPr>
        <w:t>the</w:t>
      </w:r>
      <w:r w:rsidR="00D24D63" w:rsidRPr="00D24D63">
        <w:rPr>
          <w:rFonts w:ascii="Times New Roman" w:hAnsi="Times New Roman" w:cs="Times New Roman"/>
          <w:i/>
          <w:iCs/>
          <w:sz w:val="24"/>
          <w:szCs w:val="24"/>
        </w:rPr>
        <w:t xml:space="preserve"> leading vehicle</w:t>
      </w:r>
      <w:r w:rsidR="00A5403D">
        <w:rPr>
          <w:rFonts w:ascii="Times New Roman" w:hAnsi="Times New Roman" w:cs="Times New Roman"/>
          <w:i/>
          <w:iCs/>
          <w:sz w:val="24"/>
          <w:szCs w:val="24"/>
        </w:rPr>
        <w:t xml:space="preserve"> in this direction</w:t>
      </w:r>
      <w:r w:rsidR="00D24D63" w:rsidRPr="00D24D63">
        <w:rPr>
          <w:rFonts w:ascii="Times New Roman" w:hAnsi="Times New Roman" w:cs="Times New Roman"/>
          <w:i/>
          <w:iCs/>
          <w:sz w:val="24"/>
          <w:szCs w:val="24"/>
        </w:rPr>
        <w:t>.</w:t>
      </w:r>
    </w:p>
    <w:p w14:paraId="078C9C1E" w14:textId="384DD7EE" w:rsidR="00182705" w:rsidRDefault="00294891" w:rsidP="00954315">
      <w:pPr>
        <w:pStyle w:val="ListParagraph"/>
        <w:numPr>
          <w:ilvl w:val="1"/>
          <w:numId w:val="2"/>
        </w:numPr>
        <w:tabs>
          <w:tab w:val="left" w:pos="426"/>
        </w:tabs>
        <w:spacing w:after="120" w:line="240" w:lineRule="auto"/>
        <w:ind w:left="709" w:hanging="283"/>
        <w:contextualSpacing w:val="0"/>
        <w:jc w:val="both"/>
        <w:rPr>
          <w:rFonts w:ascii="Times New Roman" w:hAnsi="Times New Roman" w:cs="Times New Roman"/>
          <w:sz w:val="24"/>
          <w:szCs w:val="24"/>
        </w:rPr>
      </w:pPr>
      <w:r>
        <w:rPr>
          <w:rFonts w:ascii="Times New Roman" w:hAnsi="Times New Roman" w:cs="Times New Roman"/>
          <w:sz w:val="24"/>
          <w:szCs w:val="24"/>
        </w:rPr>
        <w:t>Th</w:t>
      </w:r>
      <w:r w:rsidR="00182705">
        <w:rPr>
          <w:rFonts w:ascii="Times New Roman" w:hAnsi="Times New Roman" w:cs="Times New Roman"/>
          <w:sz w:val="24"/>
          <w:szCs w:val="24"/>
        </w:rPr>
        <w:t>us, the proposed structure/cluster system in the next plan is presented as follows:</w:t>
      </w:r>
    </w:p>
    <w:p w14:paraId="53A715AE" w14:textId="77777777" w:rsidR="00182705" w:rsidRPr="00AA42CA" w:rsidRDefault="00182705" w:rsidP="00AA42CA">
      <w:pPr>
        <w:keepNext/>
        <w:keepLines/>
        <w:spacing w:after="0" w:line="240" w:lineRule="auto"/>
        <w:ind w:left="720" w:firstLine="720"/>
        <w:outlineLvl w:val="1"/>
        <w:rPr>
          <w:rFonts w:ascii="Times New Roman" w:hAnsi="Times New Roman" w:cs="Times New Roman"/>
          <w:b/>
          <w:color w:val="00B050"/>
          <w:sz w:val="24"/>
          <w:szCs w:val="24"/>
        </w:rPr>
      </w:pPr>
      <w:bookmarkStart w:id="7" w:name="_Toc101319077"/>
      <w:bookmarkStart w:id="8" w:name="_Toc125730001"/>
      <w:r w:rsidRPr="00AA42CA">
        <w:rPr>
          <w:rFonts w:ascii="Times New Roman" w:hAnsi="Times New Roman" w:cs="Times New Roman"/>
          <w:b/>
          <w:color w:val="00B050"/>
          <w:sz w:val="24"/>
          <w:szCs w:val="24"/>
        </w:rPr>
        <w:t>Super Cluster 1: The Big 5 Game Changes</w:t>
      </w:r>
    </w:p>
    <w:p w14:paraId="384AAF45" w14:textId="3EB2AD9A" w:rsidR="00182705" w:rsidRPr="00AA42CA" w:rsidRDefault="00182705" w:rsidP="00AA42CA">
      <w:pPr>
        <w:keepNext/>
        <w:keepLines/>
        <w:spacing w:after="0" w:line="240" w:lineRule="auto"/>
        <w:ind w:left="1440" w:firstLine="720"/>
        <w:outlineLvl w:val="1"/>
        <w:rPr>
          <w:rFonts w:ascii="Times New Roman" w:hAnsi="Times New Roman" w:cs="Times New Roman"/>
          <w:b/>
          <w:color w:val="00B050"/>
          <w:sz w:val="24"/>
          <w:szCs w:val="24"/>
        </w:rPr>
      </w:pPr>
      <w:r w:rsidRPr="00AA42CA">
        <w:rPr>
          <w:rFonts w:ascii="Times New Roman" w:hAnsi="Times New Roman" w:cs="Times New Roman"/>
          <w:b/>
          <w:color w:val="00B050"/>
          <w:sz w:val="24"/>
          <w:szCs w:val="24"/>
        </w:rPr>
        <w:t>Sub-Cluster 1.1: Feed Salone</w:t>
      </w:r>
    </w:p>
    <w:p w14:paraId="617D14AE" w14:textId="1A599D37" w:rsidR="00C468AA" w:rsidRDefault="00182705" w:rsidP="00182705">
      <w:pPr>
        <w:pStyle w:val="ListParagraph"/>
        <w:keepNext/>
        <w:keepLines/>
        <w:spacing w:after="0" w:line="240" w:lineRule="auto"/>
        <w:ind w:left="2160"/>
        <w:outlineLvl w:val="1"/>
        <w:rPr>
          <w:rFonts w:ascii="Times New Roman" w:hAnsi="Times New Roman" w:cs="Times New Roman"/>
          <w:b/>
          <w:color w:val="00B050"/>
          <w:sz w:val="24"/>
          <w:szCs w:val="24"/>
        </w:rPr>
      </w:pPr>
      <w:r>
        <w:rPr>
          <w:rFonts w:ascii="Times New Roman" w:hAnsi="Times New Roman" w:cs="Times New Roman"/>
          <w:b/>
          <w:color w:val="00B050"/>
          <w:sz w:val="24"/>
          <w:szCs w:val="24"/>
        </w:rPr>
        <w:t>Sub-</w:t>
      </w:r>
      <w:r w:rsidR="00C468AA" w:rsidRPr="00C468AA">
        <w:rPr>
          <w:rFonts w:ascii="Times New Roman" w:hAnsi="Times New Roman" w:cs="Times New Roman"/>
          <w:b/>
          <w:color w:val="00B050"/>
          <w:sz w:val="24"/>
          <w:szCs w:val="24"/>
        </w:rPr>
        <w:t>Cluster 1</w:t>
      </w:r>
      <w:r>
        <w:rPr>
          <w:rFonts w:ascii="Times New Roman" w:hAnsi="Times New Roman" w:cs="Times New Roman"/>
          <w:b/>
          <w:color w:val="00B050"/>
          <w:sz w:val="24"/>
          <w:szCs w:val="24"/>
        </w:rPr>
        <w:t>.2: Accelerating H</w:t>
      </w:r>
      <w:r w:rsidR="00C468AA" w:rsidRPr="00C468AA">
        <w:rPr>
          <w:rFonts w:ascii="Times New Roman" w:hAnsi="Times New Roman" w:cs="Times New Roman"/>
          <w:b/>
          <w:color w:val="00B050"/>
          <w:sz w:val="24"/>
          <w:szCs w:val="24"/>
        </w:rPr>
        <w:t xml:space="preserve">uman </w:t>
      </w:r>
      <w:r>
        <w:rPr>
          <w:rFonts w:ascii="Times New Roman" w:hAnsi="Times New Roman" w:cs="Times New Roman"/>
          <w:b/>
          <w:color w:val="00B050"/>
          <w:sz w:val="24"/>
          <w:szCs w:val="24"/>
        </w:rPr>
        <w:t>C</w:t>
      </w:r>
      <w:r w:rsidR="00C468AA" w:rsidRPr="00C468AA">
        <w:rPr>
          <w:rFonts w:ascii="Times New Roman" w:hAnsi="Times New Roman" w:cs="Times New Roman"/>
          <w:b/>
          <w:color w:val="00B050"/>
          <w:sz w:val="24"/>
          <w:szCs w:val="24"/>
        </w:rPr>
        <w:t xml:space="preserve">apital </w:t>
      </w:r>
      <w:r>
        <w:rPr>
          <w:rFonts w:ascii="Times New Roman" w:hAnsi="Times New Roman" w:cs="Times New Roman"/>
          <w:b/>
          <w:color w:val="00B050"/>
          <w:sz w:val="24"/>
          <w:szCs w:val="24"/>
        </w:rPr>
        <w:t>D</w:t>
      </w:r>
      <w:r w:rsidR="00C468AA" w:rsidRPr="00C468AA">
        <w:rPr>
          <w:rFonts w:ascii="Times New Roman" w:hAnsi="Times New Roman" w:cs="Times New Roman"/>
          <w:b/>
          <w:color w:val="00B050"/>
          <w:sz w:val="24"/>
          <w:szCs w:val="24"/>
        </w:rPr>
        <w:t>evelopment</w:t>
      </w:r>
      <w:bookmarkEnd w:id="7"/>
      <w:bookmarkEnd w:id="8"/>
    </w:p>
    <w:p w14:paraId="1B031BAE" w14:textId="376A3ECA" w:rsidR="00182705" w:rsidRDefault="00182705" w:rsidP="00182705">
      <w:pPr>
        <w:pStyle w:val="ListParagraph"/>
        <w:keepNext/>
        <w:keepLines/>
        <w:spacing w:after="0" w:line="240" w:lineRule="auto"/>
        <w:ind w:left="2160"/>
        <w:outlineLvl w:val="1"/>
        <w:rPr>
          <w:rFonts w:ascii="Times New Roman" w:hAnsi="Times New Roman" w:cs="Times New Roman"/>
          <w:b/>
          <w:color w:val="00B050"/>
          <w:sz w:val="24"/>
          <w:szCs w:val="24"/>
        </w:rPr>
      </w:pPr>
      <w:r>
        <w:rPr>
          <w:rFonts w:ascii="Times New Roman" w:hAnsi="Times New Roman" w:cs="Times New Roman"/>
          <w:b/>
          <w:color w:val="00B050"/>
          <w:sz w:val="24"/>
          <w:szCs w:val="24"/>
        </w:rPr>
        <w:t>Sub-Cluster 1.3: Investment in Youth Employment</w:t>
      </w:r>
    </w:p>
    <w:p w14:paraId="293EA56D" w14:textId="17F5B547" w:rsidR="00D70295" w:rsidRDefault="00182705" w:rsidP="00D70295">
      <w:pPr>
        <w:pStyle w:val="ListParagraph"/>
        <w:keepNext/>
        <w:keepLines/>
        <w:spacing w:after="0" w:line="240" w:lineRule="auto"/>
        <w:ind w:left="2160"/>
        <w:outlineLvl w:val="1"/>
        <w:rPr>
          <w:rFonts w:ascii="Times New Roman" w:hAnsi="Times New Roman" w:cs="Times New Roman"/>
          <w:b/>
          <w:color w:val="00B050"/>
          <w:sz w:val="24"/>
          <w:szCs w:val="24"/>
        </w:rPr>
      </w:pPr>
      <w:r>
        <w:rPr>
          <w:rFonts w:ascii="Times New Roman" w:hAnsi="Times New Roman" w:cs="Times New Roman"/>
          <w:b/>
          <w:color w:val="00B050"/>
          <w:sz w:val="24"/>
          <w:szCs w:val="24"/>
        </w:rPr>
        <w:t xml:space="preserve">Sub-Cluster 1.4: </w:t>
      </w:r>
      <w:r w:rsidR="00AA42CA">
        <w:rPr>
          <w:rFonts w:ascii="Times New Roman" w:hAnsi="Times New Roman" w:cs="Times New Roman"/>
          <w:b/>
          <w:color w:val="00B050"/>
          <w:sz w:val="24"/>
          <w:szCs w:val="24"/>
        </w:rPr>
        <w:t>Public Sector Effectivenes</w:t>
      </w:r>
      <w:bookmarkStart w:id="9" w:name="_Toc101319078"/>
      <w:bookmarkStart w:id="10" w:name="_Toc125730002"/>
      <w:r w:rsidR="00D70295">
        <w:rPr>
          <w:rFonts w:ascii="Times New Roman" w:hAnsi="Times New Roman" w:cs="Times New Roman"/>
          <w:b/>
          <w:color w:val="00B050"/>
          <w:sz w:val="24"/>
          <w:szCs w:val="24"/>
        </w:rPr>
        <w:t>s</w:t>
      </w:r>
      <w:r w:rsidR="00D1331E">
        <w:rPr>
          <w:rFonts w:ascii="Times New Roman" w:hAnsi="Times New Roman" w:cs="Times New Roman"/>
          <w:b/>
          <w:color w:val="00B050"/>
          <w:sz w:val="24"/>
          <w:szCs w:val="24"/>
        </w:rPr>
        <w:t xml:space="preserve"> and Efficiency</w:t>
      </w:r>
    </w:p>
    <w:p w14:paraId="28B1957D" w14:textId="07BB45F8" w:rsidR="00D70295" w:rsidRPr="00D70295" w:rsidRDefault="00D70295" w:rsidP="00D70295">
      <w:pPr>
        <w:pStyle w:val="ListParagraph"/>
        <w:keepNext/>
        <w:keepLines/>
        <w:spacing w:after="0" w:line="240" w:lineRule="auto"/>
        <w:ind w:left="2160"/>
        <w:outlineLvl w:val="1"/>
        <w:rPr>
          <w:rFonts w:ascii="Times New Roman" w:hAnsi="Times New Roman" w:cs="Times New Roman"/>
          <w:b/>
          <w:color w:val="00B050"/>
          <w:sz w:val="24"/>
          <w:szCs w:val="24"/>
        </w:rPr>
      </w:pPr>
      <w:r w:rsidRPr="00D70295">
        <w:rPr>
          <w:rFonts w:ascii="Times New Roman" w:hAnsi="Times New Roman" w:cs="Times New Roman"/>
          <w:b/>
          <w:color w:val="00B050"/>
          <w:sz w:val="24"/>
          <w:szCs w:val="24"/>
        </w:rPr>
        <w:t xml:space="preserve">Sub-Cluster 1.5: </w:t>
      </w:r>
      <w:r>
        <w:rPr>
          <w:rFonts w:ascii="Times New Roman" w:hAnsi="Times New Roman" w:cs="Times New Roman"/>
          <w:b/>
          <w:color w:val="00B050"/>
          <w:sz w:val="24"/>
          <w:szCs w:val="24"/>
        </w:rPr>
        <w:t>I</w:t>
      </w:r>
      <w:r w:rsidR="00D1331E">
        <w:rPr>
          <w:rFonts w:ascii="Times New Roman" w:hAnsi="Times New Roman" w:cs="Times New Roman"/>
          <w:b/>
          <w:color w:val="00B050"/>
          <w:sz w:val="24"/>
          <w:szCs w:val="24"/>
        </w:rPr>
        <w:t>nfrastructure, Technology and Innovation</w:t>
      </w:r>
      <w:r>
        <w:rPr>
          <w:rFonts w:ascii="Times New Roman" w:hAnsi="Times New Roman" w:cs="Times New Roman"/>
          <w:b/>
          <w:color w:val="00B050"/>
          <w:sz w:val="24"/>
          <w:szCs w:val="24"/>
        </w:rPr>
        <w:t xml:space="preserve"> </w:t>
      </w:r>
    </w:p>
    <w:p w14:paraId="301F525C" w14:textId="3028C125" w:rsidR="00D1331E" w:rsidRDefault="00C468AA" w:rsidP="00D1331E">
      <w:pPr>
        <w:keepNext/>
        <w:keepLines/>
        <w:spacing w:after="0" w:line="240" w:lineRule="auto"/>
        <w:ind w:left="720" w:firstLine="720"/>
        <w:outlineLvl w:val="1"/>
        <w:rPr>
          <w:rFonts w:ascii="Times New Roman" w:hAnsi="Times New Roman" w:cs="Times New Roman"/>
          <w:b/>
          <w:color w:val="00B050"/>
          <w:sz w:val="24"/>
          <w:szCs w:val="24"/>
        </w:rPr>
      </w:pPr>
      <w:r w:rsidRPr="00D1331E">
        <w:rPr>
          <w:rFonts w:ascii="Times New Roman" w:hAnsi="Times New Roman" w:cs="Times New Roman"/>
          <w:b/>
          <w:color w:val="00B050"/>
          <w:sz w:val="24"/>
          <w:szCs w:val="24"/>
        </w:rPr>
        <w:t>Policy</w:t>
      </w:r>
      <w:r w:rsidR="00D1331E">
        <w:rPr>
          <w:rFonts w:ascii="Times New Roman" w:hAnsi="Times New Roman" w:cs="Times New Roman"/>
          <w:b/>
          <w:color w:val="00B050"/>
          <w:sz w:val="24"/>
          <w:szCs w:val="24"/>
        </w:rPr>
        <w:t xml:space="preserve"> </w:t>
      </w:r>
      <w:r w:rsidRPr="00D1331E">
        <w:rPr>
          <w:rFonts w:ascii="Times New Roman" w:hAnsi="Times New Roman" w:cs="Times New Roman"/>
          <w:b/>
          <w:color w:val="00B050"/>
          <w:sz w:val="24"/>
          <w:szCs w:val="24"/>
        </w:rPr>
        <w:t>Cluster 2 – Diversifying the economy and promoting growth</w:t>
      </w:r>
      <w:bookmarkEnd w:id="9"/>
      <w:bookmarkEnd w:id="10"/>
    </w:p>
    <w:p w14:paraId="28D33BAE" w14:textId="1841665D" w:rsidR="00C468AA" w:rsidRPr="00D1331E" w:rsidRDefault="00C468AA" w:rsidP="00D1331E">
      <w:pPr>
        <w:keepNext/>
        <w:keepLines/>
        <w:spacing w:after="0" w:line="240" w:lineRule="auto"/>
        <w:ind w:left="720" w:firstLine="720"/>
        <w:outlineLvl w:val="1"/>
        <w:rPr>
          <w:rFonts w:ascii="Times New Roman" w:hAnsi="Times New Roman" w:cs="Times New Roman"/>
          <w:b/>
          <w:color w:val="00B050"/>
          <w:sz w:val="24"/>
          <w:szCs w:val="24"/>
        </w:rPr>
      </w:pPr>
      <w:r w:rsidRPr="00D1331E">
        <w:rPr>
          <w:rFonts w:ascii="Times New Roman" w:hAnsi="Times New Roman" w:cs="Times New Roman"/>
          <w:b/>
          <w:color w:val="00B050"/>
          <w:sz w:val="24"/>
          <w:szCs w:val="24"/>
        </w:rPr>
        <w:t>Policy</w:t>
      </w:r>
      <w:r w:rsidR="00D1331E">
        <w:rPr>
          <w:rFonts w:ascii="Times New Roman" w:hAnsi="Times New Roman" w:cs="Times New Roman"/>
          <w:b/>
          <w:color w:val="00B050"/>
          <w:sz w:val="24"/>
          <w:szCs w:val="24"/>
        </w:rPr>
        <w:t xml:space="preserve"> </w:t>
      </w:r>
      <w:r w:rsidRPr="00D1331E">
        <w:rPr>
          <w:rFonts w:ascii="Times New Roman" w:hAnsi="Times New Roman" w:cs="Times New Roman"/>
          <w:b/>
          <w:color w:val="00B050"/>
          <w:sz w:val="24"/>
          <w:szCs w:val="24"/>
        </w:rPr>
        <w:t>Cluster</w:t>
      </w:r>
      <w:r w:rsidR="00D1331E" w:rsidRPr="00D1331E">
        <w:rPr>
          <w:rFonts w:ascii="Times New Roman" w:hAnsi="Times New Roman" w:cs="Times New Roman"/>
          <w:b/>
          <w:color w:val="00B050"/>
          <w:sz w:val="24"/>
          <w:szCs w:val="24"/>
        </w:rPr>
        <w:t xml:space="preserve"> </w:t>
      </w:r>
      <w:r w:rsidRPr="00D1331E">
        <w:rPr>
          <w:rFonts w:ascii="Times New Roman" w:hAnsi="Times New Roman" w:cs="Times New Roman"/>
          <w:b/>
          <w:color w:val="00B050"/>
          <w:sz w:val="24"/>
          <w:szCs w:val="24"/>
        </w:rPr>
        <w:t xml:space="preserve">3 – </w:t>
      </w:r>
      <w:bookmarkStart w:id="11" w:name="_Toc101319079"/>
      <w:bookmarkStart w:id="12" w:name="_Toc125730003"/>
      <w:r w:rsidRPr="00D1331E">
        <w:rPr>
          <w:rFonts w:ascii="Times New Roman" w:hAnsi="Times New Roman" w:cs="Times New Roman"/>
          <w:b/>
          <w:color w:val="00B050"/>
          <w:sz w:val="24"/>
          <w:szCs w:val="24"/>
        </w:rPr>
        <w:t>Governance and Accountability for Results</w:t>
      </w:r>
      <w:bookmarkEnd w:id="11"/>
      <w:bookmarkEnd w:id="12"/>
    </w:p>
    <w:p w14:paraId="4AA54A4B" w14:textId="551EAEB3" w:rsidR="00C468AA" w:rsidRPr="00C468AA" w:rsidRDefault="00C468AA" w:rsidP="0083211F">
      <w:pPr>
        <w:pStyle w:val="ListParagraph"/>
        <w:keepNext/>
        <w:keepLines/>
        <w:spacing w:after="0" w:line="240" w:lineRule="auto"/>
        <w:ind w:left="1440"/>
        <w:outlineLvl w:val="1"/>
        <w:rPr>
          <w:rFonts w:ascii="Times New Roman" w:hAnsi="Times New Roman" w:cs="Times New Roman"/>
          <w:b/>
          <w:color w:val="00B050"/>
          <w:sz w:val="24"/>
          <w:szCs w:val="24"/>
        </w:rPr>
      </w:pPr>
      <w:bookmarkStart w:id="13" w:name="_Toc101319080"/>
      <w:bookmarkStart w:id="14" w:name="_Toc125730004"/>
      <w:r w:rsidRPr="00C468AA">
        <w:rPr>
          <w:rFonts w:ascii="Times New Roman" w:hAnsi="Times New Roman" w:cs="Times New Roman"/>
          <w:b/>
          <w:color w:val="00B050"/>
          <w:sz w:val="24"/>
          <w:szCs w:val="24"/>
        </w:rPr>
        <w:t xml:space="preserve">Policy Cluster </w:t>
      </w:r>
      <w:r w:rsidR="00D1331E">
        <w:rPr>
          <w:rFonts w:ascii="Times New Roman" w:hAnsi="Times New Roman" w:cs="Times New Roman"/>
          <w:b/>
          <w:color w:val="00B050"/>
          <w:sz w:val="24"/>
          <w:szCs w:val="24"/>
        </w:rPr>
        <w:t>4</w:t>
      </w:r>
      <w:r w:rsidRPr="00C468AA">
        <w:rPr>
          <w:rFonts w:ascii="Times New Roman" w:hAnsi="Times New Roman" w:cs="Times New Roman"/>
          <w:b/>
          <w:color w:val="00B050"/>
          <w:sz w:val="24"/>
          <w:szCs w:val="24"/>
        </w:rPr>
        <w:t xml:space="preserve"> – Empowering Women, Children</w:t>
      </w:r>
      <w:r w:rsidR="00BE4661">
        <w:rPr>
          <w:rFonts w:ascii="Times New Roman" w:hAnsi="Times New Roman" w:cs="Times New Roman"/>
          <w:b/>
          <w:color w:val="00B050"/>
          <w:sz w:val="24"/>
          <w:szCs w:val="24"/>
        </w:rPr>
        <w:t xml:space="preserve"> &amp;</w:t>
      </w:r>
      <w:r w:rsidRPr="00C468AA">
        <w:rPr>
          <w:rFonts w:ascii="Times New Roman" w:hAnsi="Times New Roman" w:cs="Times New Roman"/>
          <w:b/>
          <w:color w:val="00B050"/>
          <w:sz w:val="24"/>
          <w:szCs w:val="24"/>
        </w:rPr>
        <w:t xml:space="preserve"> </w:t>
      </w:r>
      <w:r w:rsidR="00BE4661">
        <w:rPr>
          <w:rFonts w:ascii="Times New Roman" w:hAnsi="Times New Roman" w:cs="Times New Roman"/>
          <w:b/>
          <w:color w:val="00B050"/>
          <w:sz w:val="24"/>
          <w:szCs w:val="24"/>
        </w:rPr>
        <w:t>P</w:t>
      </w:r>
      <w:r w:rsidRPr="00C468AA">
        <w:rPr>
          <w:rFonts w:ascii="Times New Roman" w:hAnsi="Times New Roman" w:cs="Times New Roman"/>
          <w:b/>
          <w:color w:val="00B050"/>
          <w:sz w:val="24"/>
          <w:szCs w:val="24"/>
        </w:rPr>
        <w:t>ersons with Disabilities</w:t>
      </w:r>
      <w:bookmarkEnd w:id="13"/>
      <w:bookmarkEnd w:id="14"/>
    </w:p>
    <w:p w14:paraId="5E2263FE" w14:textId="2DC840FD" w:rsidR="00C468AA" w:rsidRPr="00C468AA" w:rsidRDefault="00C468AA" w:rsidP="0083211F">
      <w:pPr>
        <w:pStyle w:val="ListParagraph"/>
        <w:keepNext/>
        <w:keepLines/>
        <w:spacing w:after="0" w:line="240" w:lineRule="auto"/>
        <w:ind w:left="1440"/>
        <w:outlineLvl w:val="1"/>
        <w:rPr>
          <w:rFonts w:ascii="Times New Roman" w:hAnsi="Times New Roman" w:cs="Times New Roman"/>
          <w:b/>
          <w:color w:val="00B050"/>
          <w:sz w:val="24"/>
          <w:szCs w:val="24"/>
        </w:rPr>
      </w:pPr>
      <w:bookmarkStart w:id="15" w:name="_Toc101319082"/>
      <w:bookmarkStart w:id="16" w:name="_Toc125730006"/>
      <w:r w:rsidRPr="00C468AA">
        <w:rPr>
          <w:rFonts w:ascii="Times New Roman" w:hAnsi="Times New Roman" w:cs="Times New Roman"/>
          <w:b/>
          <w:color w:val="00B050"/>
          <w:sz w:val="24"/>
          <w:szCs w:val="24"/>
        </w:rPr>
        <w:t xml:space="preserve">Policy Cluster </w:t>
      </w:r>
      <w:r w:rsidR="00D1331E">
        <w:rPr>
          <w:rFonts w:ascii="Times New Roman" w:hAnsi="Times New Roman" w:cs="Times New Roman"/>
          <w:b/>
          <w:color w:val="00B050"/>
          <w:sz w:val="24"/>
          <w:szCs w:val="24"/>
        </w:rPr>
        <w:t>5</w:t>
      </w:r>
      <w:r w:rsidRPr="00C468AA">
        <w:rPr>
          <w:rFonts w:ascii="Times New Roman" w:hAnsi="Times New Roman" w:cs="Times New Roman"/>
          <w:b/>
          <w:color w:val="00B050"/>
          <w:sz w:val="24"/>
          <w:szCs w:val="24"/>
        </w:rPr>
        <w:t xml:space="preserve"> – Addressing Vulnerabilities and Building Resilience</w:t>
      </w:r>
      <w:bookmarkEnd w:id="15"/>
      <w:bookmarkEnd w:id="16"/>
      <w:r w:rsidRPr="00C468AA">
        <w:rPr>
          <w:rFonts w:ascii="Times New Roman" w:hAnsi="Times New Roman" w:cs="Times New Roman"/>
          <w:b/>
          <w:color w:val="00B050"/>
          <w:sz w:val="24"/>
          <w:szCs w:val="24"/>
        </w:rPr>
        <w:t xml:space="preserve"> </w:t>
      </w:r>
    </w:p>
    <w:p w14:paraId="6862EFCC" w14:textId="0D23C427" w:rsidR="00C468AA" w:rsidRPr="00C468AA" w:rsidRDefault="00C468AA" w:rsidP="0083211F">
      <w:pPr>
        <w:pStyle w:val="ListParagraph"/>
        <w:keepNext/>
        <w:keepLines/>
        <w:spacing w:after="0" w:line="240" w:lineRule="auto"/>
        <w:ind w:left="1440"/>
        <w:outlineLvl w:val="1"/>
        <w:rPr>
          <w:rFonts w:ascii="Times New Roman" w:hAnsi="Times New Roman" w:cs="Times New Roman"/>
          <w:b/>
          <w:color w:val="00B050"/>
          <w:sz w:val="24"/>
          <w:szCs w:val="24"/>
        </w:rPr>
      </w:pPr>
      <w:bookmarkStart w:id="17" w:name="_Toc101319083"/>
      <w:bookmarkStart w:id="18" w:name="_Toc125730007"/>
      <w:r w:rsidRPr="00C468AA">
        <w:rPr>
          <w:rFonts w:ascii="Times New Roman" w:hAnsi="Times New Roman" w:cs="Times New Roman"/>
          <w:b/>
          <w:color w:val="00B050"/>
          <w:sz w:val="24"/>
          <w:szCs w:val="24"/>
        </w:rPr>
        <w:t xml:space="preserve">Policy Cluster </w:t>
      </w:r>
      <w:r w:rsidR="00D1331E">
        <w:rPr>
          <w:rFonts w:ascii="Times New Roman" w:hAnsi="Times New Roman" w:cs="Times New Roman"/>
          <w:b/>
          <w:color w:val="00B050"/>
          <w:sz w:val="24"/>
          <w:szCs w:val="24"/>
        </w:rPr>
        <w:t>6</w:t>
      </w:r>
      <w:r w:rsidRPr="00C468AA">
        <w:rPr>
          <w:rFonts w:ascii="Times New Roman" w:hAnsi="Times New Roman" w:cs="Times New Roman"/>
          <w:b/>
          <w:color w:val="00B050"/>
          <w:sz w:val="24"/>
          <w:szCs w:val="24"/>
        </w:rPr>
        <w:t xml:space="preserve"> – Means of Implementation</w:t>
      </w:r>
      <w:bookmarkEnd w:id="17"/>
      <w:bookmarkEnd w:id="18"/>
      <w:r w:rsidRPr="00C468AA">
        <w:rPr>
          <w:rFonts w:ascii="Times New Roman" w:hAnsi="Times New Roman" w:cs="Times New Roman"/>
          <w:b/>
          <w:color w:val="00B050"/>
          <w:sz w:val="24"/>
          <w:szCs w:val="24"/>
        </w:rPr>
        <w:t xml:space="preserve">  </w:t>
      </w:r>
    </w:p>
    <w:p w14:paraId="36964DDC" w14:textId="77777777" w:rsidR="00C468AA" w:rsidRDefault="00C468AA" w:rsidP="0083211F">
      <w:pPr>
        <w:pStyle w:val="ListParagraph"/>
        <w:tabs>
          <w:tab w:val="left" w:pos="426"/>
        </w:tabs>
        <w:spacing w:after="0" w:line="240" w:lineRule="auto"/>
        <w:ind w:left="0"/>
        <w:contextualSpacing w:val="0"/>
        <w:jc w:val="both"/>
        <w:rPr>
          <w:rFonts w:ascii="Times New Roman" w:hAnsi="Times New Roman" w:cs="Times New Roman"/>
          <w:sz w:val="24"/>
          <w:szCs w:val="24"/>
        </w:rPr>
      </w:pPr>
    </w:p>
    <w:p w14:paraId="082E25E1" w14:textId="3B2882E4" w:rsidR="006F2A46" w:rsidRDefault="00D1331E"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Continuing </w:t>
      </w:r>
      <w:r w:rsidR="000730F4">
        <w:rPr>
          <w:rFonts w:ascii="Times New Roman" w:hAnsi="Times New Roman" w:cs="Times New Roman"/>
          <w:sz w:val="24"/>
          <w:szCs w:val="24"/>
        </w:rPr>
        <w:t>cluster</w:t>
      </w:r>
      <w:r w:rsidR="00BE4661">
        <w:rPr>
          <w:rFonts w:ascii="Times New Roman" w:hAnsi="Times New Roman" w:cs="Times New Roman"/>
          <w:sz w:val="24"/>
          <w:szCs w:val="24"/>
        </w:rPr>
        <w:t>s</w:t>
      </w:r>
      <w:r w:rsidR="00933DF3">
        <w:rPr>
          <w:rFonts w:ascii="Times New Roman" w:hAnsi="Times New Roman" w:cs="Times New Roman"/>
          <w:sz w:val="24"/>
          <w:szCs w:val="24"/>
        </w:rPr>
        <w:t xml:space="preserve"> (2-6)</w:t>
      </w:r>
      <w:r w:rsidR="000730F4">
        <w:rPr>
          <w:rFonts w:ascii="Times New Roman" w:hAnsi="Times New Roman" w:cs="Times New Roman"/>
          <w:sz w:val="24"/>
          <w:szCs w:val="24"/>
        </w:rPr>
        <w:t xml:space="preserve"> will </w:t>
      </w:r>
      <w:r w:rsidR="00835D0A">
        <w:rPr>
          <w:rFonts w:ascii="Times New Roman" w:hAnsi="Times New Roman" w:cs="Times New Roman"/>
          <w:sz w:val="24"/>
          <w:szCs w:val="24"/>
        </w:rPr>
        <w:t xml:space="preserve">be </w:t>
      </w:r>
      <w:r w:rsidR="00C468AA">
        <w:rPr>
          <w:rFonts w:ascii="Times New Roman" w:hAnsi="Times New Roman" w:cs="Times New Roman"/>
          <w:sz w:val="24"/>
          <w:szCs w:val="24"/>
        </w:rPr>
        <w:t xml:space="preserve">reviewed and </w:t>
      </w:r>
      <w:r w:rsidR="003D2EC2">
        <w:rPr>
          <w:rFonts w:ascii="Times New Roman" w:hAnsi="Times New Roman" w:cs="Times New Roman"/>
          <w:sz w:val="24"/>
          <w:szCs w:val="24"/>
        </w:rPr>
        <w:t xml:space="preserve">widely </w:t>
      </w:r>
      <w:r w:rsidR="00835D0A">
        <w:rPr>
          <w:rFonts w:ascii="Times New Roman" w:hAnsi="Times New Roman" w:cs="Times New Roman"/>
          <w:sz w:val="24"/>
          <w:szCs w:val="24"/>
        </w:rPr>
        <w:t>consulted upon</w:t>
      </w:r>
      <w:r w:rsidR="003D2EC2">
        <w:rPr>
          <w:rFonts w:ascii="Times New Roman" w:hAnsi="Times New Roman" w:cs="Times New Roman"/>
          <w:sz w:val="24"/>
          <w:szCs w:val="24"/>
        </w:rPr>
        <w:t>, alongside the Super Cluster</w:t>
      </w:r>
      <w:r w:rsidR="00933DF3">
        <w:rPr>
          <w:rFonts w:ascii="Times New Roman" w:hAnsi="Times New Roman" w:cs="Times New Roman"/>
          <w:sz w:val="24"/>
          <w:szCs w:val="24"/>
        </w:rPr>
        <w:t xml:space="preserve"> (1)</w:t>
      </w:r>
      <w:r w:rsidR="003D2EC2">
        <w:rPr>
          <w:rFonts w:ascii="Times New Roman" w:hAnsi="Times New Roman" w:cs="Times New Roman"/>
          <w:sz w:val="24"/>
          <w:szCs w:val="24"/>
        </w:rPr>
        <w:t xml:space="preserve">. </w:t>
      </w:r>
      <w:r w:rsidR="00C120F8">
        <w:rPr>
          <w:rFonts w:ascii="Times New Roman" w:hAnsi="Times New Roman" w:cs="Times New Roman"/>
          <w:sz w:val="24"/>
          <w:szCs w:val="24"/>
        </w:rPr>
        <w:t>Continuing clusters wil</w:t>
      </w:r>
      <w:r w:rsidR="00BE4661">
        <w:rPr>
          <w:rFonts w:ascii="Times New Roman" w:hAnsi="Times New Roman" w:cs="Times New Roman"/>
          <w:sz w:val="24"/>
          <w:szCs w:val="24"/>
        </w:rPr>
        <w:t xml:space="preserve">l be </w:t>
      </w:r>
      <w:r w:rsidR="00835D0A">
        <w:rPr>
          <w:rFonts w:ascii="Times New Roman" w:hAnsi="Times New Roman" w:cs="Times New Roman"/>
          <w:sz w:val="24"/>
          <w:szCs w:val="24"/>
        </w:rPr>
        <w:t>review</w:t>
      </w:r>
      <w:r w:rsidR="00BE4661">
        <w:rPr>
          <w:rFonts w:ascii="Times New Roman" w:hAnsi="Times New Roman" w:cs="Times New Roman"/>
          <w:sz w:val="24"/>
          <w:szCs w:val="24"/>
        </w:rPr>
        <w:t xml:space="preserve">ed </w:t>
      </w:r>
      <w:r w:rsidR="00835D0A">
        <w:rPr>
          <w:rFonts w:ascii="Times New Roman" w:hAnsi="Times New Roman" w:cs="Times New Roman"/>
          <w:sz w:val="24"/>
          <w:szCs w:val="24"/>
        </w:rPr>
        <w:t xml:space="preserve">to </w:t>
      </w:r>
      <w:r>
        <w:rPr>
          <w:rFonts w:ascii="Times New Roman" w:hAnsi="Times New Roman" w:cs="Times New Roman"/>
          <w:sz w:val="24"/>
          <w:szCs w:val="24"/>
        </w:rPr>
        <w:t xml:space="preserve">determine </w:t>
      </w:r>
      <w:r w:rsidR="00835D0A">
        <w:rPr>
          <w:rFonts w:ascii="Times New Roman" w:hAnsi="Times New Roman" w:cs="Times New Roman"/>
          <w:sz w:val="24"/>
          <w:szCs w:val="24"/>
        </w:rPr>
        <w:t xml:space="preserve">which </w:t>
      </w:r>
      <w:r w:rsidR="00835D0A" w:rsidRPr="00BE4661">
        <w:rPr>
          <w:rFonts w:ascii="Times New Roman" w:hAnsi="Times New Roman" w:cs="Times New Roman"/>
          <w:i/>
          <w:sz w:val="24"/>
          <w:szCs w:val="24"/>
        </w:rPr>
        <w:t>strategic objective</w:t>
      </w:r>
      <w:r w:rsidR="00BE4661">
        <w:rPr>
          <w:rFonts w:ascii="Times New Roman" w:hAnsi="Times New Roman" w:cs="Times New Roman"/>
          <w:i/>
          <w:sz w:val="24"/>
          <w:szCs w:val="24"/>
        </w:rPr>
        <w:t>s</w:t>
      </w:r>
      <w:r w:rsidR="00386AB6">
        <w:rPr>
          <w:rFonts w:ascii="Times New Roman" w:hAnsi="Times New Roman" w:cs="Times New Roman"/>
          <w:sz w:val="24"/>
          <w:szCs w:val="24"/>
        </w:rPr>
        <w:t xml:space="preserve"> to retain, tweak</w:t>
      </w:r>
      <w:r w:rsidR="00BE4661">
        <w:rPr>
          <w:rFonts w:ascii="Times New Roman" w:hAnsi="Times New Roman" w:cs="Times New Roman"/>
          <w:sz w:val="24"/>
          <w:szCs w:val="24"/>
        </w:rPr>
        <w:t>/modif</w:t>
      </w:r>
      <w:r w:rsidR="00386AB6">
        <w:rPr>
          <w:rFonts w:ascii="Times New Roman" w:hAnsi="Times New Roman" w:cs="Times New Roman"/>
          <w:sz w:val="24"/>
          <w:szCs w:val="24"/>
        </w:rPr>
        <w:t>y or change</w:t>
      </w:r>
      <w:r w:rsidR="00BE4661">
        <w:rPr>
          <w:rFonts w:ascii="Times New Roman" w:hAnsi="Times New Roman" w:cs="Times New Roman"/>
          <w:sz w:val="24"/>
          <w:szCs w:val="24"/>
        </w:rPr>
        <w:t xml:space="preserve">. </w:t>
      </w:r>
      <w:r w:rsidR="00BE4661" w:rsidRPr="00BE4661">
        <w:rPr>
          <w:rFonts w:ascii="Times New Roman" w:hAnsi="Times New Roman" w:cs="Times New Roman"/>
          <w:i/>
          <w:sz w:val="24"/>
          <w:szCs w:val="24"/>
        </w:rPr>
        <w:t>Targets and key policy actions</w:t>
      </w:r>
      <w:r w:rsidR="00BE4661">
        <w:rPr>
          <w:rFonts w:ascii="Times New Roman" w:hAnsi="Times New Roman" w:cs="Times New Roman"/>
          <w:sz w:val="24"/>
          <w:szCs w:val="24"/>
        </w:rPr>
        <w:t xml:space="preserve"> will be redefined in the process to inform </w:t>
      </w:r>
      <w:r w:rsidR="00386AB6">
        <w:rPr>
          <w:rFonts w:ascii="Times New Roman" w:hAnsi="Times New Roman" w:cs="Times New Roman"/>
          <w:sz w:val="24"/>
          <w:szCs w:val="24"/>
        </w:rPr>
        <w:t xml:space="preserve">the </w:t>
      </w:r>
      <w:r w:rsidR="00BE4661">
        <w:rPr>
          <w:rFonts w:ascii="Times New Roman" w:hAnsi="Times New Roman" w:cs="Times New Roman"/>
          <w:sz w:val="24"/>
          <w:szCs w:val="24"/>
        </w:rPr>
        <w:t xml:space="preserve">review of </w:t>
      </w:r>
      <w:r w:rsidR="00BE4661" w:rsidRPr="00BE4661">
        <w:rPr>
          <w:rFonts w:ascii="Times New Roman" w:hAnsi="Times New Roman" w:cs="Times New Roman"/>
          <w:i/>
          <w:sz w:val="24"/>
          <w:szCs w:val="24"/>
        </w:rPr>
        <w:t>projects and programmes</w:t>
      </w:r>
      <w:r w:rsidR="00CF606D">
        <w:rPr>
          <w:rFonts w:ascii="Times New Roman" w:hAnsi="Times New Roman" w:cs="Times New Roman"/>
          <w:sz w:val="24"/>
          <w:szCs w:val="24"/>
        </w:rPr>
        <w:t>;</w:t>
      </w:r>
      <w:r w:rsidR="00BE4661">
        <w:rPr>
          <w:rFonts w:ascii="Times New Roman" w:hAnsi="Times New Roman" w:cs="Times New Roman"/>
          <w:sz w:val="24"/>
          <w:szCs w:val="24"/>
        </w:rPr>
        <w:t xml:space="preserve"> dropping those not </w:t>
      </w:r>
      <w:r w:rsidR="00386AB6">
        <w:rPr>
          <w:rFonts w:ascii="Times New Roman" w:hAnsi="Times New Roman" w:cs="Times New Roman"/>
          <w:sz w:val="24"/>
          <w:szCs w:val="24"/>
        </w:rPr>
        <w:t xml:space="preserve">required </w:t>
      </w:r>
      <w:r w:rsidR="00CF606D">
        <w:rPr>
          <w:rFonts w:ascii="Times New Roman" w:hAnsi="Times New Roman" w:cs="Times New Roman"/>
          <w:sz w:val="24"/>
          <w:szCs w:val="24"/>
        </w:rPr>
        <w:t>anymore,</w:t>
      </w:r>
      <w:r w:rsidR="00BE4661">
        <w:rPr>
          <w:rFonts w:ascii="Times New Roman" w:hAnsi="Times New Roman" w:cs="Times New Roman"/>
          <w:sz w:val="24"/>
          <w:szCs w:val="24"/>
        </w:rPr>
        <w:t xml:space="preserve"> capturing new ones where necessary.</w:t>
      </w:r>
    </w:p>
    <w:p w14:paraId="3F35C837" w14:textId="74598007" w:rsidR="00AF2A16" w:rsidRPr="00C575AA" w:rsidRDefault="00C120F8"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i/>
          <w:iCs/>
          <w:sz w:val="24"/>
          <w:szCs w:val="24"/>
        </w:rPr>
      </w:pPr>
      <w:r>
        <w:rPr>
          <w:rFonts w:ascii="Times New Roman" w:hAnsi="Times New Roman" w:cs="Times New Roman"/>
          <w:i/>
          <w:iCs/>
          <w:sz w:val="24"/>
          <w:szCs w:val="24"/>
        </w:rPr>
        <w:t xml:space="preserve">We expect to have broader </w:t>
      </w:r>
      <w:r w:rsidR="005F203A">
        <w:rPr>
          <w:rFonts w:ascii="Times New Roman" w:hAnsi="Times New Roman" w:cs="Times New Roman"/>
          <w:i/>
          <w:iCs/>
          <w:sz w:val="24"/>
          <w:szCs w:val="24"/>
        </w:rPr>
        <w:t>d</w:t>
      </w:r>
      <w:r w:rsidR="006F2A46" w:rsidRPr="00C575AA">
        <w:rPr>
          <w:rFonts w:ascii="Times New Roman" w:hAnsi="Times New Roman" w:cs="Times New Roman"/>
          <w:i/>
          <w:iCs/>
          <w:sz w:val="24"/>
          <w:szCs w:val="24"/>
        </w:rPr>
        <w:t>istrict level engagements</w:t>
      </w:r>
      <w:r w:rsidR="005F203A">
        <w:rPr>
          <w:rFonts w:ascii="Times New Roman" w:hAnsi="Times New Roman" w:cs="Times New Roman"/>
          <w:i/>
          <w:iCs/>
          <w:sz w:val="24"/>
          <w:szCs w:val="24"/>
        </w:rPr>
        <w:t xml:space="preserve"> than before; </w:t>
      </w:r>
      <w:r w:rsidR="007E00DC">
        <w:rPr>
          <w:rFonts w:ascii="Times New Roman" w:hAnsi="Times New Roman" w:cs="Times New Roman"/>
          <w:i/>
          <w:iCs/>
          <w:sz w:val="24"/>
          <w:szCs w:val="24"/>
        </w:rPr>
        <w:t xml:space="preserve">involving </w:t>
      </w:r>
      <w:r w:rsidR="006F2A46" w:rsidRPr="00C575AA">
        <w:rPr>
          <w:rFonts w:ascii="Times New Roman" w:hAnsi="Times New Roman" w:cs="Times New Roman"/>
          <w:i/>
          <w:iCs/>
          <w:sz w:val="24"/>
          <w:szCs w:val="24"/>
        </w:rPr>
        <w:t xml:space="preserve">the participation of </w:t>
      </w:r>
      <w:r w:rsidR="00C575AA" w:rsidRPr="00C575AA">
        <w:rPr>
          <w:rFonts w:ascii="Times New Roman" w:hAnsi="Times New Roman" w:cs="Times New Roman"/>
          <w:i/>
          <w:iCs/>
          <w:sz w:val="24"/>
          <w:szCs w:val="24"/>
        </w:rPr>
        <w:t xml:space="preserve">all relevant chiefdom actors than </w:t>
      </w:r>
      <w:r w:rsidR="00A322C0">
        <w:rPr>
          <w:rFonts w:ascii="Times New Roman" w:hAnsi="Times New Roman" w:cs="Times New Roman"/>
          <w:i/>
          <w:iCs/>
          <w:sz w:val="24"/>
          <w:szCs w:val="24"/>
        </w:rPr>
        <w:t xml:space="preserve">a </w:t>
      </w:r>
      <w:r w:rsidR="00C575AA" w:rsidRPr="00C575AA">
        <w:rPr>
          <w:rFonts w:ascii="Times New Roman" w:hAnsi="Times New Roman" w:cs="Times New Roman"/>
          <w:i/>
          <w:iCs/>
          <w:sz w:val="24"/>
          <w:szCs w:val="24"/>
        </w:rPr>
        <w:t xml:space="preserve">selected/representative few. This is in tune with the requirement </w:t>
      </w:r>
      <w:r w:rsidR="007E00DC">
        <w:rPr>
          <w:rFonts w:ascii="Times New Roman" w:hAnsi="Times New Roman" w:cs="Times New Roman"/>
          <w:i/>
          <w:iCs/>
          <w:sz w:val="24"/>
          <w:szCs w:val="24"/>
        </w:rPr>
        <w:t xml:space="preserve">of </w:t>
      </w:r>
      <w:r w:rsidR="00C575AA" w:rsidRPr="00C575AA">
        <w:rPr>
          <w:rFonts w:ascii="Times New Roman" w:hAnsi="Times New Roman" w:cs="Times New Roman"/>
          <w:i/>
          <w:iCs/>
          <w:sz w:val="24"/>
          <w:szCs w:val="24"/>
        </w:rPr>
        <w:t xml:space="preserve">the </w:t>
      </w:r>
      <w:r w:rsidR="007E00DC">
        <w:rPr>
          <w:rFonts w:ascii="Times New Roman" w:hAnsi="Times New Roman" w:cs="Times New Roman"/>
          <w:i/>
          <w:iCs/>
          <w:sz w:val="24"/>
          <w:szCs w:val="24"/>
        </w:rPr>
        <w:t xml:space="preserve">government’s </w:t>
      </w:r>
      <w:r w:rsidR="00C575AA" w:rsidRPr="00C575AA">
        <w:rPr>
          <w:rFonts w:ascii="Times New Roman" w:hAnsi="Times New Roman" w:cs="Times New Roman"/>
          <w:b/>
          <w:bCs/>
          <w:i/>
          <w:iCs/>
          <w:sz w:val="24"/>
          <w:szCs w:val="24"/>
        </w:rPr>
        <w:t>Wan Fambul Framework</w:t>
      </w:r>
      <w:r w:rsidR="00C575AA" w:rsidRPr="00C575AA">
        <w:rPr>
          <w:rFonts w:ascii="Times New Roman" w:hAnsi="Times New Roman" w:cs="Times New Roman"/>
          <w:i/>
          <w:iCs/>
          <w:sz w:val="24"/>
          <w:szCs w:val="24"/>
        </w:rPr>
        <w:t xml:space="preserve"> as a vehicle for deepening people-centred planning and plan implementation in the next five-year development cycle. </w:t>
      </w:r>
      <w:r w:rsidR="00BE4661" w:rsidRPr="00C575AA">
        <w:rPr>
          <w:rFonts w:ascii="Times New Roman" w:hAnsi="Times New Roman" w:cs="Times New Roman"/>
          <w:i/>
          <w:iCs/>
          <w:sz w:val="24"/>
          <w:szCs w:val="24"/>
        </w:rPr>
        <w:t xml:space="preserve"> </w:t>
      </w:r>
      <w:r w:rsidR="00835D0A" w:rsidRPr="00C575AA">
        <w:rPr>
          <w:rFonts w:ascii="Times New Roman" w:hAnsi="Times New Roman" w:cs="Times New Roman"/>
          <w:i/>
          <w:iCs/>
          <w:sz w:val="24"/>
          <w:szCs w:val="24"/>
        </w:rPr>
        <w:t xml:space="preserve"> </w:t>
      </w:r>
      <w:r w:rsidR="007B70BB" w:rsidRPr="00C575AA">
        <w:rPr>
          <w:rFonts w:ascii="Times New Roman" w:hAnsi="Times New Roman" w:cs="Times New Roman"/>
          <w:i/>
          <w:iCs/>
          <w:sz w:val="24"/>
          <w:szCs w:val="24"/>
        </w:rPr>
        <w:t xml:space="preserve"> </w:t>
      </w:r>
      <w:r w:rsidR="0018590B" w:rsidRPr="00C575AA">
        <w:rPr>
          <w:rFonts w:ascii="Times New Roman" w:hAnsi="Times New Roman" w:cs="Times New Roman"/>
          <w:i/>
          <w:iCs/>
          <w:sz w:val="24"/>
          <w:szCs w:val="24"/>
        </w:rPr>
        <w:t xml:space="preserve"> </w:t>
      </w:r>
    </w:p>
    <w:p w14:paraId="0D4EB0EA" w14:textId="4E29CCFB" w:rsidR="00BE4661" w:rsidRDefault="00DC0FBD"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Finally, the next plan is expected to have a </w:t>
      </w:r>
      <w:r w:rsidR="007E00DC">
        <w:rPr>
          <w:rFonts w:ascii="Times New Roman" w:hAnsi="Times New Roman" w:cs="Times New Roman"/>
          <w:sz w:val="24"/>
          <w:szCs w:val="24"/>
        </w:rPr>
        <w:t xml:space="preserve">highly rationalised </w:t>
      </w:r>
      <w:r>
        <w:rPr>
          <w:rFonts w:ascii="Times New Roman" w:hAnsi="Times New Roman" w:cs="Times New Roman"/>
          <w:sz w:val="24"/>
          <w:szCs w:val="24"/>
        </w:rPr>
        <w:t>Results Framework</w:t>
      </w:r>
      <w:r w:rsidR="007E00DC">
        <w:rPr>
          <w:rFonts w:ascii="Times New Roman" w:hAnsi="Times New Roman" w:cs="Times New Roman"/>
          <w:sz w:val="24"/>
          <w:szCs w:val="24"/>
        </w:rPr>
        <w:t>,</w:t>
      </w:r>
      <w:r>
        <w:rPr>
          <w:rFonts w:ascii="Times New Roman" w:hAnsi="Times New Roman" w:cs="Times New Roman"/>
          <w:sz w:val="24"/>
          <w:szCs w:val="24"/>
        </w:rPr>
        <w:t xml:space="preserve"> contain</w:t>
      </w:r>
      <w:r w:rsidR="007E00DC">
        <w:rPr>
          <w:rFonts w:ascii="Times New Roman" w:hAnsi="Times New Roman" w:cs="Times New Roman"/>
          <w:sz w:val="24"/>
          <w:szCs w:val="24"/>
        </w:rPr>
        <w:t>ing</w:t>
      </w:r>
      <w:r>
        <w:rPr>
          <w:rFonts w:ascii="Times New Roman" w:hAnsi="Times New Roman" w:cs="Times New Roman"/>
          <w:sz w:val="24"/>
          <w:szCs w:val="24"/>
        </w:rPr>
        <w:t xml:space="preserve"> only indicators with baseline and targets to enhance its </w:t>
      </w:r>
      <w:r w:rsidR="00695C84">
        <w:rPr>
          <w:rFonts w:ascii="Times New Roman" w:hAnsi="Times New Roman" w:cs="Times New Roman"/>
          <w:sz w:val="24"/>
          <w:szCs w:val="24"/>
        </w:rPr>
        <w:t>usability</w:t>
      </w:r>
      <w:r>
        <w:rPr>
          <w:rFonts w:ascii="Times New Roman" w:hAnsi="Times New Roman" w:cs="Times New Roman"/>
          <w:sz w:val="24"/>
          <w:szCs w:val="24"/>
        </w:rPr>
        <w:t>.</w:t>
      </w:r>
    </w:p>
    <w:p w14:paraId="1EE5A6B3" w14:textId="77777777" w:rsidR="00DC0FBD" w:rsidRPr="004931A3" w:rsidRDefault="006513F5" w:rsidP="004931A3">
      <w:pPr>
        <w:pStyle w:val="Heading1"/>
        <w:spacing w:before="360" w:after="240" w:line="240" w:lineRule="auto"/>
        <w:jc w:val="center"/>
        <w:rPr>
          <w:b/>
          <w:color w:val="0070C0"/>
        </w:rPr>
      </w:pPr>
      <w:bookmarkStart w:id="19" w:name="_Toc125730008"/>
      <w:r w:rsidRPr="004931A3">
        <w:rPr>
          <w:b/>
          <w:color w:val="0070C0"/>
        </w:rPr>
        <w:t xml:space="preserve">H. </w:t>
      </w:r>
      <w:r w:rsidR="00DC0FBD" w:rsidRPr="004931A3">
        <w:rPr>
          <w:b/>
          <w:color w:val="0070C0"/>
        </w:rPr>
        <w:t>Conclusion</w:t>
      </w:r>
      <w:bookmarkEnd w:id="19"/>
    </w:p>
    <w:p w14:paraId="6B38E283" w14:textId="77777777" w:rsidR="004C73CB" w:rsidRDefault="00DC0FBD"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Once the general elections are over in June 2023, the preparation of the successor plan will start in earnest the</w:t>
      </w:r>
      <w:r w:rsidR="0040383C">
        <w:rPr>
          <w:rFonts w:ascii="Times New Roman" w:hAnsi="Times New Roman" w:cs="Times New Roman"/>
          <w:sz w:val="24"/>
          <w:szCs w:val="24"/>
        </w:rPr>
        <w:t>reafter. This concept note will be adjusted to capture the full agenda of the new government administration for the nex</w:t>
      </w:r>
      <w:r w:rsidR="002A0831">
        <w:rPr>
          <w:rFonts w:ascii="Times New Roman" w:hAnsi="Times New Roman" w:cs="Times New Roman"/>
          <w:sz w:val="24"/>
          <w:szCs w:val="24"/>
        </w:rPr>
        <w:t>t five years, covering 2024-2028</w:t>
      </w:r>
      <w:r w:rsidR="0040383C">
        <w:rPr>
          <w:rFonts w:ascii="Times New Roman" w:hAnsi="Times New Roman" w:cs="Times New Roman"/>
          <w:sz w:val="24"/>
          <w:szCs w:val="24"/>
        </w:rPr>
        <w:t>.</w:t>
      </w:r>
    </w:p>
    <w:p w14:paraId="0056B25B" w14:textId="77777777" w:rsidR="00DC0FBD" w:rsidRPr="005D725D" w:rsidRDefault="004C73CB" w:rsidP="00954315">
      <w:pPr>
        <w:pStyle w:val="ListParagraph"/>
        <w:numPr>
          <w:ilvl w:val="0"/>
          <w:numId w:val="2"/>
        </w:numPr>
        <w:tabs>
          <w:tab w:val="left" w:pos="426"/>
        </w:tabs>
        <w:spacing w:after="120" w:line="24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A clear methodology for nationwide stakeholder consultation</w:t>
      </w:r>
      <w:r w:rsidR="002A0831">
        <w:rPr>
          <w:rFonts w:ascii="Times New Roman" w:hAnsi="Times New Roman" w:cs="Times New Roman"/>
          <w:sz w:val="24"/>
          <w:szCs w:val="24"/>
        </w:rPr>
        <w:t>s</w:t>
      </w:r>
      <w:r>
        <w:rPr>
          <w:rFonts w:ascii="Times New Roman" w:hAnsi="Times New Roman" w:cs="Times New Roman"/>
          <w:sz w:val="24"/>
          <w:szCs w:val="24"/>
        </w:rPr>
        <w:t xml:space="preserve"> on the new plan will then be articulated, including governance of the process. Provision for consulting with Sierra Leoneans in the diaspora will be made in the </w:t>
      </w:r>
      <w:r w:rsidR="00850F91">
        <w:rPr>
          <w:rFonts w:ascii="Times New Roman" w:hAnsi="Times New Roman" w:cs="Times New Roman"/>
          <w:sz w:val="24"/>
          <w:szCs w:val="24"/>
        </w:rPr>
        <w:t>post-election</w:t>
      </w:r>
      <w:r>
        <w:rPr>
          <w:rFonts w:ascii="Times New Roman" w:hAnsi="Times New Roman" w:cs="Times New Roman"/>
          <w:sz w:val="24"/>
          <w:szCs w:val="24"/>
        </w:rPr>
        <w:t xml:space="preserve"> consultation instrument.</w:t>
      </w:r>
      <w:r w:rsidR="0040383C">
        <w:rPr>
          <w:rFonts w:ascii="Times New Roman" w:hAnsi="Times New Roman" w:cs="Times New Roman"/>
          <w:sz w:val="24"/>
          <w:szCs w:val="24"/>
        </w:rPr>
        <w:t xml:space="preserve">  </w:t>
      </w:r>
    </w:p>
    <w:p w14:paraId="1904FCCA" w14:textId="77777777" w:rsidR="00E17768" w:rsidRPr="005D725D" w:rsidRDefault="00E17768" w:rsidP="0083211F">
      <w:pPr>
        <w:tabs>
          <w:tab w:val="left" w:pos="426"/>
        </w:tabs>
        <w:spacing w:after="0" w:line="240" w:lineRule="auto"/>
        <w:jc w:val="both"/>
        <w:rPr>
          <w:rFonts w:ascii="Times New Roman" w:hAnsi="Times New Roman" w:cs="Times New Roman"/>
          <w:sz w:val="24"/>
          <w:szCs w:val="24"/>
        </w:rPr>
      </w:pPr>
      <w:bookmarkStart w:id="20" w:name="_GoBack"/>
      <w:bookmarkEnd w:id="20"/>
    </w:p>
    <w:sectPr w:rsidR="00E17768" w:rsidRPr="005D72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34968" w14:textId="77777777" w:rsidR="00E673C5" w:rsidRDefault="00E673C5" w:rsidP="0002426C">
      <w:pPr>
        <w:spacing w:after="0" w:line="240" w:lineRule="auto"/>
      </w:pPr>
      <w:r>
        <w:separator/>
      </w:r>
    </w:p>
  </w:endnote>
  <w:endnote w:type="continuationSeparator" w:id="0">
    <w:p w14:paraId="2B1B7B99" w14:textId="77777777" w:rsidR="00E673C5" w:rsidRDefault="00E673C5" w:rsidP="0002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3193FD" w14:textId="77777777" w:rsidR="008F0BEB" w:rsidRDefault="008F0BE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824903237"/>
      <w:docPartObj>
        <w:docPartGallery w:val="Page Numbers (Bottom of Page)"/>
        <w:docPartUnique/>
      </w:docPartObj>
    </w:sdtPr>
    <w:sdtEndPr>
      <w:rPr>
        <w:noProof/>
      </w:rPr>
    </w:sdtEndPr>
    <w:sdtContent>
      <w:p w14:paraId="21C3D329" w14:textId="77777777" w:rsidR="0002426C" w:rsidRDefault="0002426C">
        <w:pPr>
          <w:pStyle w:val="Footer"/>
          <w:jc w:val="center"/>
        </w:pPr>
        <w:r>
          <w:fldChar w:fldCharType="begin"/>
        </w:r>
        <w:r>
          <w:instrText xml:space="preserve"> PAGE   \* MERGEFORMAT </w:instrText>
        </w:r>
        <w:r>
          <w:fldChar w:fldCharType="separate"/>
        </w:r>
        <w:r w:rsidR="00400627">
          <w:rPr>
            <w:noProof/>
          </w:rPr>
          <w:t>1</w:t>
        </w:r>
        <w:r>
          <w:rPr>
            <w:noProof/>
          </w:rPr>
          <w:fldChar w:fldCharType="end"/>
        </w:r>
      </w:p>
    </w:sdtContent>
  </w:sdt>
  <w:p w14:paraId="70888D74" w14:textId="77777777" w:rsidR="0002426C" w:rsidRDefault="000242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0E8169" w14:textId="77777777" w:rsidR="008F0BEB" w:rsidRDefault="008F0B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8DDD8" w14:textId="77777777" w:rsidR="00E673C5" w:rsidRDefault="00E673C5" w:rsidP="0002426C">
      <w:pPr>
        <w:spacing w:after="0" w:line="240" w:lineRule="auto"/>
      </w:pPr>
      <w:r>
        <w:separator/>
      </w:r>
    </w:p>
  </w:footnote>
  <w:footnote w:type="continuationSeparator" w:id="0">
    <w:p w14:paraId="02C64D48" w14:textId="77777777" w:rsidR="00E673C5" w:rsidRDefault="00E673C5" w:rsidP="0002426C">
      <w:pPr>
        <w:spacing w:after="0" w:line="240" w:lineRule="auto"/>
      </w:pPr>
      <w:r>
        <w:continuationSeparator/>
      </w:r>
    </w:p>
  </w:footnote>
  <w:footnote w:id="1">
    <w:p w14:paraId="4659518F" w14:textId="77777777" w:rsidR="00D44888" w:rsidRDefault="00D44888" w:rsidP="00D44888">
      <w:pPr>
        <w:pStyle w:val="FootnoteText"/>
      </w:pPr>
      <w:r>
        <w:rPr>
          <w:rStyle w:val="FootnoteReference"/>
        </w:rPr>
        <w:footnoteRef/>
      </w:r>
      <w:r>
        <w:t xml:space="preserve"> See Page 6 of the Statement of Economic and Financial Policies of the GoSL for 2023 Fiscal Year; obtainable from the Ministry of Finance, Freetown.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1D95F1" w14:textId="77777777" w:rsidR="008F0BEB" w:rsidRDefault="00400627">
    <w:pPr>
      <w:pStyle w:val="Header"/>
    </w:pPr>
    <w:r>
      <w:rPr>
        <w:noProof/>
      </w:rPr>
      <w:pict w14:anchorId="4B40748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131454" o:spid="_x0000_s1026" type="#_x0000_t136" style="position:absolute;margin-left:0;margin-top:0;width:439.9pt;height:219.95pt;rotation:315;z-index:-251655168;mso-position-horizontal:center;mso-position-horizontal-relative:margin;mso-position-vertical:center;mso-position-vertical-relative:margin" o:allowincell="f" fillcolor="#cfcdcd [2894]"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5CC863" w14:textId="77777777" w:rsidR="008F0BEB" w:rsidRDefault="00400627">
    <w:pPr>
      <w:pStyle w:val="Header"/>
    </w:pPr>
    <w:r>
      <w:rPr>
        <w:noProof/>
      </w:rPr>
      <w:pict w14:anchorId="02C4497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131455" o:spid="_x0000_s1027" type="#_x0000_t136" style="position:absolute;margin-left:0;margin-top:0;width:439.9pt;height:219.95pt;rotation:315;z-index:-251653120;mso-position-horizontal:center;mso-position-horizontal-relative:margin;mso-position-vertical:center;mso-position-vertical-relative:margin" o:allowincell="f" fillcolor="#cfcdcd [2894]"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A0750F" w14:textId="77777777" w:rsidR="008F0BEB" w:rsidRDefault="00400627">
    <w:pPr>
      <w:pStyle w:val="Header"/>
    </w:pPr>
    <w:r>
      <w:rPr>
        <w:noProof/>
      </w:rPr>
      <w:pict w14:anchorId="3F43714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131453" o:spid="_x0000_s1025" type="#_x0000_t136" style="position:absolute;margin-left:0;margin-top:0;width:439.9pt;height:219.95pt;rotation:315;z-index:-251657216;mso-position-horizontal:center;mso-position-horizontal-relative:margin;mso-position-vertical:center;mso-position-vertical-relative:margin" o:allowincell="f" fillcolor="#cfcdcd [2894]"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6178A"/>
    <w:multiLevelType w:val="hybridMultilevel"/>
    <w:tmpl w:val="A0D45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202C5"/>
    <w:multiLevelType w:val="hybridMultilevel"/>
    <w:tmpl w:val="DB303F96"/>
    <w:lvl w:ilvl="0" w:tplc="0409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0C46A57"/>
    <w:multiLevelType w:val="hybridMultilevel"/>
    <w:tmpl w:val="97F639E2"/>
    <w:lvl w:ilvl="0" w:tplc="F1F04382">
      <w:start w:val="6"/>
      <w:numFmt w:val="decimal"/>
      <w:lvlText w:val="%1."/>
      <w:lvlJc w:val="left"/>
      <w:pPr>
        <w:tabs>
          <w:tab w:val="num" w:pos="720"/>
        </w:tabs>
        <w:ind w:left="720" w:hanging="360"/>
      </w:pPr>
    </w:lvl>
    <w:lvl w:ilvl="1" w:tplc="29D061BC" w:tentative="1">
      <w:start w:val="1"/>
      <w:numFmt w:val="decimal"/>
      <w:lvlText w:val="%2."/>
      <w:lvlJc w:val="left"/>
      <w:pPr>
        <w:tabs>
          <w:tab w:val="num" w:pos="1440"/>
        </w:tabs>
        <w:ind w:left="1440" w:hanging="360"/>
      </w:pPr>
    </w:lvl>
    <w:lvl w:ilvl="2" w:tplc="BD2829F0" w:tentative="1">
      <w:start w:val="1"/>
      <w:numFmt w:val="decimal"/>
      <w:lvlText w:val="%3."/>
      <w:lvlJc w:val="left"/>
      <w:pPr>
        <w:tabs>
          <w:tab w:val="num" w:pos="2160"/>
        </w:tabs>
        <w:ind w:left="2160" w:hanging="360"/>
      </w:pPr>
    </w:lvl>
    <w:lvl w:ilvl="3" w:tplc="2B9EB232" w:tentative="1">
      <w:start w:val="1"/>
      <w:numFmt w:val="decimal"/>
      <w:lvlText w:val="%4."/>
      <w:lvlJc w:val="left"/>
      <w:pPr>
        <w:tabs>
          <w:tab w:val="num" w:pos="2880"/>
        </w:tabs>
        <w:ind w:left="2880" w:hanging="360"/>
      </w:pPr>
    </w:lvl>
    <w:lvl w:ilvl="4" w:tplc="C6D443F6" w:tentative="1">
      <w:start w:val="1"/>
      <w:numFmt w:val="decimal"/>
      <w:lvlText w:val="%5."/>
      <w:lvlJc w:val="left"/>
      <w:pPr>
        <w:tabs>
          <w:tab w:val="num" w:pos="3600"/>
        </w:tabs>
        <w:ind w:left="3600" w:hanging="360"/>
      </w:pPr>
    </w:lvl>
    <w:lvl w:ilvl="5" w:tplc="BEB01FF8" w:tentative="1">
      <w:start w:val="1"/>
      <w:numFmt w:val="decimal"/>
      <w:lvlText w:val="%6."/>
      <w:lvlJc w:val="left"/>
      <w:pPr>
        <w:tabs>
          <w:tab w:val="num" w:pos="4320"/>
        </w:tabs>
        <w:ind w:left="4320" w:hanging="360"/>
      </w:pPr>
    </w:lvl>
    <w:lvl w:ilvl="6" w:tplc="C310F092" w:tentative="1">
      <w:start w:val="1"/>
      <w:numFmt w:val="decimal"/>
      <w:lvlText w:val="%7."/>
      <w:lvlJc w:val="left"/>
      <w:pPr>
        <w:tabs>
          <w:tab w:val="num" w:pos="5040"/>
        </w:tabs>
        <w:ind w:left="5040" w:hanging="360"/>
      </w:pPr>
    </w:lvl>
    <w:lvl w:ilvl="7" w:tplc="A34AD12C" w:tentative="1">
      <w:start w:val="1"/>
      <w:numFmt w:val="decimal"/>
      <w:lvlText w:val="%8."/>
      <w:lvlJc w:val="left"/>
      <w:pPr>
        <w:tabs>
          <w:tab w:val="num" w:pos="5760"/>
        </w:tabs>
        <w:ind w:left="5760" w:hanging="360"/>
      </w:pPr>
    </w:lvl>
    <w:lvl w:ilvl="8" w:tplc="1BE6AAC6" w:tentative="1">
      <w:start w:val="1"/>
      <w:numFmt w:val="decimal"/>
      <w:lvlText w:val="%9."/>
      <w:lvlJc w:val="left"/>
      <w:pPr>
        <w:tabs>
          <w:tab w:val="num" w:pos="6480"/>
        </w:tabs>
        <w:ind w:left="6480" w:hanging="360"/>
      </w:pPr>
    </w:lvl>
  </w:abstractNum>
  <w:abstractNum w:abstractNumId="3">
    <w:nsid w:val="13AB49EF"/>
    <w:multiLevelType w:val="hybridMultilevel"/>
    <w:tmpl w:val="573CFA22"/>
    <w:lvl w:ilvl="0" w:tplc="802A520A">
      <w:start w:val="1"/>
      <w:numFmt w:val="decimal"/>
      <w:lvlText w:val="%1."/>
      <w:lvlJc w:val="left"/>
      <w:pPr>
        <w:tabs>
          <w:tab w:val="num" w:pos="720"/>
        </w:tabs>
        <w:ind w:left="720" w:hanging="360"/>
      </w:pPr>
    </w:lvl>
    <w:lvl w:ilvl="1" w:tplc="A66AD12A">
      <w:start w:val="1"/>
      <w:numFmt w:val="decimal"/>
      <w:lvlText w:val="%2."/>
      <w:lvlJc w:val="left"/>
      <w:pPr>
        <w:tabs>
          <w:tab w:val="num" w:pos="1440"/>
        </w:tabs>
        <w:ind w:left="1440" w:hanging="360"/>
      </w:pPr>
    </w:lvl>
    <w:lvl w:ilvl="2" w:tplc="DCAC37B0" w:tentative="1">
      <w:start w:val="1"/>
      <w:numFmt w:val="decimal"/>
      <w:lvlText w:val="%3."/>
      <w:lvlJc w:val="left"/>
      <w:pPr>
        <w:tabs>
          <w:tab w:val="num" w:pos="2160"/>
        </w:tabs>
        <w:ind w:left="2160" w:hanging="360"/>
      </w:pPr>
    </w:lvl>
    <w:lvl w:ilvl="3" w:tplc="E99A5BD8" w:tentative="1">
      <w:start w:val="1"/>
      <w:numFmt w:val="decimal"/>
      <w:lvlText w:val="%4."/>
      <w:lvlJc w:val="left"/>
      <w:pPr>
        <w:tabs>
          <w:tab w:val="num" w:pos="2880"/>
        </w:tabs>
        <w:ind w:left="2880" w:hanging="360"/>
      </w:pPr>
    </w:lvl>
    <w:lvl w:ilvl="4" w:tplc="05F4D638" w:tentative="1">
      <w:start w:val="1"/>
      <w:numFmt w:val="decimal"/>
      <w:lvlText w:val="%5."/>
      <w:lvlJc w:val="left"/>
      <w:pPr>
        <w:tabs>
          <w:tab w:val="num" w:pos="3600"/>
        </w:tabs>
        <w:ind w:left="3600" w:hanging="360"/>
      </w:pPr>
    </w:lvl>
    <w:lvl w:ilvl="5" w:tplc="B8366302" w:tentative="1">
      <w:start w:val="1"/>
      <w:numFmt w:val="decimal"/>
      <w:lvlText w:val="%6."/>
      <w:lvlJc w:val="left"/>
      <w:pPr>
        <w:tabs>
          <w:tab w:val="num" w:pos="4320"/>
        </w:tabs>
        <w:ind w:left="4320" w:hanging="360"/>
      </w:pPr>
    </w:lvl>
    <w:lvl w:ilvl="6" w:tplc="DF58D426" w:tentative="1">
      <w:start w:val="1"/>
      <w:numFmt w:val="decimal"/>
      <w:lvlText w:val="%7."/>
      <w:lvlJc w:val="left"/>
      <w:pPr>
        <w:tabs>
          <w:tab w:val="num" w:pos="5040"/>
        </w:tabs>
        <w:ind w:left="5040" w:hanging="360"/>
      </w:pPr>
    </w:lvl>
    <w:lvl w:ilvl="7" w:tplc="71D6BD0E" w:tentative="1">
      <w:start w:val="1"/>
      <w:numFmt w:val="decimal"/>
      <w:lvlText w:val="%8."/>
      <w:lvlJc w:val="left"/>
      <w:pPr>
        <w:tabs>
          <w:tab w:val="num" w:pos="5760"/>
        </w:tabs>
        <w:ind w:left="5760" w:hanging="360"/>
      </w:pPr>
    </w:lvl>
    <w:lvl w:ilvl="8" w:tplc="5A723534" w:tentative="1">
      <w:start w:val="1"/>
      <w:numFmt w:val="decimal"/>
      <w:lvlText w:val="%9."/>
      <w:lvlJc w:val="left"/>
      <w:pPr>
        <w:tabs>
          <w:tab w:val="num" w:pos="6480"/>
        </w:tabs>
        <w:ind w:left="6480" w:hanging="360"/>
      </w:pPr>
    </w:lvl>
  </w:abstractNum>
  <w:abstractNum w:abstractNumId="4">
    <w:nsid w:val="2A2C13D8"/>
    <w:multiLevelType w:val="hybridMultilevel"/>
    <w:tmpl w:val="FF063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F01A63"/>
    <w:multiLevelType w:val="hybridMultilevel"/>
    <w:tmpl w:val="0040D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946CD"/>
    <w:multiLevelType w:val="hybridMultilevel"/>
    <w:tmpl w:val="B5A89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41BAE"/>
    <w:multiLevelType w:val="hybridMultilevel"/>
    <w:tmpl w:val="4FC0DE08"/>
    <w:lvl w:ilvl="0" w:tplc="8F02C81E">
      <w:start w:val="1"/>
      <w:numFmt w:val="decimal"/>
      <w:lvlText w:val="%1."/>
      <w:lvlJc w:val="left"/>
      <w:pPr>
        <w:tabs>
          <w:tab w:val="num" w:pos="720"/>
        </w:tabs>
        <w:ind w:left="720" w:hanging="360"/>
      </w:pPr>
    </w:lvl>
    <w:lvl w:ilvl="1" w:tplc="9ABA7FC6">
      <w:start w:val="1"/>
      <w:numFmt w:val="decimal"/>
      <w:lvlText w:val="%2."/>
      <w:lvlJc w:val="left"/>
      <w:pPr>
        <w:tabs>
          <w:tab w:val="num" w:pos="1440"/>
        </w:tabs>
        <w:ind w:left="1440" w:hanging="360"/>
      </w:pPr>
    </w:lvl>
    <w:lvl w:ilvl="2" w:tplc="3A82F7C8" w:tentative="1">
      <w:start w:val="1"/>
      <w:numFmt w:val="decimal"/>
      <w:lvlText w:val="%3."/>
      <w:lvlJc w:val="left"/>
      <w:pPr>
        <w:tabs>
          <w:tab w:val="num" w:pos="2160"/>
        </w:tabs>
        <w:ind w:left="2160" w:hanging="360"/>
      </w:pPr>
    </w:lvl>
    <w:lvl w:ilvl="3" w:tplc="66068902" w:tentative="1">
      <w:start w:val="1"/>
      <w:numFmt w:val="decimal"/>
      <w:lvlText w:val="%4."/>
      <w:lvlJc w:val="left"/>
      <w:pPr>
        <w:tabs>
          <w:tab w:val="num" w:pos="2880"/>
        </w:tabs>
        <w:ind w:left="2880" w:hanging="360"/>
      </w:pPr>
    </w:lvl>
    <w:lvl w:ilvl="4" w:tplc="A1FE2E1C" w:tentative="1">
      <w:start w:val="1"/>
      <w:numFmt w:val="decimal"/>
      <w:lvlText w:val="%5."/>
      <w:lvlJc w:val="left"/>
      <w:pPr>
        <w:tabs>
          <w:tab w:val="num" w:pos="3600"/>
        </w:tabs>
        <w:ind w:left="3600" w:hanging="360"/>
      </w:pPr>
    </w:lvl>
    <w:lvl w:ilvl="5" w:tplc="4E34B5DA" w:tentative="1">
      <w:start w:val="1"/>
      <w:numFmt w:val="decimal"/>
      <w:lvlText w:val="%6."/>
      <w:lvlJc w:val="left"/>
      <w:pPr>
        <w:tabs>
          <w:tab w:val="num" w:pos="4320"/>
        </w:tabs>
        <w:ind w:left="4320" w:hanging="360"/>
      </w:pPr>
    </w:lvl>
    <w:lvl w:ilvl="6" w:tplc="0B9A5910" w:tentative="1">
      <w:start w:val="1"/>
      <w:numFmt w:val="decimal"/>
      <w:lvlText w:val="%7."/>
      <w:lvlJc w:val="left"/>
      <w:pPr>
        <w:tabs>
          <w:tab w:val="num" w:pos="5040"/>
        </w:tabs>
        <w:ind w:left="5040" w:hanging="360"/>
      </w:pPr>
    </w:lvl>
    <w:lvl w:ilvl="7" w:tplc="4BF2079E" w:tentative="1">
      <w:start w:val="1"/>
      <w:numFmt w:val="decimal"/>
      <w:lvlText w:val="%8."/>
      <w:lvlJc w:val="left"/>
      <w:pPr>
        <w:tabs>
          <w:tab w:val="num" w:pos="5760"/>
        </w:tabs>
        <w:ind w:left="5760" w:hanging="360"/>
      </w:pPr>
    </w:lvl>
    <w:lvl w:ilvl="8" w:tplc="B53EA402" w:tentative="1">
      <w:start w:val="1"/>
      <w:numFmt w:val="decimal"/>
      <w:lvlText w:val="%9."/>
      <w:lvlJc w:val="left"/>
      <w:pPr>
        <w:tabs>
          <w:tab w:val="num" w:pos="6480"/>
        </w:tabs>
        <w:ind w:left="6480" w:hanging="360"/>
      </w:pPr>
    </w:lvl>
  </w:abstractNum>
  <w:abstractNum w:abstractNumId="8">
    <w:nsid w:val="4C3003EE"/>
    <w:multiLevelType w:val="hybridMultilevel"/>
    <w:tmpl w:val="171839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4D724B8D"/>
    <w:multiLevelType w:val="hybridMultilevel"/>
    <w:tmpl w:val="69461B6A"/>
    <w:lvl w:ilvl="0" w:tplc="2A2069BE">
      <w:start w:val="1"/>
      <w:numFmt w:val="decimal"/>
      <w:lvlText w:val="%1."/>
      <w:lvlJc w:val="left"/>
      <w:pPr>
        <w:tabs>
          <w:tab w:val="num" w:pos="720"/>
        </w:tabs>
        <w:ind w:left="720" w:hanging="360"/>
      </w:pPr>
    </w:lvl>
    <w:lvl w:ilvl="1" w:tplc="3E42E5AA" w:tentative="1">
      <w:start w:val="1"/>
      <w:numFmt w:val="decimal"/>
      <w:lvlText w:val="%2."/>
      <w:lvlJc w:val="left"/>
      <w:pPr>
        <w:tabs>
          <w:tab w:val="num" w:pos="1440"/>
        </w:tabs>
        <w:ind w:left="1440" w:hanging="360"/>
      </w:pPr>
    </w:lvl>
    <w:lvl w:ilvl="2" w:tplc="25FCA39C" w:tentative="1">
      <w:start w:val="1"/>
      <w:numFmt w:val="decimal"/>
      <w:lvlText w:val="%3."/>
      <w:lvlJc w:val="left"/>
      <w:pPr>
        <w:tabs>
          <w:tab w:val="num" w:pos="2160"/>
        </w:tabs>
        <w:ind w:left="2160" w:hanging="360"/>
      </w:pPr>
    </w:lvl>
    <w:lvl w:ilvl="3" w:tplc="18968AF6" w:tentative="1">
      <w:start w:val="1"/>
      <w:numFmt w:val="decimal"/>
      <w:lvlText w:val="%4."/>
      <w:lvlJc w:val="left"/>
      <w:pPr>
        <w:tabs>
          <w:tab w:val="num" w:pos="2880"/>
        </w:tabs>
        <w:ind w:left="2880" w:hanging="360"/>
      </w:pPr>
    </w:lvl>
    <w:lvl w:ilvl="4" w:tplc="8898928A" w:tentative="1">
      <w:start w:val="1"/>
      <w:numFmt w:val="decimal"/>
      <w:lvlText w:val="%5."/>
      <w:lvlJc w:val="left"/>
      <w:pPr>
        <w:tabs>
          <w:tab w:val="num" w:pos="3600"/>
        </w:tabs>
        <w:ind w:left="3600" w:hanging="360"/>
      </w:pPr>
    </w:lvl>
    <w:lvl w:ilvl="5" w:tplc="44F4BC08" w:tentative="1">
      <w:start w:val="1"/>
      <w:numFmt w:val="decimal"/>
      <w:lvlText w:val="%6."/>
      <w:lvlJc w:val="left"/>
      <w:pPr>
        <w:tabs>
          <w:tab w:val="num" w:pos="4320"/>
        </w:tabs>
        <w:ind w:left="4320" w:hanging="360"/>
      </w:pPr>
    </w:lvl>
    <w:lvl w:ilvl="6" w:tplc="25DCE676" w:tentative="1">
      <w:start w:val="1"/>
      <w:numFmt w:val="decimal"/>
      <w:lvlText w:val="%7."/>
      <w:lvlJc w:val="left"/>
      <w:pPr>
        <w:tabs>
          <w:tab w:val="num" w:pos="5040"/>
        </w:tabs>
        <w:ind w:left="5040" w:hanging="360"/>
      </w:pPr>
    </w:lvl>
    <w:lvl w:ilvl="7" w:tplc="EFE48496" w:tentative="1">
      <w:start w:val="1"/>
      <w:numFmt w:val="decimal"/>
      <w:lvlText w:val="%8."/>
      <w:lvlJc w:val="left"/>
      <w:pPr>
        <w:tabs>
          <w:tab w:val="num" w:pos="5760"/>
        </w:tabs>
        <w:ind w:left="5760" w:hanging="360"/>
      </w:pPr>
    </w:lvl>
    <w:lvl w:ilvl="8" w:tplc="184EB818" w:tentative="1">
      <w:start w:val="1"/>
      <w:numFmt w:val="decimal"/>
      <w:lvlText w:val="%9."/>
      <w:lvlJc w:val="left"/>
      <w:pPr>
        <w:tabs>
          <w:tab w:val="num" w:pos="6480"/>
        </w:tabs>
        <w:ind w:left="6480" w:hanging="360"/>
      </w:pPr>
    </w:lvl>
  </w:abstractNum>
  <w:abstractNum w:abstractNumId="10">
    <w:nsid w:val="5F09303E"/>
    <w:multiLevelType w:val="hybridMultilevel"/>
    <w:tmpl w:val="F120E1F2"/>
    <w:lvl w:ilvl="0" w:tplc="C6E83AC8">
      <w:start w:val="1"/>
      <w:numFmt w:val="decimal"/>
      <w:lvlText w:val="%1."/>
      <w:lvlJc w:val="left"/>
      <w:pPr>
        <w:tabs>
          <w:tab w:val="num" w:pos="720"/>
        </w:tabs>
        <w:ind w:left="720" w:hanging="360"/>
      </w:pPr>
    </w:lvl>
    <w:lvl w:ilvl="1" w:tplc="8418117E" w:tentative="1">
      <w:start w:val="1"/>
      <w:numFmt w:val="decimal"/>
      <w:lvlText w:val="%2."/>
      <w:lvlJc w:val="left"/>
      <w:pPr>
        <w:tabs>
          <w:tab w:val="num" w:pos="1440"/>
        </w:tabs>
        <w:ind w:left="1440" w:hanging="360"/>
      </w:pPr>
    </w:lvl>
    <w:lvl w:ilvl="2" w:tplc="4DA87A3C" w:tentative="1">
      <w:start w:val="1"/>
      <w:numFmt w:val="decimal"/>
      <w:lvlText w:val="%3."/>
      <w:lvlJc w:val="left"/>
      <w:pPr>
        <w:tabs>
          <w:tab w:val="num" w:pos="2160"/>
        </w:tabs>
        <w:ind w:left="2160" w:hanging="360"/>
      </w:pPr>
    </w:lvl>
    <w:lvl w:ilvl="3" w:tplc="E90057A6" w:tentative="1">
      <w:start w:val="1"/>
      <w:numFmt w:val="decimal"/>
      <w:lvlText w:val="%4."/>
      <w:lvlJc w:val="left"/>
      <w:pPr>
        <w:tabs>
          <w:tab w:val="num" w:pos="2880"/>
        </w:tabs>
        <w:ind w:left="2880" w:hanging="360"/>
      </w:pPr>
    </w:lvl>
    <w:lvl w:ilvl="4" w:tplc="E5FCB990" w:tentative="1">
      <w:start w:val="1"/>
      <w:numFmt w:val="decimal"/>
      <w:lvlText w:val="%5."/>
      <w:lvlJc w:val="left"/>
      <w:pPr>
        <w:tabs>
          <w:tab w:val="num" w:pos="3600"/>
        </w:tabs>
        <w:ind w:left="3600" w:hanging="360"/>
      </w:pPr>
    </w:lvl>
    <w:lvl w:ilvl="5" w:tplc="5B6CD6F8" w:tentative="1">
      <w:start w:val="1"/>
      <w:numFmt w:val="decimal"/>
      <w:lvlText w:val="%6."/>
      <w:lvlJc w:val="left"/>
      <w:pPr>
        <w:tabs>
          <w:tab w:val="num" w:pos="4320"/>
        </w:tabs>
        <w:ind w:left="4320" w:hanging="360"/>
      </w:pPr>
    </w:lvl>
    <w:lvl w:ilvl="6" w:tplc="5F30176A" w:tentative="1">
      <w:start w:val="1"/>
      <w:numFmt w:val="decimal"/>
      <w:lvlText w:val="%7."/>
      <w:lvlJc w:val="left"/>
      <w:pPr>
        <w:tabs>
          <w:tab w:val="num" w:pos="5040"/>
        </w:tabs>
        <w:ind w:left="5040" w:hanging="360"/>
      </w:pPr>
    </w:lvl>
    <w:lvl w:ilvl="7" w:tplc="8A845816" w:tentative="1">
      <w:start w:val="1"/>
      <w:numFmt w:val="decimal"/>
      <w:lvlText w:val="%8."/>
      <w:lvlJc w:val="left"/>
      <w:pPr>
        <w:tabs>
          <w:tab w:val="num" w:pos="5760"/>
        </w:tabs>
        <w:ind w:left="5760" w:hanging="360"/>
      </w:pPr>
    </w:lvl>
    <w:lvl w:ilvl="8" w:tplc="CF2C6974" w:tentative="1">
      <w:start w:val="1"/>
      <w:numFmt w:val="decimal"/>
      <w:lvlText w:val="%9."/>
      <w:lvlJc w:val="left"/>
      <w:pPr>
        <w:tabs>
          <w:tab w:val="num" w:pos="6480"/>
        </w:tabs>
        <w:ind w:left="6480" w:hanging="360"/>
      </w:pPr>
    </w:lvl>
  </w:abstractNum>
  <w:abstractNum w:abstractNumId="11">
    <w:nsid w:val="62897635"/>
    <w:multiLevelType w:val="hybridMultilevel"/>
    <w:tmpl w:val="23189900"/>
    <w:lvl w:ilvl="0" w:tplc="3AF4EE14">
      <w:start w:val="1"/>
      <w:numFmt w:val="decimal"/>
      <w:lvlText w:val="%1."/>
      <w:lvlJc w:val="left"/>
      <w:pPr>
        <w:tabs>
          <w:tab w:val="num" w:pos="720"/>
        </w:tabs>
        <w:ind w:left="720" w:hanging="360"/>
      </w:pPr>
    </w:lvl>
    <w:lvl w:ilvl="1" w:tplc="061EECD4" w:tentative="1">
      <w:start w:val="1"/>
      <w:numFmt w:val="decimal"/>
      <w:lvlText w:val="%2."/>
      <w:lvlJc w:val="left"/>
      <w:pPr>
        <w:tabs>
          <w:tab w:val="num" w:pos="1440"/>
        </w:tabs>
        <w:ind w:left="1440" w:hanging="360"/>
      </w:pPr>
    </w:lvl>
    <w:lvl w:ilvl="2" w:tplc="0BE6CB9C" w:tentative="1">
      <w:start w:val="1"/>
      <w:numFmt w:val="decimal"/>
      <w:lvlText w:val="%3."/>
      <w:lvlJc w:val="left"/>
      <w:pPr>
        <w:tabs>
          <w:tab w:val="num" w:pos="2160"/>
        </w:tabs>
        <w:ind w:left="2160" w:hanging="360"/>
      </w:pPr>
    </w:lvl>
    <w:lvl w:ilvl="3" w:tplc="AC7E0860" w:tentative="1">
      <w:start w:val="1"/>
      <w:numFmt w:val="decimal"/>
      <w:lvlText w:val="%4."/>
      <w:lvlJc w:val="left"/>
      <w:pPr>
        <w:tabs>
          <w:tab w:val="num" w:pos="2880"/>
        </w:tabs>
        <w:ind w:left="2880" w:hanging="360"/>
      </w:pPr>
    </w:lvl>
    <w:lvl w:ilvl="4" w:tplc="99747B7E" w:tentative="1">
      <w:start w:val="1"/>
      <w:numFmt w:val="decimal"/>
      <w:lvlText w:val="%5."/>
      <w:lvlJc w:val="left"/>
      <w:pPr>
        <w:tabs>
          <w:tab w:val="num" w:pos="3600"/>
        </w:tabs>
        <w:ind w:left="3600" w:hanging="360"/>
      </w:pPr>
    </w:lvl>
    <w:lvl w:ilvl="5" w:tplc="0E8C54E2" w:tentative="1">
      <w:start w:val="1"/>
      <w:numFmt w:val="decimal"/>
      <w:lvlText w:val="%6."/>
      <w:lvlJc w:val="left"/>
      <w:pPr>
        <w:tabs>
          <w:tab w:val="num" w:pos="4320"/>
        </w:tabs>
        <w:ind w:left="4320" w:hanging="360"/>
      </w:pPr>
    </w:lvl>
    <w:lvl w:ilvl="6" w:tplc="B664D39C" w:tentative="1">
      <w:start w:val="1"/>
      <w:numFmt w:val="decimal"/>
      <w:lvlText w:val="%7."/>
      <w:lvlJc w:val="left"/>
      <w:pPr>
        <w:tabs>
          <w:tab w:val="num" w:pos="5040"/>
        </w:tabs>
        <w:ind w:left="5040" w:hanging="360"/>
      </w:pPr>
    </w:lvl>
    <w:lvl w:ilvl="7" w:tplc="B3FC4E9C" w:tentative="1">
      <w:start w:val="1"/>
      <w:numFmt w:val="decimal"/>
      <w:lvlText w:val="%8."/>
      <w:lvlJc w:val="left"/>
      <w:pPr>
        <w:tabs>
          <w:tab w:val="num" w:pos="5760"/>
        </w:tabs>
        <w:ind w:left="5760" w:hanging="360"/>
      </w:pPr>
    </w:lvl>
    <w:lvl w:ilvl="8" w:tplc="2264C214" w:tentative="1">
      <w:start w:val="1"/>
      <w:numFmt w:val="decimal"/>
      <w:lvlText w:val="%9."/>
      <w:lvlJc w:val="left"/>
      <w:pPr>
        <w:tabs>
          <w:tab w:val="num" w:pos="6480"/>
        </w:tabs>
        <w:ind w:left="6480" w:hanging="360"/>
      </w:pPr>
    </w:lvl>
  </w:abstractNum>
  <w:abstractNum w:abstractNumId="12">
    <w:nsid w:val="68D33FC8"/>
    <w:multiLevelType w:val="hybridMultilevel"/>
    <w:tmpl w:val="18C6B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0"/>
  </w:num>
  <w:num w:numId="6">
    <w:abstractNumId w:val="4"/>
  </w:num>
  <w:num w:numId="7">
    <w:abstractNumId w:val="7"/>
  </w:num>
  <w:num w:numId="8">
    <w:abstractNumId w:val="3"/>
  </w:num>
  <w:num w:numId="9">
    <w:abstractNumId w:val="9"/>
  </w:num>
  <w:num w:numId="10">
    <w:abstractNumId w:val="2"/>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F2F"/>
    <w:rsid w:val="00007E27"/>
    <w:rsid w:val="00015816"/>
    <w:rsid w:val="000200D4"/>
    <w:rsid w:val="0002012F"/>
    <w:rsid w:val="0002426C"/>
    <w:rsid w:val="0003664C"/>
    <w:rsid w:val="00056ACF"/>
    <w:rsid w:val="00061612"/>
    <w:rsid w:val="00064927"/>
    <w:rsid w:val="000663DA"/>
    <w:rsid w:val="0007264A"/>
    <w:rsid w:val="000730F4"/>
    <w:rsid w:val="00084AFE"/>
    <w:rsid w:val="00086D95"/>
    <w:rsid w:val="00095E61"/>
    <w:rsid w:val="00096F73"/>
    <w:rsid w:val="00097A6A"/>
    <w:rsid w:val="000A1C9E"/>
    <w:rsid w:val="000A62C7"/>
    <w:rsid w:val="000B1047"/>
    <w:rsid w:val="000B28DF"/>
    <w:rsid w:val="000C304E"/>
    <w:rsid w:val="000C44B2"/>
    <w:rsid w:val="000C61BA"/>
    <w:rsid w:val="000D649A"/>
    <w:rsid w:val="000F5D99"/>
    <w:rsid w:val="00101613"/>
    <w:rsid w:val="00103BE2"/>
    <w:rsid w:val="00111775"/>
    <w:rsid w:val="00113490"/>
    <w:rsid w:val="00116A7D"/>
    <w:rsid w:val="00121DDF"/>
    <w:rsid w:val="001245DD"/>
    <w:rsid w:val="001432D1"/>
    <w:rsid w:val="001465FE"/>
    <w:rsid w:val="00160757"/>
    <w:rsid w:val="00162F25"/>
    <w:rsid w:val="00165546"/>
    <w:rsid w:val="00182705"/>
    <w:rsid w:val="0018590B"/>
    <w:rsid w:val="00191EE0"/>
    <w:rsid w:val="00195587"/>
    <w:rsid w:val="001A1CEC"/>
    <w:rsid w:val="001A2E2E"/>
    <w:rsid w:val="001A7F96"/>
    <w:rsid w:val="001B029D"/>
    <w:rsid w:val="001C5C12"/>
    <w:rsid w:val="001D2AAD"/>
    <w:rsid w:val="001E4730"/>
    <w:rsid w:val="00207784"/>
    <w:rsid w:val="00217BA9"/>
    <w:rsid w:val="00221753"/>
    <w:rsid w:val="00227D97"/>
    <w:rsid w:val="00240523"/>
    <w:rsid w:val="00243D24"/>
    <w:rsid w:val="00244F6E"/>
    <w:rsid w:val="00253643"/>
    <w:rsid w:val="002637BD"/>
    <w:rsid w:val="0026799D"/>
    <w:rsid w:val="00270ED0"/>
    <w:rsid w:val="00272E20"/>
    <w:rsid w:val="00277816"/>
    <w:rsid w:val="00283EE1"/>
    <w:rsid w:val="00293B30"/>
    <w:rsid w:val="00294891"/>
    <w:rsid w:val="002A0831"/>
    <w:rsid w:val="002A5008"/>
    <w:rsid w:val="002B05B1"/>
    <w:rsid w:val="002D52BC"/>
    <w:rsid w:val="002E0C37"/>
    <w:rsid w:val="002E7606"/>
    <w:rsid w:val="002F52A8"/>
    <w:rsid w:val="00300EE2"/>
    <w:rsid w:val="00302961"/>
    <w:rsid w:val="00322CF1"/>
    <w:rsid w:val="00331A9D"/>
    <w:rsid w:val="00334900"/>
    <w:rsid w:val="00335E39"/>
    <w:rsid w:val="0035537B"/>
    <w:rsid w:val="00356E69"/>
    <w:rsid w:val="00361E85"/>
    <w:rsid w:val="00365445"/>
    <w:rsid w:val="00370FF0"/>
    <w:rsid w:val="0037190A"/>
    <w:rsid w:val="00375698"/>
    <w:rsid w:val="00381F6A"/>
    <w:rsid w:val="00386AB6"/>
    <w:rsid w:val="00392A2B"/>
    <w:rsid w:val="0039400F"/>
    <w:rsid w:val="00394F2C"/>
    <w:rsid w:val="003A3822"/>
    <w:rsid w:val="003B0118"/>
    <w:rsid w:val="003B549B"/>
    <w:rsid w:val="003C3463"/>
    <w:rsid w:val="003C40A2"/>
    <w:rsid w:val="003D23F8"/>
    <w:rsid w:val="003D2AFC"/>
    <w:rsid w:val="003D2EC2"/>
    <w:rsid w:val="003D78B6"/>
    <w:rsid w:val="003E21D6"/>
    <w:rsid w:val="003F6A6E"/>
    <w:rsid w:val="00400627"/>
    <w:rsid w:val="0040383C"/>
    <w:rsid w:val="004053FB"/>
    <w:rsid w:val="00407400"/>
    <w:rsid w:val="00407B28"/>
    <w:rsid w:val="004203B6"/>
    <w:rsid w:val="00431872"/>
    <w:rsid w:val="00443468"/>
    <w:rsid w:val="0044671D"/>
    <w:rsid w:val="00456A6F"/>
    <w:rsid w:val="00464E9D"/>
    <w:rsid w:val="0047613E"/>
    <w:rsid w:val="0048149C"/>
    <w:rsid w:val="004931A3"/>
    <w:rsid w:val="0049500E"/>
    <w:rsid w:val="0049502A"/>
    <w:rsid w:val="004A566C"/>
    <w:rsid w:val="004B3559"/>
    <w:rsid w:val="004C1AFD"/>
    <w:rsid w:val="004C2CD7"/>
    <w:rsid w:val="004C73CB"/>
    <w:rsid w:val="004D0F2F"/>
    <w:rsid w:val="004D2158"/>
    <w:rsid w:val="004D480B"/>
    <w:rsid w:val="004E0EAD"/>
    <w:rsid w:val="004F03AD"/>
    <w:rsid w:val="004F4071"/>
    <w:rsid w:val="0050466A"/>
    <w:rsid w:val="00513B85"/>
    <w:rsid w:val="0051458D"/>
    <w:rsid w:val="0051675B"/>
    <w:rsid w:val="00517BE3"/>
    <w:rsid w:val="0052688C"/>
    <w:rsid w:val="00526B84"/>
    <w:rsid w:val="00534459"/>
    <w:rsid w:val="00535274"/>
    <w:rsid w:val="00545114"/>
    <w:rsid w:val="0056626A"/>
    <w:rsid w:val="00571481"/>
    <w:rsid w:val="00581E30"/>
    <w:rsid w:val="005832DB"/>
    <w:rsid w:val="00585F2F"/>
    <w:rsid w:val="00585FF0"/>
    <w:rsid w:val="00587F0F"/>
    <w:rsid w:val="00590206"/>
    <w:rsid w:val="005A0E71"/>
    <w:rsid w:val="005A544A"/>
    <w:rsid w:val="005B12D6"/>
    <w:rsid w:val="005B2CF1"/>
    <w:rsid w:val="005B2FDC"/>
    <w:rsid w:val="005B3DFE"/>
    <w:rsid w:val="005B611F"/>
    <w:rsid w:val="005B757E"/>
    <w:rsid w:val="005C72C5"/>
    <w:rsid w:val="005D0064"/>
    <w:rsid w:val="005D2E46"/>
    <w:rsid w:val="005D725D"/>
    <w:rsid w:val="005F203A"/>
    <w:rsid w:val="005F5B7B"/>
    <w:rsid w:val="00602005"/>
    <w:rsid w:val="00602122"/>
    <w:rsid w:val="0061147B"/>
    <w:rsid w:val="006147FD"/>
    <w:rsid w:val="006228CE"/>
    <w:rsid w:val="006438D5"/>
    <w:rsid w:val="00644E31"/>
    <w:rsid w:val="006513F5"/>
    <w:rsid w:val="00655A40"/>
    <w:rsid w:val="0066083D"/>
    <w:rsid w:val="006742A8"/>
    <w:rsid w:val="00674322"/>
    <w:rsid w:val="0067435E"/>
    <w:rsid w:val="006748A2"/>
    <w:rsid w:val="006829DA"/>
    <w:rsid w:val="00695C84"/>
    <w:rsid w:val="006A2D6B"/>
    <w:rsid w:val="006A2DF5"/>
    <w:rsid w:val="006A45D4"/>
    <w:rsid w:val="006A486C"/>
    <w:rsid w:val="006B77B9"/>
    <w:rsid w:val="006D55F8"/>
    <w:rsid w:val="006E7AE6"/>
    <w:rsid w:val="006F2A46"/>
    <w:rsid w:val="006F5927"/>
    <w:rsid w:val="00705ABE"/>
    <w:rsid w:val="00706C4F"/>
    <w:rsid w:val="0071323D"/>
    <w:rsid w:val="00727D3F"/>
    <w:rsid w:val="00730BCE"/>
    <w:rsid w:val="00734C6B"/>
    <w:rsid w:val="00744FC7"/>
    <w:rsid w:val="00747821"/>
    <w:rsid w:val="0075093C"/>
    <w:rsid w:val="0075455B"/>
    <w:rsid w:val="00755C15"/>
    <w:rsid w:val="0076444A"/>
    <w:rsid w:val="00770DCA"/>
    <w:rsid w:val="007760DD"/>
    <w:rsid w:val="00783378"/>
    <w:rsid w:val="007841B0"/>
    <w:rsid w:val="0078494F"/>
    <w:rsid w:val="0078591B"/>
    <w:rsid w:val="007A523A"/>
    <w:rsid w:val="007A5C66"/>
    <w:rsid w:val="007B03C2"/>
    <w:rsid w:val="007B1BF5"/>
    <w:rsid w:val="007B30A7"/>
    <w:rsid w:val="007B70BB"/>
    <w:rsid w:val="007B7CA5"/>
    <w:rsid w:val="007C2CC5"/>
    <w:rsid w:val="007C733E"/>
    <w:rsid w:val="007D25B2"/>
    <w:rsid w:val="007E00DC"/>
    <w:rsid w:val="007E5455"/>
    <w:rsid w:val="007F06B5"/>
    <w:rsid w:val="00802A0D"/>
    <w:rsid w:val="00823A77"/>
    <w:rsid w:val="008262AD"/>
    <w:rsid w:val="0083211F"/>
    <w:rsid w:val="00835D0A"/>
    <w:rsid w:val="00850F91"/>
    <w:rsid w:val="00854CED"/>
    <w:rsid w:val="00857F62"/>
    <w:rsid w:val="00862A6D"/>
    <w:rsid w:val="00886004"/>
    <w:rsid w:val="008970E1"/>
    <w:rsid w:val="008A25BE"/>
    <w:rsid w:val="008A4CAB"/>
    <w:rsid w:val="008B61B9"/>
    <w:rsid w:val="008B78D8"/>
    <w:rsid w:val="008C152B"/>
    <w:rsid w:val="008C433D"/>
    <w:rsid w:val="008D432C"/>
    <w:rsid w:val="008D51CE"/>
    <w:rsid w:val="008D5A2D"/>
    <w:rsid w:val="008E0EC4"/>
    <w:rsid w:val="008E2D0B"/>
    <w:rsid w:val="008F0BEB"/>
    <w:rsid w:val="008F19E2"/>
    <w:rsid w:val="008F637A"/>
    <w:rsid w:val="00907002"/>
    <w:rsid w:val="00910682"/>
    <w:rsid w:val="0091559E"/>
    <w:rsid w:val="0091668B"/>
    <w:rsid w:val="00921E0E"/>
    <w:rsid w:val="009235B9"/>
    <w:rsid w:val="00933172"/>
    <w:rsid w:val="00933DF3"/>
    <w:rsid w:val="009475AB"/>
    <w:rsid w:val="00951432"/>
    <w:rsid w:val="00954315"/>
    <w:rsid w:val="00961EBC"/>
    <w:rsid w:val="00962DEB"/>
    <w:rsid w:val="00981DEA"/>
    <w:rsid w:val="0098201D"/>
    <w:rsid w:val="0098739D"/>
    <w:rsid w:val="0098754B"/>
    <w:rsid w:val="00992DD5"/>
    <w:rsid w:val="00997ED8"/>
    <w:rsid w:val="009A14B4"/>
    <w:rsid w:val="009B148D"/>
    <w:rsid w:val="009B3DAB"/>
    <w:rsid w:val="009C0415"/>
    <w:rsid w:val="009D0BDF"/>
    <w:rsid w:val="009E4C9D"/>
    <w:rsid w:val="009E715D"/>
    <w:rsid w:val="009F6DE7"/>
    <w:rsid w:val="00A01E29"/>
    <w:rsid w:val="00A02D06"/>
    <w:rsid w:val="00A22E11"/>
    <w:rsid w:val="00A30F4D"/>
    <w:rsid w:val="00A322C0"/>
    <w:rsid w:val="00A32F1F"/>
    <w:rsid w:val="00A41E2E"/>
    <w:rsid w:val="00A426EB"/>
    <w:rsid w:val="00A42CA9"/>
    <w:rsid w:val="00A5209B"/>
    <w:rsid w:val="00A5403D"/>
    <w:rsid w:val="00A564CC"/>
    <w:rsid w:val="00A64F48"/>
    <w:rsid w:val="00A70238"/>
    <w:rsid w:val="00A82FFA"/>
    <w:rsid w:val="00A900A8"/>
    <w:rsid w:val="00A95C05"/>
    <w:rsid w:val="00AA0F74"/>
    <w:rsid w:val="00AA3F6D"/>
    <w:rsid w:val="00AA42CA"/>
    <w:rsid w:val="00AB04C2"/>
    <w:rsid w:val="00AE25B1"/>
    <w:rsid w:val="00AE3BCC"/>
    <w:rsid w:val="00AE3F2A"/>
    <w:rsid w:val="00AF2A16"/>
    <w:rsid w:val="00AF583A"/>
    <w:rsid w:val="00B02D86"/>
    <w:rsid w:val="00B15FED"/>
    <w:rsid w:val="00B16F05"/>
    <w:rsid w:val="00B202D4"/>
    <w:rsid w:val="00B213A3"/>
    <w:rsid w:val="00B23F4A"/>
    <w:rsid w:val="00B30047"/>
    <w:rsid w:val="00B34955"/>
    <w:rsid w:val="00B367F1"/>
    <w:rsid w:val="00B3707B"/>
    <w:rsid w:val="00B3730A"/>
    <w:rsid w:val="00B41C1D"/>
    <w:rsid w:val="00B509D8"/>
    <w:rsid w:val="00B63D49"/>
    <w:rsid w:val="00B67BB3"/>
    <w:rsid w:val="00B67F3F"/>
    <w:rsid w:val="00B80B08"/>
    <w:rsid w:val="00B85C88"/>
    <w:rsid w:val="00B87670"/>
    <w:rsid w:val="00B97A45"/>
    <w:rsid w:val="00BA4A50"/>
    <w:rsid w:val="00BA56EE"/>
    <w:rsid w:val="00BC0D8E"/>
    <w:rsid w:val="00BC3380"/>
    <w:rsid w:val="00BC557E"/>
    <w:rsid w:val="00BC6502"/>
    <w:rsid w:val="00BC68BC"/>
    <w:rsid w:val="00BE2672"/>
    <w:rsid w:val="00BE4661"/>
    <w:rsid w:val="00C006CC"/>
    <w:rsid w:val="00C00E0D"/>
    <w:rsid w:val="00C03E7F"/>
    <w:rsid w:val="00C05067"/>
    <w:rsid w:val="00C06EB3"/>
    <w:rsid w:val="00C120F8"/>
    <w:rsid w:val="00C2700C"/>
    <w:rsid w:val="00C468AA"/>
    <w:rsid w:val="00C575AA"/>
    <w:rsid w:val="00C64D65"/>
    <w:rsid w:val="00C65641"/>
    <w:rsid w:val="00C70419"/>
    <w:rsid w:val="00C72B22"/>
    <w:rsid w:val="00C7460E"/>
    <w:rsid w:val="00C77B5F"/>
    <w:rsid w:val="00C814E7"/>
    <w:rsid w:val="00C86C25"/>
    <w:rsid w:val="00C86EB5"/>
    <w:rsid w:val="00CA4A25"/>
    <w:rsid w:val="00CB2552"/>
    <w:rsid w:val="00CC527D"/>
    <w:rsid w:val="00CD6EE6"/>
    <w:rsid w:val="00CE12AF"/>
    <w:rsid w:val="00CF287E"/>
    <w:rsid w:val="00CF606D"/>
    <w:rsid w:val="00D1331E"/>
    <w:rsid w:val="00D166F4"/>
    <w:rsid w:val="00D23DBE"/>
    <w:rsid w:val="00D244F1"/>
    <w:rsid w:val="00D24D63"/>
    <w:rsid w:val="00D268C5"/>
    <w:rsid w:val="00D326FF"/>
    <w:rsid w:val="00D44888"/>
    <w:rsid w:val="00D462D2"/>
    <w:rsid w:val="00D639E4"/>
    <w:rsid w:val="00D65C4E"/>
    <w:rsid w:val="00D70295"/>
    <w:rsid w:val="00D735A0"/>
    <w:rsid w:val="00D75481"/>
    <w:rsid w:val="00D862B8"/>
    <w:rsid w:val="00DA0177"/>
    <w:rsid w:val="00DA2489"/>
    <w:rsid w:val="00DB60A1"/>
    <w:rsid w:val="00DC0FBD"/>
    <w:rsid w:val="00DC1606"/>
    <w:rsid w:val="00DC6826"/>
    <w:rsid w:val="00DE0BCB"/>
    <w:rsid w:val="00DE2E63"/>
    <w:rsid w:val="00DE484B"/>
    <w:rsid w:val="00DE4EFB"/>
    <w:rsid w:val="00DE6C36"/>
    <w:rsid w:val="00DF1BD2"/>
    <w:rsid w:val="00DF256F"/>
    <w:rsid w:val="00DF33C0"/>
    <w:rsid w:val="00DF7013"/>
    <w:rsid w:val="00E0639D"/>
    <w:rsid w:val="00E07200"/>
    <w:rsid w:val="00E07BDC"/>
    <w:rsid w:val="00E119C9"/>
    <w:rsid w:val="00E11E45"/>
    <w:rsid w:val="00E17768"/>
    <w:rsid w:val="00E22D58"/>
    <w:rsid w:val="00E24699"/>
    <w:rsid w:val="00E24F6C"/>
    <w:rsid w:val="00E26778"/>
    <w:rsid w:val="00E340F0"/>
    <w:rsid w:val="00E42689"/>
    <w:rsid w:val="00E4549B"/>
    <w:rsid w:val="00E50C5E"/>
    <w:rsid w:val="00E579E0"/>
    <w:rsid w:val="00E60893"/>
    <w:rsid w:val="00E651B5"/>
    <w:rsid w:val="00E673C5"/>
    <w:rsid w:val="00E67A0C"/>
    <w:rsid w:val="00E744B1"/>
    <w:rsid w:val="00E764FA"/>
    <w:rsid w:val="00E8159E"/>
    <w:rsid w:val="00E83138"/>
    <w:rsid w:val="00EA2860"/>
    <w:rsid w:val="00EA3125"/>
    <w:rsid w:val="00EA40EB"/>
    <w:rsid w:val="00EB4482"/>
    <w:rsid w:val="00EB61F3"/>
    <w:rsid w:val="00ED0E8C"/>
    <w:rsid w:val="00ED3798"/>
    <w:rsid w:val="00ED57CA"/>
    <w:rsid w:val="00EF5500"/>
    <w:rsid w:val="00F058F1"/>
    <w:rsid w:val="00F161CF"/>
    <w:rsid w:val="00F2133C"/>
    <w:rsid w:val="00F23066"/>
    <w:rsid w:val="00F23D5A"/>
    <w:rsid w:val="00F26E6B"/>
    <w:rsid w:val="00F4786E"/>
    <w:rsid w:val="00F5777F"/>
    <w:rsid w:val="00F610A3"/>
    <w:rsid w:val="00F630DB"/>
    <w:rsid w:val="00F77CCC"/>
    <w:rsid w:val="00F84FE8"/>
    <w:rsid w:val="00F97BF5"/>
    <w:rsid w:val="00F97DCB"/>
    <w:rsid w:val="00FA26D9"/>
    <w:rsid w:val="00FA3A53"/>
    <w:rsid w:val="00FA69E1"/>
    <w:rsid w:val="00FB1FE5"/>
    <w:rsid w:val="00FC3954"/>
    <w:rsid w:val="00FC59D2"/>
    <w:rsid w:val="00FD4DEC"/>
    <w:rsid w:val="00FE2821"/>
    <w:rsid w:val="00FE2CD5"/>
    <w:rsid w:val="00FF5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12F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2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List Paragraph1,WB Para,List Square,маркированный,Bullets,Akapit z listą BS,Абзац списка1,Lapis Bulleted List,List 100s,References,WB List Paragraph,Dot pt,F5 List Paragraph,No Spacing1,Indicator Text,L,列出段落"/>
    <w:basedOn w:val="Normal"/>
    <w:link w:val="ListParagraphChar"/>
    <w:uiPriority w:val="34"/>
    <w:qFormat/>
    <w:rsid w:val="008E0EC4"/>
    <w:pPr>
      <w:spacing w:after="200" w:line="276" w:lineRule="auto"/>
      <w:ind w:left="720"/>
      <w:contextualSpacing/>
    </w:pPr>
    <w:rPr>
      <w:lang w:val="en-GB"/>
    </w:rPr>
  </w:style>
  <w:style w:type="paragraph" w:styleId="Header">
    <w:name w:val="header"/>
    <w:basedOn w:val="Normal"/>
    <w:link w:val="HeaderChar"/>
    <w:uiPriority w:val="99"/>
    <w:unhideWhenUsed/>
    <w:rsid w:val="0002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26C"/>
  </w:style>
  <w:style w:type="paragraph" w:styleId="Footer">
    <w:name w:val="footer"/>
    <w:basedOn w:val="Normal"/>
    <w:link w:val="FooterChar"/>
    <w:uiPriority w:val="99"/>
    <w:unhideWhenUsed/>
    <w:rsid w:val="0002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26C"/>
  </w:style>
  <w:style w:type="character" w:customStyle="1" w:styleId="Heading1Char">
    <w:name w:val="Heading 1 Char"/>
    <w:basedOn w:val="DefaultParagraphFont"/>
    <w:link w:val="Heading1"/>
    <w:uiPriority w:val="9"/>
    <w:rsid w:val="008321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211F"/>
    <w:pPr>
      <w:outlineLvl w:val="9"/>
    </w:pPr>
  </w:style>
  <w:style w:type="paragraph" w:styleId="TOC1">
    <w:name w:val="toc 1"/>
    <w:basedOn w:val="Normal"/>
    <w:next w:val="Normal"/>
    <w:autoRedefine/>
    <w:uiPriority w:val="39"/>
    <w:unhideWhenUsed/>
    <w:rsid w:val="0083211F"/>
    <w:pPr>
      <w:spacing w:after="100"/>
    </w:pPr>
  </w:style>
  <w:style w:type="paragraph" w:styleId="TOC2">
    <w:name w:val="toc 2"/>
    <w:basedOn w:val="Normal"/>
    <w:next w:val="Normal"/>
    <w:autoRedefine/>
    <w:uiPriority w:val="39"/>
    <w:unhideWhenUsed/>
    <w:rsid w:val="0083211F"/>
    <w:pPr>
      <w:spacing w:after="100"/>
      <w:ind w:left="220"/>
    </w:pPr>
  </w:style>
  <w:style w:type="character" w:styleId="Hyperlink">
    <w:name w:val="Hyperlink"/>
    <w:basedOn w:val="DefaultParagraphFont"/>
    <w:uiPriority w:val="99"/>
    <w:unhideWhenUsed/>
    <w:rsid w:val="0083211F"/>
    <w:rPr>
      <w:color w:val="0563C1" w:themeColor="hyperlink"/>
      <w:u w:val="single"/>
    </w:rPr>
  </w:style>
  <w:style w:type="paragraph" w:styleId="FootnoteText">
    <w:name w:val="footnote text"/>
    <w:basedOn w:val="Normal"/>
    <w:link w:val="FootnoteTextChar"/>
    <w:uiPriority w:val="99"/>
    <w:semiHidden/>
    <w:unhideWhenUsed/>
    <w:rsid w:val="00DB60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60A1"/>
    <w:rPr>
      <w:sz w:val="20"/>
      <w:szCs w:val="20"/>
    </w:rPr>
  </w:style>
  <w:style w:type="character" w:styleId="FootnoteReference">
    <w:name w:val="footnote reference"/>
    <w:basedOn w:val="DefaultParagraphFont"/>
    <w:uiPriority w:val="99"/>
    <w:semiHidden/>
    <w:unhideWhenUsed/>
    <w:rsid w:val="00DB60A1"/>
    <w:rPr>
      <w:vertAlign w:val="superscript"/>
    </w:rPr>
  </w:style>
  <w:style w:type="character" w:customStyle="1" w:styleId="ListParagraphChar">
    <w:name w:val="List Paragraph Char"/>
    <w:aliases w:val="List Paragraph (numbered (a)) Char,List Paragraph1 Char,WB Para Char,List Square Char,маркированный Char,Bullets Char,Akapit z listą BS Char,Абзац списка1 Char,Lapis Bulleted List Char,List 100s Char,References Char,Dot pt Char"/>
    <w:basedOn w:val="DefaultParagraphFont"/>
    <w:link w:val="ListParagraph"/>
    <w:uiPriority w:val="34"/>
    <w:qFormat/>
    <w:locked/>
    <w:rsid w:val="006A2D6B"/>
    <w:rPr>
      <w:lang w:val="en-GB"/>
    </w:rPr>
  </w:style>
  <w:style w:type="paragraph" w:styleId="BalloonText">
    <w:name w:val="Balloon Text"/>
    <w:basedOn w:val="Normal"/>
    <w:link w:val="BalloonTextChar"/>
    <w:uiPriority w:val="99"/>
    <w:semiHidden/>
    <w:unhideWhenUsed/>
    <w:rsid w:val="009070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700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2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List Paragraph1,WB Para,List Square,маркированный,Bullets,Akapit z listą BS,Абзац списка1,Lapis Bulleted List,List 100s,References,WB List Paragraph,Dot pt,F5 List Paragraph,No Spacing1,Indicator Text,L,列出段落"/>
    <w:basedOn w:val="Normal"/>
    <w:link w:val="ListParagraphChar"/>
    <w:uiPriority w:val="34"/>
    <w:qFormat/>
    <w:rsid w:val="008E0EC4"/>
    <w:pPr>
      <w:spacing w:after="200" w:line="276" w:lineRule="auto"/>
      <w:ind w:left="720"/>
      <w:contextualSpacing/>
    </w:pPr>
    <w:rPr>
      <w:lang w:val="en-GB"/>
    </w:rPr>
  </w:style>
  <w:style w:type="paragraph" w:styleId="Header">
    <w:name w:val="header"/>
    <w:basedOn w:val="Normal"/>
    <w:link w:val="HeaderChar"/>
    <w:uiPriority w:val="99"/>
    <w:unhideWhenUsed/>
    <w:rsid w:val="0002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26C"/>
  </w:style>
  <w:style w:type="paragraph" w:styleId="Footer">
    <w:name w:val="footer"/>
    <w:basedOn w:val="Normal"/>
    <w:link w:val="FooterChar"/>
    <w:uiPriority w:val="99"/>
    <w:unhideWhenUsed/>
    <w:rsid w:val="0002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26C"/>
  </w:style>
  <w:style w:type="character" w:customStyle="1" w:styleId="Heading1Char">
    <w:name w:val="Heading 1 Char"/>
    <w:basedOn w:val="DefaultParagraphFont"/>
    <w:link w:val="Heading1"/>
    <w:uiPriority w:val="9"/>
    <w:rsid w:val="008321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211F"/>
    <w:pPr>
      <w:outlineLvl w:val="9"/>
    </w:pPr>
  </w:style>
  <w:style w:type="paragraph" w:styleId="TOC1">
    <w:name w:val="toc 1"/>
    <w:basedOn w:val="Normal"/>
    <w:next w:val="Normal"/>
    <w:autoRedefine/>
    <w:uiPriority w:val="39"/>
    <w:unhideWhenUsed/>
    <w:rsid w:val="0083211F"/>
    <w:pPr>
      <w:spacing w:after="100"/>
    </w:pPr>
  </w:style>
  <w:style w:type="paragraph" w:styleId="TOC2">
    <w:name w:val="toc 2"/>
    <w:basedOn w:val="Normal"/>
    <w:next w:val="Normal"/>
    <w:autoRedefine/>
    <w:uiPriority w:val="39"/>
    <w:unhideWhenUsed/>
    <w:rsid w:val="0083211F"/>
    <w:pPr>
      <w:spacing w:after="100"/>
      <w:ind w:left="220"/>
    </w:pPr>
  </w:style>
  <w:style w:type="character" w:styleId="Hyperlink">
    <w:name w:val="Hyperlink"/>
    <w:basedOn w:val="DefaultParagraphFont"/>
    <w:uiPriority w:val="99"/>
    <w:unhideWhenUsed/>
    <w:rsid w:val="0083211F"/>
    <w:rPr>
      <w:color w:val="0563C1" w:themeColor="hyperlink"/>
      <w:u w:val="single"/>
    </w:rPr>
  </w:style>
  <w:style w:type="paragraph" w:styleId="FootnoteText">
    <w:name w:val="footnote text"/>
    <w:basedOn w:val="Normal"/>
    <w:link w:val="FootnoteTextChar"/>
    <w:uiPriority w:val="99"/>
    <w:semiHidden/>
    <w:unhideWhenUsed/>
    <w:rsid w:val="00DB60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60A1"/>
    <w:rPr>
      <w:sz w:val="20"/>
      <w:szCs w:val="20"/>
    </w:rPr>
  </w:style>
  <w:style w:type="character" w:styleId="FootnoteReference">
    <w:name w:val="footnote reference"/>
    <w:basedOn w:val="DefaultParagraphFont"/>
    <w:uiPriority w:val="99"/>
    <w:semiHidden/>
    <w:unhideWhenUsed/>
    <w:rsid w:val="00DB60A1"/>
    <w:rPr>
      <w:vertAlign w:val="superscript"/>
    </w:rPr>
  </w:style>
  <w:style w:type="character" w:customStyle="1" w:styleId="ListParagraphChar">
    <w:name w:val="List Paragraph Char"/>
    <w:aliases w:val="List Paragraph (numbered (a)) Char,List Paragraph1 Char,WB Para Char,List Square Char,маркированный Char,Bullets Char,Akapit z listą BS Char,Абзац списка1 Char,Lapis Bulleted List Char,List 100s Char,References Char,Dot pt Char"/>
    <w:basedOn w:val="DefaultParagraphFont"/>
    <w:link w:val="ListParagraph"/>
    <w:uiPriority w:val="34"/>
    <w:qFormat/>
    <w:locked/>
    <w:rsid w:val="006A2D6B"/>
    <w:rPr>
      <w:lang w:val="en-GB"/>
    </w:rPr>
  </w:style>
  <w:style w:type="paragraph" w:styleId="BalloonText">
    <w:name w:val="Balloon Text"/>
    <w:basedOn w:val="Normal"/>
    <w:link w:val="BalloonTextChar"/>
    <w:uiPriority w:val="99"/>
    <w:semiHidden/>
    <w:unhideWhenUsed/>
    <w:rsid w:val="009070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700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2091">
      <w:bodyDiv w:val="1"/>
      <w:marLeft w:val="0"/>
      <w:marRight w:val="0"/>
      <w:marTop w:val="0"/>
      <w:marBottom w:val="0"/>
      <w:divBdr>
        <w:top w:val="none" w:sz="0" w:space="0" w:color="auto"/>
        <w:left w:val="none" w:sz="0" w:space="0" w:color="auto"/>
        <w:bottom w:val="none" w:sz="0" w:space="0" w:color="auto"/>
        <w:right w:val="none" w:sz="0" w:space="0" w:color="auto"/>
      </w:divBdr>
      <w:divsChild>
        <w:div w:id="749738422">
          <w:marLeft w:val="806"/>
          <w:marRight w:val="0"/>
          <w:marTop w:val="240"/>
          <w:marBottom w:val="240"/>
          <w:divBdr>
            <w:top w:val="none" w:sz="0" w:space="0" w:color="auto"/>
            <w:left w:val="none" w:sz="0" w:space="0" w:color="auto"/>
            <w:bottom w:val="none" w:sz="0" w:space="0" w:color="auto"/>
            <w:right w:val="none" w:sz="0" w:space="0" w:color="auto"/>
          </w:divBdr>
        </w:div>
        <w:div w:id="975718569">
          <w:marLeft w:val="806"/>
          <w:marRight w:val="0"/>
          <w:marTop w:val="240"/>
          <w:marBottom w:val="240"/>
          <w:divBdr>
            <w:top w:val="none" w:sz="0" w:space="0" w:color="auto"/>
            <w:left w:val="none" w:sz="0" w:space="0" w:color="auto"/>
            <w:bottom w:val="none" w:sz="0" w:space="0" w:color="auto"/>
            <w:right w:val="none" w:sz="0" w:space="0" w:color="auto"/>
          </w:divBdr>
        </w:div>
        <w:div w:id="1868985590">
          <w:marLeft w:val="806"/>
          <w:marRight w:val="0"/>
          <w:marTop w:val="240"/>
          <w:marBottom w:val="240"/>
          <w:divBdr>
            <w:top w:val="none" w:sz="0" w:space="0" w:color="auto"/>
            <w:left w:val="none" w:sz="0" w:space="0" w:color="auto"/>
            <w:bottom w:val="none" w:sz="0" w:space="0" w:color="auto"/>
            <w:right w:val="none" w:sz="0" w:space="0" w:color="auto"/>
          </w:divBdr>
        </w:div>
        <w:div w:id="395515545">
          <w:marLeft w:val="806"/>
          <w:marRight w:val="0"/>
          <w:marTop w:val="240"/>
          <w:marBottom w:val="240"/>
          <w:divBdr>
            <w:top w:val="none" w:sz="0" w:space="0" w:color="auto"/>
            <w:left w:val="none" w:sz="0" w:space="0" w:color="auto"/>
            <w:bottom w:val="none" w:sz="0" w:space="0" w:color="auto"/>
            <w:right w:val="none" w:sz="0" w:space="0" w:color="auto"/>
          </w:divBdr>
        </w:div>
        <w:div w:id="803352253">
          <w:marLeft w:val="806"/>
          <w:marRight w:val="0"/>
          <w:marTop w:val="240"/>
          <w:marBottom w:val="240"/>
          <w:divBdr>
            <w:top w:val="none" w:sz="0" w:space="0" w:color="auto"/>
            <w:left w:val="none" w:sz="0" w:space="0" w:color="auto"/>
            <w:bottom w:val="none" w:sz="0" w:space="0" w:color="auto"/>
            <w:right w:val="none" w:sz="0" w:space="0" w:color="auto"/>
          </w:divBdr>
        </w:div>
        <w:div w:id="611861454">
          <w:marLeft w:val="806"/>
          <w:marRight w:val="0"/>
          <w:marTop w:val="240"/>
          <w:marBottom w:val="240"/>
          <w:divBdr>
            <w:top w:val="none" w:sz="0" w:space="0" w:color="auto"/>
            <w:left w:val="none" w:sz="0" w:space="0" w:color="auto"/>
            <w:bottom w:val="none" w:sz="0" w:space="0" w:color="auto"/>
            <w:right w:val="none" w:sz="0" w:space="0" w:color="auto"/>
          </w:divBdr>
        </w:div>
        <w:div w:id="1472943444">
          <w:marLeft w:val="806"/>
          <w:marRight w:val="0"/>
          <w:marTop w:val="240"/>
          <w:marBottom w:val="240"/>
          <w:divBdr>
            <w:top w:val="none" w:sz="0" w:space="0" w:color="auto"/>
            <w:left w:val="none" w:sz="0" w:space="0" w:color="auto"/>
            <w:bottom w:val="none" w:sz="0" w:space="0" w:color="auto"/>
            <w:right w:val="none" w:sz="0" w:space="0" w:color="auto"/>
          </w:divBdr>
        </w:div>
        <w:div w:id="109445843">
          <w:marLeft w:val="806"/>
          <w:marRight w:val="0"/>
          <w:marTop w:val="240"/>
          <w:marBottom w:val="240"/>
          <w:divBdr>
            <w:top w:val="none" w:sz="0" w:space="0" w:color="auto"/>
            <w:left w:val="none" w:sz="0" w:space="0" w:color="auto"/>
            <w:bottom w:val="none" w:sz="0" w:space="0" w:color="auto"/>
            <w:right w:val="none" w:sz="0" w:space="0" w:color="auto"/>
          </w:divBdr>
        </w:div>
        <w:div w:id="1564752585">
          <w:marLeft w:val="806"/>
          <w:marRight w:val="0"/>
          <w:marTop w:val="240"/>
          <w:marBottom w:val="240"/>
          <w:divBdr>
            <w:top w:val="none" w:sz="0" w:space="0" w:color="auto"/>
            <w:left w:val="none" w:sz="0" w:space="0" w:color="auto"/>
            <w:bottom w:val="none" w:sz="0" w:space="0" w:color="auto"/>
            <w:right w:val="none" w:sz="0" w:space="0" w:color="auto"/>
          </w:divBdr>
        </w:div>
        <w:div w:id="1474328629">
          <w:marLeft w:val="806"/>
          <w:marRight w:val="0"/>
          <w:marTop w:val="240"/>
          <w:marBottom w:val="240"/>
          <w:divBdr>
            <w:top w:val="none" w:sz="0" w:space="0" w:color="auto"/>
            <w:left w:val="none" w:sz="0" w:space="0" w:color="auto"/>
            <w:bottom w:val="none" w:sz="0" w:space="0" w:color="auto"/>
            <w:right w:val="none" w:sz="0" w:space="0" w:color="auto"/>
          </w:divBdr>
        </w:div>
        <w:div w:id="1390304089">
          <w:marLeft w:val="806"/>
          <w:marRight w:val="0"/>
          <w:marTop w:val="240"/>
          <w:marBottom w:val="240"/>
          <w:divBdr>
            <w:top w:val="none" w:sz="0" w:space="0" w:color="auto"/>
            <w:left w:val="none" w:sz="0" w:space="0" w:color="auto"/>
            <w:bottom w:val="none" w:sz="0" w:space="0" w:color="auto"/>
            <w:right w:val="none" w:sz="0" w:space="0" w:color="auto"/>
          </w:divBdr>
        </w:div>
      </w:divsChild>
    </w:div>
    <w:div w:id="234782300">
      <w:bodyDiv w:val="1"/>
      <w:marLeft w:val="0"/>
      <w:marRight w:val="0"/>
      <w:marTop w:val="0"/>
      <w:marBottom w:val="0"/>
      <w:divBdr>
        <w:top w:val="none" w:sz="0" w:space="0" w:color="auto"/>
        <w:left w:val="none" w:sz="0" w:space="0" w:color="auto"/>
        <w:bottom w:val="none" w:sz="0" w:space="0" w:color="auto"/>
        <w:right w:val="none" w:sz="0" w:space="0" w:color="auto"/>
      </w:divBdr>
      <w:divsChild>
        <w:div w:id="737703195">
          <w:marLeft w:val="806"/>
          <w:marRight w:val="0"/>
          <w:marTop w:val="360"/>
          <w:marBottom w:val="0"/>
          <w:divBdr>
            <w:top w:val="none" w:sz="0" w:space="0" w:color="auto"/>
            <w:left w:val="none" w:sz="0" w:space="0" w:color="auto"/>
            <w:bottom w:val="none" w:sz="0" w:space="0" w:color="auto"/>
            <w:right w:val="none" w:sz="0" w:space="0" w:color="auto"/>
          </w:divBdr>
        </w:div>
        <w:div w:id="295648387">
          <w:marLeft w:val="806"/>
          <w:marRight w:val="0"/>
          <w:marTop w:val="360"/>
          <w:marBottom w:val="0"/>
          <w:divBdr>
            <w:top w:val="none" w:sz="0" w:space="0" w:color="auto"/>
            <w:left w:val="none" w:sz="0" w:space="0" w:color="auto"/>
            <w:bottom w:val="none" w:sz="0" w:space="0" w:color="auto"/>
            <w:right w:val="none" w:sz="0" w:space="0" w:color="auto"/>
          </w:divBdr>
        </w:div>
        <w:div w:id="1247497847">
          <w:marLeft w:val="806"/>
          <w:marRight w:val="0"/>
          <w:marTop w:val="360"/>
          <w:marBottom w:val="0"/>
          <w:divBdr>
            <w:top w:val="none" w:sz="0" w:space="0" w:color="auto"/>
            <w:left w:val="none" w:sz="0" w:space="0" w:color="auto"/>
            <w:bottom w:val="none" w:sz="0" w:space="0" w:color="auto"/>
            <w:right w:val="none" w:sz="0" w:space="0" w:color="auto"/>
          </w:divBdr>
        </w:div>
        <w:div w:id="2115203991">
          <w:marLeft w:val="806"/>
          <w:marRight w:val="0"/>
          <w:marTop w:val="360"/>
          <w:marBottom w:val="0"/>
          <w:divBdr>
            <w:top w:val="none" w:sz="0" w:space="0" w:color="auto"/>
            <w:left w:val="none" w:sz="0" w:space="0" w:color="auto"/>
            <w:bottom w:val="none" w:sz="0" w:space="0" w:color="auto"/>
            <w:right w:val="none" w:sz="0" w:space="0" w:color="auto"/>
          </w:divBdr>
        </w:div>
      </w:divsChild>
    </w:div>
    <w:div w:id="348265559">
      <w:bodyDiv w:val="1"/>
      <w:marLeft w:val="0"/>
      <w:marRight w:val="0"/>
      <w:marTop w:val="0"/>
      <w:marBottom w:val="0"/>
      <w:divBdr>
        <w:top w:val="none" w:sz="0" w:space="0" w:color="auto"/>
        <w:left w:val="none" w:sz="0" w:space="0" w:color="auto"/>
        <w:bottom w:val="none" w:sz="0" w:space="0" w:color="auto"/>
        <w:right w:val="none" w:sz="0" w:space="0" w:color="auto"/>
      </w:divBdr>
      <w:divsChild>
        <w:div w:id="1235319851">
          <w:marLeft w:val="806"/>
          <w:marRight w:val="0"/>
          <w:marTop w:val="240"/>
          <w:marBottom w:val="240"/>
          <w:divBdr>
            <w:top w:val="none" w:sz="0" w:space="0" w:color="auto"/>
            <w:left w:val="none" w:sz="0" w:space="0" w:color="auto"/>
            <w:bottom w:val="none" w:sz="0" w:space="0" w:color="auto"/>
            <w:right w:val="none" w:sz="0" w:space="0" w:color="auto"/>
          </w:divBdr>
        </w:div>
        <w:div w:id="250700213">
          <w:marLeft w:val="806"/>
          <w:marRight w:val="0"/>
          <w:marTop w:val="240"/>
          <w:marBottom w:val="240"/>
          <w:divBdr>
            <w:top w:val="none" w:sz="0" w:space="0" w:color="auto"/>
            <w:left w:val="none" w:sz="0" w:space="0" w:color="auto"/>
            <w:bottom w:val="none" w:sz="0" w:space="0" w:color="auto"/>
            <w:right w:val="none" w:sz="0" w:space="0" w:color="auto"/>
          </w:divBdr>
        </w:div>
        <w:div w:id="1671369682">
          <w:marLeft w:val="806"/>
          <w:marRight w:val="0"/>
          <w:marTop w:val="240"/>
          <w:marBottom w:val="240"/>
          <w:divBdr>
            <w:top w:val="none" w:sz="0" w:space="0" w:color="auto"/>
            <w:left w:val="none" w:sz="0" w:space="0" w:color="auto"/>
            <w:bottom w:val="none" w:sz="0" w:space="0" w:color="auto"/>
            <w:right w:val="none" w:sz="0" w:space="0" w:color="auto"/>
          </w:divBdr>
        </w:div>
        <w:div w:id="58209921">
          <w:marLeft w:val="806"/>
          <w:marRight w:val="0"/>
          <w:marTop w:val="240"/>
          <w:marBottom w:val="240"/>
          <w:divBdr>
            <w:top w:val="none" w:sz="0" w:space="0" w:color="auto"/>
            <w:left w:val="none" w:sz="0" w:space="0" w:color="auto"/>
            <w:bottom w:val="none" w:sz="0" w:space="0" w:color="auto"/>
            <w:right w:val="none" w:sz="0" w:space="0" w:color="auto"/>
          </w:divBdr>
        </w:div>
        <w:div w:id="343288849">
          <w:marLeft w:val="806"/>
          <w:marRight w:val="0"/>
          <w:marTop w:val="240"/>
          <w:marBottom w:val="240"/>
          <w:divBdr>
            <w:top w:val="none" w:sz="0" w:space="0" w:color="auto"/>
            <w:left w:val="none" w:sz="0" w:space="0" w:color="auto"/>
            <w:bottom w:val="none" w:sz="0" w:space="0" w:color="auto"/>
            <w:right w:val="none" w:sz="0" w:space="0" w:color="auto"/>
          </w:divBdr>
        </w:div>
        <w:div w:id="1217358712">
          <w:marLeft w:val="806"/>
          <w:marRight w:val="0"/>
          <w:marTop w:val="240"/>
          <w:marBottom w:val="240"/>
          <w:divBdr>
            <w:top w:val="none" w:sz="0" w:space="0" w:color="auto"/>
            <w:left w:val="none" w:sz="0" w:space="0" w:color="auto"/>
            <w:bottom w:val="none" w:sz="0" w:space="0" w:color="auto"/>
            <w:right w:val="none" w:sz="0" w:space="0" w:color="auto"/>
          </w:divBdr>
        </w:div>
        <w:div w:id="64494511">
          <w:marLeft w:val="806"/>
          <w:marRight w:val="0"/>
          <w:marTop w:val="240"/>
          <w:marBottom w:val="240"/>
          <w:divBdr>
            <w:top w:val="none" w:sz="0" w:space="0" w:color="auto"/>
            <w:left w:val="none" w:sz="0" w:space="0" w:color="auto"/>
            <w:bottom w:val="none" w:sz="0" w:space="0" w:color="auto"/>
            <w:right w:val="none" w:sz="0" w:space="0" w:color="auto"/>
          </w:divBdr>
        </w:div>
        <w:div w:id="77602506">
          <w:marLeft w:val="806"/>
          <w:marRight w:val="0"/>
          <w:marTop w:val="240"/>
          <w:marBottom w:val="240"/>
          <w:divBdr>
            <w:top w:val="none" w:sz="0" w:space="0" w:color="auto"/>
            <w:left w:val="none" w:sz="0" w:space="0" w:color="auto"/>
            <w:bottom w:val="none" w:sz="0" w:space="0" w:color="auto"/>
            <w:right w:val="none" w:sz="0" w:space="0" w:color="auto"/>
          </w:divBdr>
        </w:div>
        <w:div w:id="427700081">
          <w:marLeft w:val="806"/>
          <w:marRight w:val="0"/>
          <w:marTop w:val="240"/>
          <w:marBottom w:val="240"/>
          <w:divBdr>
            <w:top w:val="none" w:sz="0" w:space="0" w:color="auto"/>
            <w:left w:val="none" w:sz="0" w:space="0" w:color="auto"/>
            <w:bottom w:val="none" w:sz="0" w:space="0" w:color="auto"/>
            <w:right w:val="none" w:sz="0" w:space="0" w:color="auto"/>
          </w:divBdr>
        </w:div>
        <w:div w:id="270089964">
          <w:marLeft w:val="806"/>
          <w:marRight w:val="0"/>
          <w:marTop w:val="240"/>
          <w:marBottom w:val="240"/>
          <w:divBdr>
            <w:top w:val="none" w:sz="0" w:space="0" w:color="auto"/>
            <w:left w:val="none" w:sz="0" w:space="0" w:color="auto"/>
            <w:bottom w:val="none" w:sz="0" w:space="0" w:color="auto"/>
            <w:right w:val="none" w:sz="0" w:space="0" w:color="auto"/>
          </w:divBdr>
        </w:div>
        <w:div w:id="1740784078">
          <w:marLeft w:val="806"/>
          <w:marRight w:val="0"/>
          <w:marTop w:val="240"/>
          <w:marBottom w:val="240"/>
          <w:divBdr>
            <w:top w:val="none" w:sz="0" w:space="0" w:color="auto"/>
            <w:left w:val="none" w:sz="0" w:space="0" w:color="auto"/>
            <w:bottom w:val="none" w:sz="0" w:space="0" w:color="auto"/>
            <w:right w:val="none" w:sz="0" w:space="0" w:color="auto"/>
          </w:divBdr>
        </w:div>
      </w:divsChild>
    </w:div>
    <w:div w:id="456685797">
      <w:bodyDiv w:val="1"/>
      <w:marLeft w:val="0"/>
      <w:marRight w:val="0"/>
      <w:marTop w:val="0"/>
      <w:marBottom w:val="0"/>
      <w:divBdr>
        <w:top w:val="none" w:sz="0" w:space="0" w:color="auto"/>
        <w:left w:val="none" w:sz="0" w:space="0" w:color="auto"/>
        <w:bottom w:val="none" w:sz="0" w:space="0" w:color="auto"/>
        <w:right w:val="none" w:sz="0" w:space="0" w:color="auto"/>
      </w:divBdr>
      <w:divsChild>
        <w:div w:id="57486233">
          <w:marLeft w:val="1526"/>
          <w:marRight w:val="0"/>
          <w:marTop w:val="240"/>
          <w:marBottom w:val="0"/>
          <w:divBdr>
            <w:top w:val="none" w:sz="0" w:space="0" w:color="auto"/>
            <w:left w:val="none" w:sz="0" w:space="0" w:color="auto"/>
            <w:bottom w:val="none" w:sz="0" w:space="0" w:color="auto"/>
            <w:right w:val="none" w:sz="0" w:space="0" w:color="auto"/>
          </w:divBdr>
        </w:div>
        <w:div w:id="1450776086">
          <w:marLeft w:val="1526"/>
          <w:marRight w:val="0"/>
          <w:marTop w:val="240"/>
          <w:marBottom w:val="0"/>
          <w:divBdr>
            <w:top w:val="none" w:sz="0" w:space="0" w:color="auto"/>
            <w:left w:val="none" w:sz="0" w:space="0" w:color="auto"/>
            <w:bottom w:val="none" w:sz="0" w:space="0" w:color="auto"/>
            <w:right w:val="none" w:sz="0" w:space="0" w:color="auto"/>
          </w:divBdr>
        </w:div>
        <w:div w:id="937181001">
          <w:marLeft w:val="1526"/>
          <w:marRight w:val="0"/>
          <w:marTop w:val="240"/>
          <w:marBottom w:val="0"/>
          <w:divBdr>
            <w:top w:val="none" w:sz="0" w:space="0" w:color="auto"/>
            <w:left w:val="none" w:sz="0" w:space="0" w:color="auto"/>
            <w:bottom w:val="none" w:sz="0" w:space="0" w:color="auto"/>
            <w:right w:val="none" w:sz="0" w:space="0" w:color="auto"/>
          </w:divBdr>
        </w:div>
        <w:div w:id="1493595190">
          <w:marLeft w:val="1526"/>
          <w:marRight w:val="0"/>
          <w:marTop w:val="240"/>
          <w:marBottom w:val="0"/>
          <w:divBdr>
            <w:top w:val="none" w:sz="0" w:space="0" w:color="auto"/>
            <w:left w:val="none" w:sz="0" w:space="0" w:color="auto"/>
            <w:bottom w:val="none" w:sz="0" w:space="0" w:color="auto"/>
            <w:right w:val="none" w:sz="0" w:space="0" w:color="auto"/>
          </w:divBdr>
        </w:div>
        <w:div w:id="1826123327">
          <w:marLeft w:val="1526"/>
          <w:marRight w:val="0"/>
          <w:marTop w:val="240"/>
          <w:marBottom w:val="0"/>
          <w:divBdr>
            <w:top w:val="none" w:sz="0" w:space="0" w:color="auto"/>
            <w:left w:val="none" w:sz="0" w:space="0" w:color="auto"/>
            <w:bottom w:val="none" w:sz="0" w:space="0" w:color="auto"/>
            <w:right w:val="none" w:sz="0" w:space="0" w:color="auto"/>
          </w:divBdr>
        </w:div>
        <w:div w:id="1431848596">
          <w:marLeft w:val="1526"/>
          <w:marRight w:val="0"/>
          <w:marTop w:val="240"/>
          <w:marBottom w:val="0"/>
          <w:divBdr>
            <w:top w:val="none" w:sz="0" w:space="0" w:color="auto"/>
            <w:left w:val="none" w:sz="0" w:space="0" w:color="auto"/>
            <w:bottom w:val="none" w:sz="0" w:space="0" w:color="auto"/>
            <w:right w:val="none" w:sz="0" w:space="0" w:color="auto"/>
          </w:divBdr>
        </w:div>
        <w:div w:id="2074814219">
          <w:marLeft w:val="1526"/>
          <w:marRight w:val="0"/>
          <w:marTop w:val="240"/>
          <w:marBottom w:val="0"/>
          <w:divBdr>
            <w:top w:val="none" w:sz="0" w:space="0" w:color="auto"/>
            <w:left w:val="none" w:sz="0" w:space="0" w:color="auto"/>
            <w:bottom w:val="none" w:sz="0" w:space="0" w:color="auto"/>
            <w:right w:val="none" w:sz="0" w:space="0" w:color="auto"/>
          </w:divBdr>
        </w:div>
        <w:div w:id="2039235853">
          <w:marLeft w:val="1526"/>
          <w:marRight w:val="0"/>
          <w:marTop w:val="240"/>
          <w:marBottom w:val="0"/>
          <w:divBdr>
            <w:top w:val="none" w:sz="0" w:space="0" w:color="auto"/>
            <w:left w:val="none" w:sz="0" w:space="0" w:color="auto"/>
            <w:bottom w:val="none" w:sz="0" w:space="0" w:color="auto"/>
            <w:right w:val="none" w:sz="0" w:space="0" w:color="auto"/>
          </w:divBdr>
        </w:div>
        <w:div w:id="1345329852">
          <w:marLeft w:val="1526"/>
          <w:marRight w:val="0"/>
          <w:marTop w:val="240"/>
          <w:marBottom w:val="0"/>
          <w:divBdr>
            <w:top w:val="none" w:sz="0" w:space="0" w:color="auto"/>
            <w:left w:val="none" w:sz="0" w:space="0" w:color="auto"/>
            <w:bottom w:val="none" w:sz="0" w:space="0" w:color="auto"/>
            <w:right w:val="none" w:sz="0" w:space="0" w:color="auto"/>
          </w:divBdr>
        </w:div>
      </w:divsChild>
    </w:div>
    <w:div w:id="777211935">
      <w:bodyDiv w:val="1"/>
      <w:marLeft w:val="0"/>
      <w:marRight w:val="0"/>
      <w:marTop w:val="0"/>
      <w:marBottom w:val="0"/>
      <w:divBdr>
        <w:top w:val="none" w:sz="0" w:space="0" w:color="auto"/>
        <w:left w:val="none" w:sz="0" w:space="0" w:color="auto"/>
        <w:bottom w:val="none" w:sz="0" w:space="0" w:color="auto"/>
        <w:right w:val="none" w:sz="0" w:space="0" w:color="auto"/>
      </w:divBdr>
      <w:divsChild>
        <w:div w:id="1625229860">
          <w:marLeft w:val="806"/>
          <w:marRight w:val="0"/>
          <w:marTop w:val="360"/>
          <w:marBottom w:val="0"/>
          <w:divBdr>
            <w:top w:val="none" w:sz="0" w:space="0" w:color="auto"/>
            <w:left w:val="none" w:sz="0" w:space="0" w:color="auto"/>
            <w:bottom w:val="none" w:sz="0" w:space="0" w:color="auto"/>
            <w:right w:val="none" w:sz="0" w:space="0" w:color="auto"/>
          </w:divBdr>
        </w:div>
        <w:div w:id="362436982">
          <w:marLeft w:val="806"/>
          <w:marRight w:val="0"/>
          <w:marTop w:val="360"/>
          <w:marBottom w:val="0"/>
          <w:divBdr>
            <w:top w:val="none" w:sz="0" w:space="0" w:color="auto"/>
            <w:left w:val="none" w:sz="0" w:space="0" w:color="auto"/>
            <w:bottom w:val="none" w:sz="0" w:space="0" w:color="auto"/>
            <w:right w:val="none" w:sz="0" w:space="0" w:color="auto"/>
          </w:divBdr>
        </w:div>
        <w:div w:id="2112361468">
          <w:marLeft w:val="806"/>
          <w:marRight w:val="0"/>
          <w:marTop w:val="360"/>
          <w:marBottom w:val="0"/>
          <w:divBdr>
            <w:top w:val="none" w:sz="0" w:space="0" w:color="auto"/>
            <w:left w:val="none" w:sz="0" w:space="0" w:color="auto"/>
            <w:bottom w:val="none" w:sz="0" w:space="0" w:color="auto"/>
            <w:right w:val="none" w:sz="0" w:space="0" w:color="auto"/>
          </w:divBdr>
        </w:div>
        <w:div w:id="810244520">
          <w:marLeft w:val="80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D85BD-4C63-2E40-A925-8C0D793BB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4507</Words>
  <Characters>25696</Characters>
  <Application>Microsoft Macintosh Word</Application>
  <DocSecurity>0</DocSecurity>
  <Lines>214</Lines>
  <Paragraphs>60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 General background </vt:lpstr>
      <vt:lpstr>B. Broad contexts and constraints to the current plan </vt:lpstr>
      <vt:lpstr>C. Summary of performance in the implementation of the current plan</vt:lpstr>
      <vt:lpstr>D. Challenges to implementation</vt:lpstr>
      <vt:lpstr>E. Lessons learned</vt:lpstr>
      <vt:lpstr>F. Emerging strategic areas for consideration in the successor to the MTNDP 2019</vt:lpstr>
      <vt:lpstr>G. Proposed direction and structure of the successor plan,              MTNDP 20</vt:lpstr>
      <vt:lpstr>    Super Cluster 1: The Big 5 Game Changes</vt:lpstr>
      <vt:lpstr>    Sub-Cluster 1.1: Feed Salone</vt:lpstr>
      <vt:lpstr>    Sub-Cluster 1.2: Accelerating Human Capital Development</vt:lpstr>
      <vt:lpstr>    Sub-Cluster 1.3: Investment in Youth Employment</vt:lpstr>
      <vt:lpstr>    Sub-Cluster 1.4: Public Sector Effectiveness and Efficiency</vt:lpstr>
      <vt:lpstr>    Sub-Cluster 1.5: Infrastructure, Technology and Innovation </vt:lpstr>
      <vt:lpstr>    Policy Cluster 2 – Diversifying the economy and promoting growth</vt:lpstr>
      <vt:lpstr>    Policy Cluster 3 – Governance and Accountability for Results</vt:lpstr>
      <vt:lpstr>    Policy Cluster 4 – Empowering Women, Children &amp; Persons with Disabilities</vt:lpstr>
      <vt:lpstr>    Policy Cluster 5 – Addressing Vulnerabilities and Building Resilience </vt:lpstr>
      <vt:lpstr>    Policy Cluster 6 – Means of Implementation  </vt:lpstr>
      <vt:lpstr>H. Conclusion</vt:lpstr>
    </vt:vector>
  </TitlesOfParts>
  <Company/>
  <LinksUpToDate>false</LinksUpToDate>
  <CharactersWithSpaces>30143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apple</cp:lastModifiedBy>
  <cp:revision>2</cp:revision>
  <dcterms:created xsi:type="dcterms:W3CDTF">2023-08-15T09:22:00Z</dcterms:created>
  <dcterms:modified xsi:type="dcterms:W3CDTF">2023-08-15T09:22:00Z</dcterms:modified>
</cp:coreProperties>
</file>