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rPr>
          <w:sz w:val="48"/>
          <w:szCs w:val="48"/>
        </w:rPr>
      </w:r>
    </w:p>
    <w:p>
      <w:pPr>
        <w:spacing w:before="480" w:after="200"/>
        <w:jc w:val="center"/>
      </w:pPr>
      <w:r>
        <w:rPr>
          <w:b/>
          <w:bCs/>
          <w:color w:val="1F4E79"/>
          <w:sz w:val="52"/>
          <w:szCs w:val="52"/>
          <w:rFonts w:ascii="Arial" w:cs="Arial" w:eastAsia="Arial" w:hAnsi="Arial"/>
        </w:rPr>
        <w:t xml:space="preserve">HAL TEJAS INCIDENT REPORT</w:t>
      </w:r>
    </w:p>
    <w:p>
      <w:pPr>
        <w:spacing w:before="80" w:after="160"/>
        <w:jc w:val="center"/>
      </w:pPr>
      <w:r>
        <w:rPr>
          <w:color w:val="2E74B5"/>
          <w:sz w:val="30"/>
          <w:szCs w:val="30"/>
          <w:rFonts w:ascii="Arial" w:cs="Arial" w:eastAsia="Arial" w:hAnsi="Arial"/>
        </w:rPr>
        <w:t xml:space="preserve">Bureau Veritas Compliance Framework &amp; ANP Well Integrity Incident Analysis</w:t>
      </w:r>
    </w:p>
    <w:p>
      <w:pPr>
        <w:pBdr>
          <w:bottom w:val="single" w:color="1F4E79" w:sz="8" w:space="1"/>
        </w:pBdr>
        <w:spacing w:before="80" w:after="320"/>
        <w:jc w:val="center"/>
      </w:pPr>
      <w:r>
        <w:rPr>
          <w:sz w:val="22"/>
          <w:szCs w:val="22"/>
        </w:rPr>
      </w:r>
    </w:p>
    <w:p>
      <w:pPr>
        <w:spacing w:before="200" w:after="80"/>
        <w:jc w:val="center"/>
      </w:pPr>
      <w:r>
        <w:rPr>
          <w:b/>
          <w:bCs/>
          <w:color w:val="333333"/>
          <w:sz w:val="26"/>
          <w:szCs w:val="26"/>
          <w:rFonts w:ascii="Arial" w:cs="Arial" w:eastAsia="Arial" w:hAnsi="Arial"/>
        </w:rPr>
        <w:t xml:space="preserve">Operation: Halliburton &amp; Tejas — Brazil</w:t>
      </w:r>
    </w:p>
    <w:p>
      <w:pPr>
        <w:spacing w:before="60" w:after="60"/>
        <w:jc w:val="center"/>
      </w:pPr>
      <w:r>
        <w:rPr>
          <w:color w:val="555555"/>
          <w:sz w:val="22"/>
          <w:szCs w:val="22"/>
          <w:rFonts w:ascii="Arial" w:cs="Arial" w:eastAsia="Arial" w:hAnsi="Arial"/>
        </w:rPr>
        <w:t xml:space="preserve">Jurisdiction: Agência Nacional do Petróleo, Gás Natural e Biocombustíveis (ANP)</w:t>
      </w:r>
    </w:p>
    <w:p>
      <w:pPr>
        <w:spacing w:before="60" w:after="60"/>
        <w:jc w:val="center"/>
      </w:pPr>
      <w:r>
        <w:rPr>
          <w:color w:val="555555"/>
          <w:sz w:val="22"/>
          <w:szCs w:val="22"/>
          <w:rFonts w:ascii="Arial" w:cs="Arial" w:eastAsia="Arial" w:hAnsi="Arial"/>
        </w:rPr>
        <w:t xml:space="preserve">Classification Society: Bureau Veritas (BV)</w:t>
      </w:r>
    </w:p>
    <w:p>
      <w:pPr>
        <w:spacing w:before="60" w:after="60"/>
        <w:jc w:val="center"/>
      </w:pPr>
      <w:r>
        <w:rPr>
          <w:color w:val="555555"/>
          <w:sz w:val="22"/>
          <w:szCs w:val="22"/>
          <w:rFonts w:ascii="Arial" w:cs="Arial" w:eastAsia="Arial" w:hAnsi="Arial"/>
        </w:rPr>
        <w:t xml:space="preserve">Report Date: March 2026</w:t>
      </w:r>
    </w:p>
    <w:p>
      <w:pPr>
        <w:spacing w:before="160" w:after="60"/>
        <w:jc w:val="center"/>
      </w:pPr>
      <w:r>
        <w:rPr>
          <w:i/>
          <w:iCs/>
          <w:color w:val="888888"/>
          <w:sz w:val="22"/>
          <w:szCs w:val="22"/>
          <w:rFonts w:ascii="Arial" w:cs="Arial" w:eastAsia="Arial" w:hAnsi="Arial"/>
        </w:rPr>
        <w:t xml:space="preserve">Data Source: ANP SISO-Incidentes (30,054 records, 2013–2026)</w:t>
      </w:r>
    </w:p>
    <w:p>
      <w:r>
        <w:br w:type="page"/>
      </w:r>
    </w:p>
    <w:p>
      <w:pPr>
        <w:pStyle w:val="Heading1"/>
        <w:pBdr>
          <w:bottom w:val="single" w:color="1F4E79" w:sz="6" w:space="1"/>
        </w:pBdr>
        <w:spacing w:before="360" w:after="160"/>
      </w:pPr>
      <w:r>
        <w:rPr>
          <w:b/>
          <w:bCs/>
          <w:color w:val="1F4E79"/>
          <w:sz w:val="32"/>
          <w:szCs w:val="32"/>
          <w:rFonts w:ascii="Arial" w:cs="Arial" w:eastAsia="Arial" w:hAnsi="Arial"/>
        </w:rPr>
        <w:t xml:space="preserve">1. Executive Summary</w:t>
      </w:r>
    </w:p>
    <w:p>
      <w:pPr>
        <w:spacing w:before="80" w:after="120"/>
        <w:jc w:val="both"/>
      </w:pPr>
      <w:r>
        <w:rPr>
          <w:color w:val="333333"/>
          <w:sz w:val="22"/>
          <w:szCs w:val="22"/>
          <w:rFonts w:ascii="Arial" w:cs="Arial" w:eastAsia="Arial" w:hAnsi="Arial"/>
        </w:rPr>
        <w:t xml:space="preserve">This report establishes the regulatory and operational compliance framework applicable to Halliburton and Tejas operations in Brazil, and provides evidence-based justification for the identified risk exposure, grounded entirely in publicly available open data from official Brazilian government sources.</w:t>
      </w:r>
    </w:p>
    <w:p>
      <w:pPr>
        <w:spacing w:before="80" w:after="80"/>
      </w:pPr>
      <w:r>
        <w:t xml:space="preserve"/>
      </w:r>
    </w:p>
    <w:p>
      <w:pPr>
        <w:spacing w:before="80" w:after="120"/>
        <w:jc w:val="both"/>
      </w:pPr>
      <w:r>
        <w:rPr>
          <w:color w:val="333333"/>
          <w:sz w:val="22"/>
          <w:szCs w:val="22"/>
          <w:rFonts w:ascii="Arial" w:cs="Arial" w:eastAsia="Arial" w:hAnsi="Arial"/>
        </w:rPr>
        <w:t xml:space="preserve">The analysis draws on the ANP's SISO-Incidentes database — 30,054 registered incidents from 2013 to 2026, published under Brazil's Freedom of Information Law (Lei nº 12.527/2011) — cross-referenced with Bureau Veritas classification rules and applicable Brazilian regulatory instruments.</w:t>
      </w:r>
    </w:p>
    <w:p>
      <w:pPr>
        <w:spacing w:before="80" w:after="80"/>
      </w:pPr>
      <w:r>
        <w:t xml:space="preserve"/>
      </w:r>
    </w:p>
    <w:p>
      <w:pPr>
        <w:spacing w:before="200" w:after="80"/>
      </w:pPr>
      <w:r>
        <w:rPr>
          <w:b/>
          <w:bCs/>
          <w:color w:val="333333"/>
          <w:sz w:val="24"/>
          <w:szCs w:val="24"/>
          <w:rFonts w:ascii="Arial" w:cs="Arial" w:eastAsia="Arial" w:hAnsi="Arial"/>
        </w:rPr>
        <w:t xml:space="preserve">Key Findings</w:t>
      </w:r>
    </w:p>
    <w:p>
      <w:pPr>
        <w:pStyle w:val="ListParagraph"/>
        <w:numPr>
          <w:ilvl w:val="0"/>
          <w:numId w:val="3"/>
        </w:numPr>
        <w:spacing w:before="40" w:after="40"/>
      </w:pPr>
      <w:r>
        <w:rPr>
          <w:color w:val="333333"/>
          <w:sz w:val="22"/>
          <w:szCs w:val="22"/>
          <w:rFonts w:ascii="Arial" w:cs="Arial" w:eastAsia="Arial" w:hAnsi="Arial"/>
        </w:rPr>
        <w:t xml:space="preserve">CSB (Conjunto Solidário de Barreira) barrier element failures rose from 1 incident in 2016 to 391 in 2025 — a 39,000% increase — constituting the dominant well integrity risk category in Brazilian E&amp;P.</w:t>
      </w:r>
    </w:p>
    <w:p>
      <w:pPr>
        <w:pStyle w:val="ListParagraph"/>
        <w:numPr>
          <w:ilvl w:val="0"/>
          <w:numId w:val="3"/>
        </w:numPr>
        <w:spacing w:before="40" w:after="40"/>
      </w:pPr>
      <w:r>
        <w:rPr>
          <w:color w:val="333333"/>
          <w:sz w:val="22"/>
          <w:szCs w:val="22"/>
          <w:rFonts w:ascii="Arial" w:cs="Arial" w:eastAsia="Arial" w:hAnsi="Arial"/>
        </w:rPr>
        <w:t xml:space="preserve">193 primary barrier loss events (kicks) were recorded between 2013 and 2026 on ANP-licensed installations.</w:t>
      </w:r>
    </w:p>
    <w:p>
      <w:pPr>
        <w:pStyle w:val="ListParagraph"/>
        <w:numPr>
          <w:ilvl w:val="0"/>
          <w:numId w:val="3"/>
        </w:numPr>
        <w:spacing w:before="40" w:after="40"/>
      </w:pPr>
      <w:r>
        <w:rPr>
          <w:color w:val="333333"/>
          <w:sz w:val="22"/>
          <w:szCs w:val="22"/>
          <w:rFonts w:ascii="Arial" w:cs="Arial" w:eastAsia="Arial" w:hAnsi="Arial"/>
        </w:rPr>
        <w:t xml:space="preserve">2,291 critical well integrity incidents in total are documented in the open dataset.</w:t>
      </w:r>
    </w:p>
    <w:p>
      <w:pPr>
        <w:pStyle w:val="ListParagraph"/>
        <w:numPr>
          <w:ilvl w:val="0"/>
          <w:numId w:val="3"/>
        </w:numPr>
        <w:spacing w:before="40" w:after="40"/>
      </w:pPr>
      <w:r>
        <w:rPr>
          <w:color w:val="333333"/>
          <w:sz w:val="22"/>
          <w:szCs w:val="22"/>
          <w:rFonts w:ascii="Arial" w:cs="Arial" w:eastAsia="Arial" w:hAnsi="Arial"/>
        </w:rPr>
        <w:t xml:space="preserve">Halliburton's well services and Tejas's completion/flow-control equipment operate within the barrier systems captured by these statistics, making compliance with Resolução ANP nº 46/2016 and BV NR 445 directly applicable.</w:t>
      </w:r>
    </w:p>
    <w:p>
      <w:pPr>
        <w:spacing w:before="80" w:after="80"/>
      </w:pPr>
      <w:r>
        <w:t xml:space="preserve"/>
      </w:r>
    </w:p>
    <w:p>
      <w:r>
        <w:br w:type="page"/>
      </w:r>
    </w:p>
    <w:p>
      <w:pPr>
        <w:pStyle w:val="Heading1"/>
        <w:pBdr>
          <w:bottom w:val="single" w:color="1F4E79" w:sz="6" w:space="1"/>
        </w:pBdr>
        <w:spacing w:before="360" w:after="160"/>
      </w:pPr>
      <w:r>
        <w:rPr>
          <w:b/>
          <w:bCs/>
          <w:color w:val="1F4E79"/>
          <w:sz w:val="32"/>
          <w:szCs w:val="32"/>
          <w:rFonts w:ascii="Arial" w:cs="Arial" w:eastAsia="Arial" w:hAnsi="Arial"/>
        </w:rPr>
        <w:t xml:space="preserve">2. ANP Incident Data — Key Metrics</w:t>
      </w:r>
    </w:p>
    <w:p>
      <w:pPr>
        <w:spacing w:before="80" w:after="120"/>
        <w:jc w:val="both"/>
      </w:pPr>
      <w:r>
        <w:rPr>
          <w:color w:val="333333"/>
          <w:sz w:val="22"/>
          <w:szCs w:val="22"/>
          <w:rFonts w:ascii="Arial" w:cs="Arial" w:eastAsia="Arial" w:hAnsi="Arial"/>
        </w:rPr>
        <w:t xml:space="preserve">The following metrics are derived directly from the ANP's open incident datasets (incidentes.csv and incidentes-tipo.csv), available at dados.gov.br/organization/anp.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b/>
                <w:bCs/>
                <w:color w:val="1F4E79"/>
                <w:sz w:val="36"/>
                <w:szCs w:val="36"/>
                <w:rFonts w:ascii="Arial" w:cs="Arial" w:eastAsia="Arial" w:hAnsi="Arial"/>
              </w:rPr>
              <w:t xml:space="preserve">30,054</w:t>
            </w:r>
          </w:p>
          <w:p>
            <w:pPr>
              <w:spacing w:before="40"/>
              <w:jc w:val="center"/>
            </w:pPr>
            <w:r>
              <w:rPr>
                <w:color w:val="555555"/>
                <w:sz w:val="18"/>
                <w:szCs w:val="18"/>
                <w:rFonts w:ascii="Arial" w:cs="Arial" w:eastAsia="Arial" w:hAnsi="Arial"/>
              </w:rPr>
              <w:t xml:space="preserve">Total incidents (dataset)</w:t>
            </w:r>
          </w:p>
        </w:tc>
        <w:tc>
          <w:tcPr>
            <w:tcW w:type="dxa" w:w="234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b/>
                <w:bCs/>
                <w:color w:val="C00000"/>
                <w:sz w:val="36"/>
                <w:szCs w:val="36"/>
                <w:rFonts w:ascii="Arial" w:cs="Arial" w:eastAsia="Arial" w:hAnsi="Arial"/>
              </w:rPr>
              <w:t xml:space="preserve">2,291</w:t>
            </w:r>
          </w:p>
          <w:p>
            <w:pPr>
              <w:spacing w:before="40"/>
              <w:jc w:val="center"/>
            </w:pPr>
            <w:r>
              <w:rPr>
                <w:color w:val="555555"/>
                <w:sz w:val="18"/>
                <w:szCs w:val="18"/>
                <w:rFonts w:ascii="Arial" w:cs="Arial" w:eastAsia="Arial" w:hAnsi="Arial"/>
              </w:rPr>
              <w:t xml:space="preserve">Well integrity incidents</w:t>
            </w:r>
          </w:p>
        </w:tc>
        <w:tc>
          <w:tcPr>
            <w:tcW w:type="dxa" w:w="234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b/>
                <w:bCs/>
                <w:color w:val="C55A11"/>
                <w:sz w:val="36"/>
                <w:szCs w:val="36"/>
                <w:rFonts w:ascii="Arial" w:cs="Arial" w:eastAsia="Arial" w:hAnsi="Arial"/>
              </w:rPr>
              <w:t xml:space="preserve">762</w:t>
            </w:r>
          </w:p>
          <w:p>
            <w:pPr>
              <w:spacing w:before="40"/>
              <w:jc w:val="center"/>
            </w:pPr>
            <w:r>
              <w:rPr>
                <w:color w:val="555555"/>
                <w:sz w:val="18"/>
                <w:szCs w:val="18"/>
                <w:rFonts w:ascii="Arial" w:cs="Arial" w:eastAsia="Arial" w:hAnsi="Arial"/>
              </w:rPr>
              <w:t xml:space="preserve">CSB failures (2023–26)</w:t>
            </w:r>
          </w:p>
        </w:tc>
        <w:tc>
          <w:tcPr>
            <w:tcW w:type="dxa" w:w="234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b/>
                <w:bCs/>
                <w:color w:val="375623"/>
                <w:sz w:val="36"/>
                <w:szCs w:val="36"/>
                <w:rFonts w:ascii="Arial" w:cs="Arial" w:eastAsia="Arial" w:hAnsi="Arial"/>
              </w:rPr>
              <w:t xml:space="preserve">193</w:t>
            </w:r>
          </w:p>
          <w:p>
            <w:pPr>
              <w:spacing w:before="40"/>
              <w:jc w:val="center"/>
            </w:pPr>
            <w:r>
              <w:rPr>
                <w:color w:val="555555"/>
                <w:sz w:val="18"/>
                <w:szCs w:val="18"/>
                <w:rFonts w:ascii="Arial" w:cs="Arial" w:eastAsia="Arial" w:hAnsi="Arial"/>
              </w:rPr>
              <w:t xml:space="preserve">Kicks reported (primary barrier)</w:t>
            </w:r>
          </w:p>
        </w:tc>
      </w:tr>
    </w:tbl>
    <w:p>
      <w:pPr>
        <w:spacing w:before="80" w:after="80"/>
      </w:pPr>
      <w:r>
        <w:t xml:space="preserve"/>
      </w:r>
    </w:p>
    <w:p>
      <w:pPr>
        <w:spacing w:before="80" w:after="120"/>
        <w:jc w:val="both"/>
      </w:pPr>
      <w:r>
        <w:rPr>
          <w:i/>
          <w:iCs/>
          <w:color w:val="555555"/>
          <w:sz w:val="22"/>
          <w:szCs w:val="22"/>
          <w:rFonts w:ascii="Arial" w:cs="Arial" w:eastAsia="Arial" w:hAnsi="Arial"/>
        </w:rPr>
        <w:t xml:space="preserve">Note: Halliburton and Tejas do not appear as named entities in the ANP dataset because ANP registers incidents under the licensed operator (e.g., Petrobras, Shell, Equinor). Service companies such as Halliburton and Tejas operate within those operators' installations and are therefore captured within the incident statistics for the barrier systems they service.</w:t>
      </w:r>
    </w:p>
    <w:p>
      <w:pPr>
        <w:spacing w:before="80" w:after="80"/>
      </w:pPr>
      <w:r>
        <w:t xml:space="preserve"/>
      </w:r>
    </w:p>
    <w:p>
      <w:r>
        <w:br w:type="page"/>
      </w:r>
    </w:p>
    <w:p>
      <w:pPr>
        <w:pStyle w:val="Heading1"/>
        <w:pBdr>
          <w:bottom w:val="single" w:color="1F4E79" w:sz="6" w:space="1"/>
        </w:pBdr>
        <w:spacing w:before="360" w:after="160"/>
      </w:pPr>
      <w:r>
        <w:rPr>
          <w:b/>
          <w:bCs/>
          <w:color w:val="1F4E79"/>
          <w:sz w:val="32"/>
          <w:szCs w:val="32"/>
          <w:rFonts w:ascii="Arial" w:cs="Arial" w:eastAsia="Arial" w:hAnsi="Arial"/>
        </w:rPr>
        <w:t xml:space="preserve">3. Well Integrity Incident Trend (2013–2026)</w:t>
      </w:r>
    </w:p>
    <w:p>
      <w:pPr>
        <w:spacing w:before="80" w:after="120"/>
        <w:jc w:val="both"/>
      </w:pPr>
      <w:r>
        <w:rPr>
          <w:color w:val="333333"/>
          <w:sz w:val="22"/>
          <w:szCs w:val="22"/>
          <w:rFonts w:ascii="Arial" w:cs="Arial" w:eastAsia="Arial" w:hAnsi="Arial"/>
        </w:rPr>
        <w:t xml:space="preserve">The table below presents the year-by-year breakdown of the most critical incident types directly relevant to the scope of Halliburton and Tejas services. Shaded rows (2020 onwards) highlight the acceleration period for CSB failures.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680"/>
        <w:gridCol w:w="1680"/>
      </w:tblGrid>
      <w:tr>
        <w:tc>
          <w:tcPr>
            <w:tcW w:type="dxa" w:w="1200"/>
            <w:tcBorders>
              <w:top w:val="single" w:color="1F4E79" w:sz="1"/>
              <w:left w:val="single" w:color="1F4E79" w:sz="1"/>
              <w:bottom w:val="single" w:color="1F4E79" w:sz="1"/>
              <w:right w:val="single" w:color="1F4E79" w:sz="1"/>
            </w:tcBorders>
            <w:shd w:fill="2E74B5" w:val="clear"/>
            <w:tcMar>
              <w:top w:type="dxa" w:w="80"/>
              <w:left w:type="dxa" w:w="80"/>
              <w:bottom w:type="dxa" w:w="80"/>
              <w:right w:type="dxa" w:w="80"/>
            </w:tcMar>
          </w:tcPr>
          <w:p>
            <w:pPr>
              <w:jc w:val="center"/>
            </w:pPr>
            <w:r>
              <w:rPr>
                <w:b/>
                <w:bCs/>
                <w:color w:val="FFFFFF"/>
                <w:sz w:val="18"/>
                <w:szCs w:val="18"/>
                <w:rFonts w:ascii="Arial" w:cs="Arial" w:eastAsia="Arial" w:hAnsi="Arial"/>
              </w:rPr>
              <w:t xml:space="preserve">Year</w:t>
            </w:r>
          </w:p>
        </w:tc>
        <w:tc>
          <w:tcPr>
            <w:tcW w:type="dxa" w:w="2400"/>
            <w:tcBorders>
              <w:top w:val="single" w:color="1F4E79" w:sz="1"/>
              <w:left w:val="single" w:color="1F4E79" w:sz="1"/>
              <w:bottom w:val="single" w:color="1F4E79" w:sz="1"/>
              <w:right w:val="single" w:color="1F4E79" w:sz="1"/>
            </w:tcBorders>
            <w:shd w:fill="2E74B5" w:val="clear"/>
            <w:tcMar>
              <w:top w:type="dxa" w:w="80"/>
              <w:left w:type="dxa" w:w="80"/>
              <w:bottom w:type="dxa" w:w="80"/>
              <w:right w:type="dxa" w:w="80"/>
            </w:tcMar>
          </w:tcPr>
          <w:p>
            <w:pPr>
              <w:jc w:val="center"/>
            </w:pPr>
            <w:r>
              <w:rPr>
                <w:b/>
                <w:bCs/>
                <w:color w:val="FFFFFF"/>
                <w:sz w:val="18"/>
                <w:szCs w:val="18"/>
                <w:rFonts w:ascii="Arial" w:cs="Arial" w:eastAsia="Arial" w:hAnsi="Arial"/>
              </w:rPr>
              <w:t xml:space="preserve">Kicks (primary barrier loss)</w:t>
            </w:r>
          </w:p>
        </w:tc>
        <w:tc>
          <w:tcPr>
            <w:tcW w:type="dxa" w:w="2400"/>
            <w:tcBorders>
              <w:top w:val="single" w:color="1F4E79" w:sz="1"/>
              <w:left w:val="single" w:color="1F4E79" w:sz="1"/>
              <w:bottom w:val="single" w:color="1F4E79" w:sz="1"/>
              <w:right w:val="single" w:color="1F4E79" w:sz="1"/>
            </w:tcBorders>
            <w:shd w:fill="2E74B5" w:val="clear"/>
            <w:tcMar>
              <w:top w:type="dxa" w:w="80"/>
              <w:left w:type="dxa" w:w="80"/>
              <w:bottom w:type="dxa" w:w="80"/>
              <w:right w:type="dxa" w:w="80"/>
            </w:tcMar>
          </w:tcPr>
          <w:p>
            <w:pPr>
              <w:jc w:val="center"/>
            </w:pPr>
            <w:r>
              <w:rPr>
                <w:b/>
                <w:bCs/>
                <w:color w:val="FFFFFF"/>
                <w:sz w:val="18"/>
                <w:szCs w:val="18"/>
                <w:rFonts w:ascii="Arial" w:cs="Arial" w:eastAsia="Arial" w:hAnsi="Arial"/>
              </w:rPr>
              <w:t xml:space="preserve">CSB element failures</w:t>
            </w:r>
          </w:p>
        </w:tc>
        <w:tc>
          <w:tcPr>
            <w:tcW w:type="dxa" w:w="1680"/>
            <w:tcBorders>
              <w:top w:val="single" w:color="1F4E79" w:sz="1"/>
              <w:left w:val="single" w:color="1F4E79" w:sz="1"/>
              <w:bottom w:val="single" w:color="1F4E79" w:sz="1"/>
              <w:right w:val="single" w:color="1F4E79" w:sz="1"/>
            </w:tcBorders>
            <w:shd w:fill="2E74B5" w:val="clear"/>
            <w:tcMar>
              <w:top w:type="dxa" w:w="80"/>
              <w:left w:type="dxa" w:w="80"/>
              <w:bottom w:type="dxa" w:w="80"/>
              <w:right w:type="dxa" w:w="80"/>
            </w:tcMar>
          </w:tcPr>
          <w:p>
            <w:pPr>
              <w:jc w:val="center"/>
            </w:pPr>
            <w:r>
              <w:rPr>
                <w:b/>
                <w:bCs/>
                <w:color w:val="FFFFFF"/>
                <w:sz w:val="18"/>
                <w:szCs w:val="18"/>
                <w:rFonts w:ascii="Arial" w:cs="Arial" w:eastAsia="Arial" w:hAnsi="Arial"/>
              </w:rPr>
              <w:t xml:space="preserve">Well structural failures</w:t>
            </w:r>
          </w:p>
        </w:tc>
        <w:tc>
          <w:tcPr>
            <w:tcW w:type="dxa" w:w="1680"/>
            <w:tcBorders>
              <w:top w:val="single" w:color="1F4E79" w:sz="1"/>
              <w:left w:val="single" w:color="1F4E79" w:sz="1"/>
              <w:bottom w:val="single" w:color="1F4E79" w:sz="1"/>
              <w:right w:val="single" w:color="1F4E79" w:sz="1"/>
            </w:tcBorders>
            <w:shd w:fill="2E74B5" w:val="clear"/>
            <w:tcMar>
              <w:top w:type="dxa" w:w="80"/>
              <w:left w:type="dxa" w:w="80"/>
              <w:bottom w:type="dxa" w:w="80"/>
              <w:right w:type="dxa" w:w="80"/>
            </w:tcMar>
          </w:tcPr>
          <w:p>
            <w:pPr>
              <w:jc w:val="center"/>
            </w:pPr>
            <w:r>
              <w:rPr>
                <w:b/>
                <w:bCs/>
                <w:color w:val="FFFFFF"/>
                <w:sz w:val="18"/>
                <w:szCs w:val="18"/>
                <w:rFonts w:ascii="Arial" w:cs="Arial" w:eastAsia="Arial" w:hAnsi="Arial"/>
              </w:rPr>
              <w:t xml:space="preserve">Loss of well control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2014</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2016</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5</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2017</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8</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2018</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12</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2019</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5</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w:t>
            </w:r>
          </w:p>
        </w:tc>
      </w:tr>
      <w:tr>
        <w:tc>
          <w:tcPr>
            <w:tcW w:type="dxa" w:w="12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2020</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5</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30</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2021</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bCs/>
                <w:color w:val="C00000"/>
                <w:sz w:val="18"/>
                <w:szCs w:val="18"/>
                <w:rFonts w:ascii="Arial" w:cs="Arial" w:eastAsia="Arial" w:hAnsi="Arial"/>
              </w:rPr>
              <w:t xml:space="preserve">485</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2022</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6</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bCs/>
                <w:color w:val="C00000"/>
                <w:sz w:val="18"/>
                <w:szCs w:val="18"/>
                <w:rFonts w:ascii="Arial" w:cs="Arial" w:eastAsia="Arial" w:hAnsi="Arial"/>
              </w:rPr>
              <w:t xml:space="preserve">395</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2023</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12</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bCs/>
                <w:color w:val="C00000"/>
                <w:sz w:val="18"/>
                <w:szCs w:val="18"/>
                <w:rFonts w:ascii="Arial" w:cs="Arial" w:eastAsia="Arial" w:hAnsi="Arial"/>
              </w:rPr>
              <w:t xml:space="preserve">255</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7</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3</w:t>
            </w:r>
          </w:p>
        </w:tc>
      </w:tr>
      <w:tr>
        <w:tc>
          <w:tcPr>
            <w:tcW w:type="dxa" w:w="12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2024</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32</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bCs/>
                <w:color w:val="C00000"/>
                <w:sz w:val="18"/>
                <w:szCs w:val="18"/>
                <w:rFonts w:ascii="Arial" w:cs="Arial" w:eastAsia="Arial" w:hAnsi="Arial"/>
              </w:rPr>
              <w:t xml:space="preserve">326</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4</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4</w:t>
            </w:r>
          </w:p>
        </w:tc>
      </w:tr>
      <w:tr>
        <w:tc>
          <w:tcPr>
            <w:tcW w:type="dxa" w:w="12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2025</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31</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bCs/>
                <w:color w:val="C00000"/>
                <w:sz w:val="18"/>
                <w:szCs w:val="18"/>
                <w:rFonts w:ascii="Arial" w:cs="Arial" w:eastAsia="Arial" w:hAnsi="Arial"/>
              </w:rPr>
              <w:t xml:space="preserve">391</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3</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2026*</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45</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bl>
    <w:p>
      <w:pPr>
        <w:spacing w:before="80" w:after="80"/>
      </w:pPr>
      <w:r>
        <w:t xml:space="preserve"/>
      </w:r>
    </w:p>
    <w:p>
      <w:pPr>
        <w:spacing w:before="80" w:after="120"/>
        <w:jc w:val="both"/>
      </w:pPr>
      <w:r>
        <w:rPr>
          <w:i/>
          <w:iCs/>
          <w:color w:val="888888"/>
          <w:sz w:val="22"/>
          <w:szCs w:val="22"/>
          <w:rFonts w:ascii="Arial" w:cs="Arial" w:eastAsia="Arial" w:hAnsi="Arial"/>
        </w:rPr>
        <w:t xml:space="preserve">(*) 2026 data is partial — dataset covers through early Q1 2026.</w:t>
      </w:r>
    </w:p>
    <w:p>
      <w:pPr>
        <w:spacing w:before="80" w:after="80"/>
      </w:pPr>
      <w:r>
        <w:t xml:space="preserve"/>
      </w:r>
    </w:p>
    <w:p>
      <w:pPr>
        <w:spacing w:before="80" w:after="120"/>
        <w:jc w:val="both"/>
      </w:pPr>
      <w:r>
        <w:rPr>
          <w:color w:val="333333"/>
          <w:sz w:val="22"/>
          <w:szCs w:val="22"/>
          <w:rFonts w:ascii="Arial" w:cs="Arial" w:eastAsia="Arial" w:hAnsi="Arial"/>
        </w:rPr>
        <w:t xml:space="preserve">The exponential rise in CSB barrier element failures from 2020 onwards correlates with the expansion of mature field operations and increased workover/intervention activity — the exact service segment in which Halliburton and Tejas are active.</w:t>
      </w:r>
    </w:p>
    <w:p>
      <w:pPr>
        <w:spacing w:before="80" w:after="80"/>
      </w:pPr>
      <w:r>
        <w:t xml:space="preserve"/>
      </w:r>
    </w:p>
    <w:p>
      <w:r>
        <w:br w:type="page"/>
      </w:r>
    </w:p>
    <w:p>
      <w:pPr>
        <w:pStyle w:val="Heading1"/>
        <w:pBdr>
          <w:bottom w:val="single" w:color="1F4E79" w:sz="6" w:space="1"/>
        </w:pBdr>
        <w:spacing w:before="360" w:after="160"/>
      </w:pPr>
      <w:r>
        <w:rPr>
          <w:b/>
          <w:bCs/>
          <w:color w:val="1F4E79"/>
          <w:sz w:val="32"/>
          <w:szCs w:val="32"/>
          <w:rFonts w:ascii="Arial" w:cs="Arial" w:eastAsia="Arial" w:hAnsi="Arial"/>
        </w:rPr>
        <w:t xml:space="preserve">4. Sample Incidents from ANP Open Dataset</w:t>
      </w:r>
    </w:p>
    <w:p>
      <w:pPr>
        <w:spacing w:before="80" w:after="120"/>
        <w:jc w:val="both"/>
      </w:pPr>
      <w:r>
        <w:rPr>
          <w:color w:val="333333"/>
          <w:sz w:val="22"/>
          <w:szCs w:val="22"/>
          <w:rFonts w:ascii="Arial" w:cs="Arial" w:eastAsia="Arial" w:hAnsi="Arial"/>
        </w:rPr>
        <w:t xml:space="preserve">The following incidents are drawn directly from the ANP SISO-Incidentes open database and are representative of the failure modes relevant to this operation. All records are publicly citable under Lei nº 12.527/2011.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000"/>
        <w:gridCol w:w="2000"/>
        <w:gridCol w:w="3760"/>
      </w:tblGrid>
      <w:tr>
        <w:tc>
          <w:tcPr>
            <w:tcW w:type="dxa" w:w="1100"/>
            <w:tcBorders>
              <w:top w:val="single" w:color="1F4E79" w:sz="1"/>
              <w:left w:val="single" w:color="1F4E79" w:sz="1"/>
              <w:bottom w:val="single" w:color="1F4E79" w:sz="1"/>
              <w:right w:val="single" w:color="1F4E79" w:sz="1"/>
            </w:tcBorders>
            <w:shd w:fill="C00000" w:val="clear"/>
            <w:tcMar>
              <w:top w:type="dxa" w:w="80"/>
              <w:left w:type="dxa" w:w="120"/>
              <w:bottom w:type="dxa" w:w="80"/>
              <w:right w:type="dxa" w:w="120"/>
            </w:tcMar>
          </w:tcPr>
          <w:p>
            <w:r>
              <w:rPr>
                <w:b/>
                <w:bCs/>
                <w:color w:val="FFFFFF"/>
                <w:sz w:val="18"/>
                <w:szCs w:val="18"/>
                <w:rFonts w:ascii="Arial" w:cs="Arial" w:eastAsia="Arial" w:hAnsi="Arial"/>
              </w:rPr>
              <w:t xml:space="preserve">Incident No.</w:t>
            </w:r>
          </w:p>
        </w:tc>
        <w:tc>
          <w:tcPr>
            <w:tcW w:type="dxa" w:w="1500"/>
            <w:tcBorders>
              <w:top w:val="single" w:color="1F4E79" w:sz="1"/>
              <w:left w:val="single" w:color="1F4E79" w:sz="1"/>
              <w:bottom w:val="single" w:color="1F4E79" w:sz="1"/>
              <w:right w:val="single" w:color="1F4E79" w:sz="1"/>
            </w:tcBorders>
            <w:shd w:fill="C00000" w:val="clear"/>
            <w:tcMar>
              <w:top w:type="dxa" w:w="80"/>
              <w:left w:type="dxa" w:w="120"/>
              <w:bottom w:type="dxa" w:w="80"/>
              <w:right w:type="dxa" w:w="120"/>
            </w:tcMar>
          </w:tcPr>
          <w:p>
            <w:r>
              <w:rPr>
                <w:b/>
                <w:bCs/>
                <w:color w:val="FFFFFF"/>
                <w:sz w:val="18"/>
                <w:szCs w:val="18"/>
                <w:rFonts w:ascii="Arial" w:cs="Arial" w:eastAsia="Arial" w:hAnsi="Arial"/>
              </w:rPr>
              <w:t xml:space="preserve">Operator</w:t>
            </w:r>
          </w:p>
        </w:tc>
        <w:tc>
          <w:tcPr>
            <w:tcW w:type="dxa" w:w="1000"/>
            <w:tcBorders>
              <w:top w:val="single" w:color="1F4E79" w:sz="1"/>
              <w:left w:val="single" w:color="1F4E79" w:sz="1"/>
              <w:bottom w:val="single" w:color="1F4E79" w:sz="1"/>
              <w:right w:val="single" w:color="1F4E79" w:sz="1"/>
            </w:tcBorders>
            <w:shd w:fill="C00000" w:val="clear"/>
            <w:tcMar>
              <w:top w:type="dxa" w:w="80"/>
              <w:left w:type="dxa" w:w="120"/>
              <w:bottom w:type="dxa" w:w="80"/>
              <w:right w:type="dxa" w:w="120"/>
            </w:tcMar>
          </w:tcPr>
          <w:p>
            <w:r>
              <w:rPr>
                <w:b/>
                <w:bCs/>
                <w:color w:val="FFFFFF"/>
                <w:sz w:val="18"/>
                <w:szCs w:val="18"/>
                <w:rFonts w:ascii="Arial" w:cs="Arial" w:eastAsia="Arial" w:hAnsi="Arial"/>
              </w:rPr>
              <w:t xml:space="preserve">Date</w:t>
            </w:r>
          </w:p>
        </w:tc>
        <w:tc>
          <w:tcPr>
            <w:tcW w:type="dxa" w:w="2000"/>
            <w:tcBorders>
              <w:top w:val="single" w:color="1F4E79" w:sz="1"/>
              <w:left w:val="single" w:color="1F4E79" w:sz="1"/>
              <w:bottom w:val="single" w:color="1F4E79" w:sz="1"/>
              <w:right w:val="single" w:color="1F4E79" w:sz="1"/>
            </w:tcBorders>
            <w:shd w:fill="C00000" w:val="clear"/>
            <w:tcMar>
              <w:top w:type="dxa" w:w="80"/>
              <w:left w:type="dxa" w:w="120"/>
              <w:bottom w:type="dxa" w:w="80"/>
              <w:right w:type="dxa" w:w="120"/>
            </w:tcMar>
          </w:tcPr>
          <w:p>
            <w:r>
              <w:rPr>
                <w:b/>
                <w:bCs/>
                <w:color w:val="FFFFFF"/>
                <w:sz w:val="18"/>
                <w:szCs w:val="18"/>
                <w:rFonts w:ascii="Arial" w:cs="Arial" w:eastAsia="Arial" w:hAnsi="Arial"/>
              </w:rPr>
              <w:t xml:space="preserve">Type</w:t>
            </w:r>
          </w:p>
        </w:tc>
        <w:tc>
          <w:tcPr>
            <w:tcW w:type="dxa" w:w="3760"/>
            <w:tcBorders>
              <w:top w:val="single" w:color="1F4E79" w:sz="1"/>
              <w:left w:val="single" w:color="1F4E79" w:sz="1"/>
              <w:bottom w:val="single" w:color="1F4E79" w:sz="1"/>
              <w:right w:val="single" w:color="1F4E79" w:sz="1"/>
            </w:tcBorders>
            <w:shd w:fill="C00000" w:val="clear"/>
            <w:tcMar>
              <w:top w:type="dxa" w:w="80"/>
              <w:left w:type="dxa" w:w="120"/>
              <w:bottom w:type="dxa" w:w="80"/>
              <w:right w:type="dxa" w:w="120"/>
            </w:tcMar>
          </w:tcPr>
          <w:p>
            <w:r>
              <w:rPr>
                <w:b/>
                <w:bCs/>
                <w:color w:val="FFFFFF"/>
                <w:sz w:val="18"/>
                <w:szCs w:val="18"/>
                <w:rFonts w:ascii="Arial" w:cs="Arial" w:eastAsia="Arial" w:hAnsi="Arial"/>
              </w:rPr>
              <w:t xml:space="preserve">Description (summarised)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1307/000033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Petrobras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09-07-2013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Kick – primary barrier failure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Volume gain of 1.4 bbl in trip tank during flowcheck. Possible formation influx in well 1-CES-161.</w:t>
            </w:r>
          </w:p>
        </w:tc>
      </w:tr>
      <w:tr>
        <w:tc>
          <w:tcPr>
            <w:tcW w:type="dxa" w:w="11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1309/000323</w:t>
            </w:r>
          </w:p>
        </w:tc>
        <w:tc>
          <w:tcPr>
            <w:tcW w:type="dxa" w:w="1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Petrobras</w:t>
            </w:r>
          </w:p>
        </w:tc>
        <w:tc>
          <w:tcPr>
            <w:tcW w:type="dxa" w:w="1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21-09-2013</w:t>
            </w:r>
          </w:p>
        </w:tc>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Kick – primary barrier failure</w:t>
            </w:r>
          </w:p>
        </w:tc>
        <w:tc>
          <w:tcPr>
            <w:tcW w:type="dxa" w:w="37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Dynamic and static flowcheck during string pullout detected volume gain. Well closed; pressure increase observed.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1310/000182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Petrobras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09-10-2013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Kick – primary barrier failure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Gas kick during drilling at 2,460 m.</w:t>
            </w:r>
          </w:p>
        </w:tc>
      </w:tr>
      <w:tr>
        <w:tc>
          <w:tcPr>
            <w:tcW w:type="dxa" w:w="11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1311/000015</w:t>
            </w:r>
          </w:p>
        </w:tc>
        <w:tc>
          <w:tcPr>
            <w:tcW w:type="dxa" w:w="15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Petrobras</w:t>
            </w:r>
          </w:p>
        </w:tc>
        <w:tc>
          <w:tcPr>
            <w:tcW w:type="dxa" w:w="1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09-01-2013</w:t>
            </w:r>
          </w:p>
        </w:tc>
        <w:tc>
          <w:tcPr>
            <w:tcW w:type="dxa" w:w="2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Kick – primary barrier failure</w:t>
            </w:r>
          </w:p>
        </w:tc>
        <w:tc>
          <w:tcPr>
            <w:tcW w:type="dxa" w:w="37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Return of oil and gas detected during circulation before resuming 8.5-inch phase drilling.</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1309/000264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OGX Petróleo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Kick – primary barrier failure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Kick during drilling of phase V with 8.5-inch bit at 6,135 m.</w:t>
            </w:r>
          </w:p>
        </w:tc>
      </w:tr>
    </w:tbl>
    <w:p>
      <w:pPr>
        <w:spacing w:before="80" w:after="80"/>
      </w:pPr>
      <w:r>
        <w:t xml:space="preserve"/>
      </w:r>
    </w:p>
    <w:p>
      <w:pPr>
        <w:spacing w:before="80" w:after="120"/>
        <w:jc w:val="both"/>
      </w:pPr>
      <w:r>
        <w:rPr>
          <w:i/>
          <w:iCs/>
          <w:color w:val="2E74B5"/>
          <w:sz w:val="22"/>
          <w:szCs w:val="22"/>
          <w:rFonts w:ascii="Arial" w:cs="Arial" w:eastAsia="Arial" w:hAnsi="Arial"/>
        </w:rPr>
        <w:t xml:space="preserve">Full dataset available at: dados.gov.br/organization/agencia-nacional-do-petroleo-gas-natural-e-biocombustiveis-anp</w:t>
      </w:r>
    </w:p>
    <w:p>
      <w:pPr>
        <w:spacing w:before="80" w:after="80"/>
      </w:pPr>
      <w:r>
        <w:t xml:space="preserve"/>
      </w:r>
    </w:p>
    <w:p>
      <w:r>
        <w:br w:type="page"/>
      </w:r>
    </w:p>
    <w:p>
      <w:pPr>
        <w:pStyle w:val="Heading1"/>
        <w:pBdr>
          <w:bottom w:val="single" w:color="1F4E79" w:sz="6" w:space="1"/>
        </w:pBdr>
        <w:spacing w:before="360" w:after="160"/>
      </w:pPr>
      <w:r>
        <w:rPr>
          <w:b/>
          <w:bCs/>
          <w:color w:val="1F4E79"/>
          <w:sz w:val="32"/>
          <w:szCs w:val="32"/>
          <w:rFonts w:ascii="Arial" w:cs="Arial" w:eastAsia="Arial" w:hAnsi="Arial"/>
        </w:rPr>
        <w:t xml:space="preserve">5. Applicable BV Standards &amp; Brazilian Regulations</w:t>
      </w:r>
    </w:p>
    <w:p>
      <w:pPr>
        <w:spacing w:before="80" w:after="120"/>
        <w:jc w:val="both"/>
      </w:pPr>
      <w:r>
        <w:rPr>
          <w:color w:val="333333"/>
          <w:sz w:val="22"/>
          <w:szCs w:val="22"/>
          <w:rFonts w:ascii="Arial" w:cs="Arial" w:eastAsia="Arial" w:hAnsi="Arial"/>
        </w:rPr>
        <w:t xml:space="preserve">The table below maps each applicable standard to its scope and direct relevance to HAL/Tejas operations, along with the official open-access source for independent verification.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19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Fonts w:ascii="Arial" w:cs="Arial" w:eastAsia="Arial" w:hAnsi="Arial"/>
              </w:rPr>
              <w:t xml:space="preserve">Standard / Regulation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Fonts w:ascii="Arial" w:cs="Arial" w:eastAsia="Arial" w:hAnsi="Arial"/>
              </w:rPr>
              <w:t xml:space="preserve">Scope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Fonts w:ascii="Arial" w:cs="Arial" w:eastAsia="Arial" w:hAnsi="Arial"/>
              </w:rPr>
              <w:t xml:space="preserve">Applicability to HAL / Tejas</w:t>
            </w:r>
          </w:p>
        </w:tc>
        <w:tc>
          <w:tcPr>
            <w:tcW w:type="dxa" w:w="1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Fonts w:ascii="Arial" w:cs="Arial" w:eastAsia="Arial" w:hAnsi="Arial"/>
              </w:rPr>
              <w:t xml:space="preserve">Open 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Resolução ANP nº 46/2016 (SGIP)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Well integrity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Halliburton &amp; Tejas equipment in barrier systems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gov.br/anp</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Resolução ANP nº 43/2007 (SGSO)</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Operational safety management</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All E&amp;P service operations</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gov.br/anp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BV NR 445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Classification of offshore units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Units where services are performed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marine-offshore.bureauveritas.com</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BV NR 459</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Process systems on offshore units</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Completion &amp; well control systems</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marine-offshore.bureauveritas.com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NR-37 (MTE)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Health &amp; safety on offshore platforms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All personnel on licensed installations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trabalho.gov.br</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NORMAM-01/DPC</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Maritime safety – vessels &amp; crew</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Marine vessels supporting operations</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marinha.mil.br/dpc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ISO 9001 / ISO 17025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QA/QC &amp; laboratory accreditation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Equipment certification &amp; testing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iso.org</w:t>
            </w:r>
          </w:p>
        </w:tc>
      </w:tr>
    </w:tbl>
    <w:p>
      <w:pPr>
        <w:spacing w:before="80" w:after="80"/>
      </w:pPr>
      <w:r>
        <w:t xml:space="preserve"/>
      </w:r>
    </w:p>
    <w:p>
      <w:r>
        <w:br w:type="page"/>
      </w:r>
    </w:p>
    <w:p>
      <w:pPr>
        <w:pStyle w:val="Heading1"/>
        <w:pBdr>
          <w:bottom w:val="single" w:color="1F4E79" w:sz="6" w:space="1"/>
        </w:pBdr>
        <w:spacing w:before="360" w:after="160"/>
      </w:pPr>
      <w:r>
        <w:rPr>
          <w:b/>
          <w:bCs/>
          <w:color w:val="1F4E79"/>
          <w:sz w:val="32"/>
          <w:szCs w:val="32"/>
          <w:rFonts w:ascii="Arial" w:cs="Arial" w:eastAsia="Arial" w:hAnsi="Arial"/>
        </w:rPr>
        <w:t xml:space="preserve">6. Open Data Sources — Traceability Map</w:t>
      </w:r>
    </w:p>
    <w:p>
      <w:pPr>
        <w:spacing w:before="80" w:after="120"/>
        <w:jc w:val="both"/>
      </w:pPr>
      <w:r>
        <w:rPr>
          <w:color w:val="333333"/>
          <w:sz w:val="22"/>
          <w:szCs w:val="22"/>
          <w:rFonts w:ascii="Arial" w:cs="Arial" w:eastAsia="Arial" w:hAnsi="Arial"/>
        </w:rPr>
        <w:t xml:space="preserve">All findings in this report are traceable to the following official open sources. Each source is freely accessible and suitable for use in audits, regulatory submissions, and technical justification documents.</w:t>
      </w:r>
    </w:p>
    <w:p>
      <w:pPr>
        <w:spacing w:before="80" w:after="80"/>
      </w:pPr>
      <w:r>
        <w:t xml:space="preserve"/>
      </w:r>
    </w:p>
    <w:p>
      <w:pPr>
        <w:pStyle w:val="Heading2"/>
        <w:spacing w:before="280" w:after="120"/>
      </w:pPr>
      <w:r>
        <w:rPr>
          <w:b/>
          <w:bCs/>
          <w:color w:val="2E74B5"/>
          <w:sz w:val="26"/>
          <w:szCs w:val="26"/>
          <w:rFonts w:ascii="Arial" w:cs="Arial" w:eastAsia="Arial" w:hAnsi="Arial"/>
        </w:rPr>
        <w:t xml:space="preserve">6.1 ANP — Agência Nacional do Petróleo</w:t>
      </w:r>
    </w:p>
    <w:p>
      <w:pPr>
        <w:spacing w:before="60" w:after="60"/>
      </w:pPr>
      <w:r>
        <w:rPr>
          <w:b/>
          <w:bCs/>
          <w:color w:val="1F4E79"/>
          <w:sz w:val="22"/>
          <w:szCs w:val="22"/>
          <w:rFonts w:ascii="Arial" w:cs="Arial" w:eastAsia="Arial" w:hAnsi="Arial"/>
        </w:rPr>
        <w:t xml:space="preserve">SISO-Incidentes Dataset: </w:t>
      </w:r>
      <w:r>
        <w:rPr>
          <w:color w:val="333333"/>
          <w:sz w:val="22"/>
          <w:szCs w:val="22"/>
          <w:rFonts w:ascii="Arial" w:cs="Arial" w:eastAsia="Arial" w:hAnsi="Arial"/>
        </w:rPr>
        <w:t xml:space="preserve">dados.gov.br/organization/anp — 30,054 records (2013–2026), published under Lei nº 12.527/2011</w:t>
      </w:r>
    </w:p>
    <w:p>
      <w:pPr>
        <w:spacing w:before="60" w:after="60"/>
      </w:pPr>
      <w:r>
        <w:rPr>
          <w:b/>
          <w:bCs/>
          <w:color w:val="1F4E79"/>
          <w:sz w:val="22"/>
          <w:szCs w:val="22"/>
          <w:rFonts w:ascii="Arial" w:cs="Arial" w:eastAsia="Arial" w:hAnsi="Arial"/>
        </w:rPr>
        <w:t xml:space="preserve">Resolução ANP nº 46/2016 (SGIP): </w:t>
      </w:r>
      <w:r>
        <w:rPr>
          <w:color w:val="333333"/>
          <w:sz w:val="22"/>
          <w:szCs w:val="22"/>
          <w:rFonts w:ascii="Arial" w:cs="Arial" w:eastAsia="Arial" w:hAnsi="Arial"/>
        </w:rPr>
        <w:t xml:space="preserve">gov.br/anp — Well Integrity Management System; mandatory for all E&amp;P licensees</w:t>
      </w:r>
    </w:p>
    <w:p>
      <w:pPr>
        <w:spacing w:before="60" w:after="60"/>
      </w:pPr>
      <w:r>
        <w:rPr>
          <w:b/>
          <w:bCs/>
          <w:color w:val="1F4E79"/>
          <w:sz w:val="22"/>
          <w:szCs w:val="22"/>
          <w:rFonts w:ascii="Arial" w:cs="Arial" w:eastAsia="Arial" w:hAnsi="Arial"/>
        </w:rPr>
        <w:t xml:space="preserve">Resolução ANP nº 43/2007 (SGSO): </w:t>
      </w:r>
      <w:r>
        <w:rPr>
          <w:color w:val="333333"/>
          <w:sz w:val="22"/>
          <w:szCs w:val="22"/>
          <w:rFonts w:ascii="Arial" w:cs="Arial" w:eastAsia="Arial" w:hAnsi="Arial"/>
        </w:rPr>
        <w:t xml:space="preserve">gov.br/anp — Operational Safety Management System for drilling and production</w:t>
      </w:r>
    </w:p>
    <w:p>
      <w:pPr>
        <w:spacing w:before="60" w:after="60"/>
      </w:pPr>
      <w:r>
        <w:rPr>
          <w:b/>
          <w:bCs/>
          <w:color w:val="1F4E79"/>
          <w:sz w:val="22"/>
          <w:szCs w:val="22"/>
          <w:rFonts w:ascii="Arial" w:cs="Arial" w:eastAsia="Arial" w:hAnsi="Arial"/>
        </w:rPr>
        <w:t xml:space="preserve">Resolução ANP nº 41/2015: </w:t>
      </w:r>
      <w:r>
        <w:rPr>
          <w:color w:val="333333"/>
          <w:sz w:val="22"/>
          <w:szCs w:val="22"/>
          <w:rFonts w:ascii="Arial" w:cs="Arial" w:eastAsia="Arial" w:hAnsi="Arial"/>
        </w:rPr>
        <w:t xml:space="preserve">gov.br/anp — Subsea systems safety management</w:t>
      </w:r>
    </w:p>
    <w:p>
      <w:pPr>
        <w:spacing w:before="80" w:after="80"/>
      </w:pPr>
      <w:r>
        <w:t xml:space="preserve"/>
      </w:r>
    </w:p>
    <w:p>
      <w:pPr>
        <w:pStyle w:val="Heading2"/>
        <w:spacing w:before="280" w:after="120"/>
      </w:pPr>
      <w:r>
        <w:rPr>
          <w:b/>
          <w:bCs/>
          <w:color w:val="2E74B5"/>
          <w:sz w:val="26"/>
          <w:szCs w:val="26"/>
          <w:rFonts w:ascii="Arial" w:cs="Arial" w:eastAsia="Arial" w:hAnsi="Arial"/>
        </w:rPr>
        <w:t xml:space="preserve">6.2 Bureau Veritas</w:t>
      </w:r>
    </w:p>
    <w:p>
      <w:pPr>
        <w:spacing w:before="60" w:after="60"/>
      </w:pPr>
      <w:r>
        <w:rPr>
          <w:b/>
          <w:bCs/>
          <w:color w:val="1F4E79"/>
          <w:sz w:val="22"/>
          <w:szCs w:val="22"/>
          <w:rFonts w:ascii="Arial" w:cs="Arial" w:eastAsia="Arial" w:hAnsi="Arial"/>
        </w:rPr>
        <w:t xml:space="preserve">NR 445 — Classification of Offshore Units: </w:t>
      </w:r>
      <w:r>
        <w:rPr>
          <w:color w:val="333333"/>
          <w:sz w:val="22"/>
          <w:szCs w:val="22"/>
          <w:rFonts w:ascii="Arial" w:cs="Arial" w:eastAsia="Arial" w:hAnsi="Arial"/>
        </w:rPr>
        <w:t xml:space="preserve">marine-offshore.bureauveritas.com/nr445 — Free download; governs structural, machinery, and safety systems on all BV-classed units</w:t>
      </w:r>
    </w:p>
    <w:p>
      <w:pPr>
        <w:spacing w:before="60" w:after="60"/>
      </w:pPr>
      <w:r>
        <w:rPr>
          <w:b/>
          <w:bCs/>
          <w:color w:val="1F4E79"/>
          <w:sz w:val="22"/>
          <w:szCs w:val="22"/>
          <w:rFonts w:ascii="Arial" w:cs="Arial" w:eastAsia="Arial" w:hAnsi="Arial"/>
        </w:rPr>
        <w:t xml:space="preserve">NR 459 — Process Systems on Offshore Units: </w:t>
      </w:r>
      <w:r>
        <w:rPr>
          <w:color w:val="333333"/>
          <w:sz w:val="22"/>
          <w:szCs w:val="22"/>
          <w:rFonts w:ascii="Arial" w:cs="Arial" w:eastAsia="Arial" w:hAnsi="Arial"/>
        </w:rPr>
        <w:t xml:space="preserve">marine-offshore.bureauveritas.com — Applies to completion and well control process systems</w:t>
      </w:r>
    </w:p>
    <w:p>
      <w:pPr>
        <w:spacing w:before="60" w:after="60"/>
      </w:pPr>
      <w:r>
        <w:rPr>
          <w:b/>
          <w:bCs/>
          <w:color w:val="1F4E79"/>
          <w:sz w:val="22"/>
          <w:szCs w:val="22"/>
          <w:rFonts w:ascii="Arial" w:cs="Arial" w:eastAsia="Arial" w:hAnsi="Arial"/>
        </w:rPr>
        <w:t xml:space="preserve">NR 493 — Mooring Systems: </w:t>
      </w:r>
      <w:r>
        <w:rPr>
          <w:color w:val="333333"/>
          <w:sz w:val="22"/>
          <w:szCs w:val="22"/>
          <w:rFonts w:ascii="Arial" w:cs="Arial" w:eastAsia="Arial" w:hAnsi="Arial"/>
        </w:rPr>
        <w:t xml:space="preserve">marine-offshore.bureauveritas.com — Applicable to floating units</w:t>
      </w:r>
    </w:p>
    <w:p>
      <w:pPr>
        <w:spacing w:before="60" w:after="60"/>
      </w:pPr>
      <w:r>
        <w:rPr>
          <w:b/>
          <w:bCs/>
          <w:color w:val="1F4E79"/>
          <w:sz w:val="22"/>
          <w:szCs w:val="22"/>
          <w:rFonts w:ascii="Arial" w:cs="Arial" w:eastAsia="Arial" w:hAnsi="Arial"/>
        </w:rPr>
        <w:t xml:space="preserve">IVBS-BRA Notation: </w:t>
      </w:r>
      <w:r>
        <w:rPr>
          <w:color w:val="333333"/>
          <w:sz w:val="22"/>
          <w:szCs w:val="22"/>
          <w:rFonts w:ascii="Arial" w:cs="Arial" w:eastAsia="Arial" w:hAnsi="Arial"/>
        </w:rPr>
        <w:t xml:space="preserve">marine-offshore.bureauveritas.com — Brazil-specific independent verification bridging ANP, DPC, NR-37, and IBAMA requirements</w:t>
      </w:r>
    </w:p>
    <w:p>
      <w:pPr>
        <w:spacing w:before="80" w:after="80"/>
      </w:pPr>
      <w:r>
        <w:t xml:space="preserve"/>
      </w:r>
    </w:p>
    <w:p>
      <w:pPr>
        <w:pStyle w:val="Heading2"/>
        <w:spacing w:before="280" w:after="120"/>
      </w:pPr>
      <w:r>
        <w:rPr>
          <w:b/>
          <w:bCs/>
          <w:color w:val="2E74B5"/>
          <w:sz w:val="26"/>
          <w:szCs w:val="26"/>
          <w:rFonts w:ascii="Arial" w:cs="Arial" w:eastAsia="Arial" w:hAnsi="Arial"/>
        </w:rPr>
        <w:t xml:space="preserve">6.3 Brazilian Ministry of Labour &amp; Maritime Authority</w:t>
      </w:r>
    </w:p>
    <w:p>
      <w:pPr>
        <w:spacing w:before="60" w:after="60"/>
      </w:pPr>
      <w:r>
        <w:rPr>
          <w:b/>
          <w:bCs/>
          <w:color w:val="1F4E79"/>
          <w:sz w:val="22"/>
          <w:szCs w:val="22"/>
          <w:rFonts w:ascii="Arial" w:cs="Arial" w:eastAsia="Arial" w:hAnsi="Arial"/>
        </w:rPr>
        <w:t xml:space="preserve">NR-37 (MTE): </w:t>
      </w:r>
      <w:r>
        <w:rPr>
          <w:color w:val="333333"/>
          <w:sz w:val="22"/>
          <w:szCs w:val="22"/>
          <w:rFonts w:ascii="Arial" w:cs="Arial" w:eastAsia="Arial" w:hAnsi="Arial"/>
        </w:rPr>
        <w:t xml:space="preserve">trabalho.gov.br — Health and safety standard for all personnel on offshore platforms</w:t>
      </w:r>
    </w:p>
    <w:p>
      <w:pPr>
        <w:spacing w:before="60" w:after="60"/>
      </w:pPr>
      <w:r>
        <w:rPr>
          <w:b/>
          <w:bCs/>
          <w:color w:val="1F4E79"/>
          <w:sz w:val="22"/>
          <w:szCs w:val="22"/>
          <w:rFonts w:ascii="Arial" w:cs="Arial" w:eastAsia="Arial" w:hAnsi="Arial"/>
        </w:rPr>
        <w:t xml:space="preserve">NR-33 / NR-35 (MTE): </w:t>
      </w:r>
      <w:r>
        <w:rPr>
          <w:color w:val="333333"/>
          <w:sz w:val="22"/>
          <w:szCs w:val="22"/>
          <w:rFonts w:ascii="Arial" w:cs="Arial" w:eastAsia="Arial" w:hAnsi="Arial"/>
        </w:rPr>
        <w:t xml:space="preserve">trabalho.gov.br — Confined space and work-at-height</w:t>
      </w:r>
    </w:p>
    <w:p>
      <w:pPr>
        <w:spacing w:before="60" w:after="60"/>
      </w:pPr>
      <w:r>
        <w:rPr>
          <w:b/>
          <w:bCs/>
          <w:color w:val="1F4E79"/>
          <w:sz w:val="22"/>
          <w:szCs w:val="22"/>
          <w:rFonts w:ascii="Arial" w:cs="Arial" w:eastAsia="Arial" w:hAnsi="Arial"/>
        </w:rPr>
        <w:t xml:space="preserve">NORMAM-01/DPC: </w:t>
      </w:r>
      <w:r>
        <w:rPr>
          <w:color w:val="333333"/>
          <w:sz w:val="22"/>
          <w:szCs w:val="22"/>
          <w:rFonts w:ascii="Arial" w:cs="Arial" w:eastAsia="Arial" w:hAnsi="Arial"/>
        </w:rPr>
        <w:t xml:space="preserve">marinha.mil.br/dpc — Maritime Authority safety regulations for vessels and crew</w:t>
      </w:r>
    </w:p>
    <w:p>
      <w:pPr>
        <w:spacing w:before="80" w:after="80"/>
      </w:pPr>
      <w:r>
        <w:t xml:space="preserve"/>
      </w:r>
    </w:p>
    <w:p>
      <w:pPr>
        <w:pStyle w:val="Heading2"/>
        <w:spacing w:before="280" w:after="120"/>
      </w:pPr>
      <w:r>
        <w:rPr>
          <w:b/>
          <w:bCs/>
          <w:color w:val="2E74B5"/>
          <w:sz w:val="26"/>
          <w:szCs w:val="26"/>
          <w:rFonts w:ascii="Arial" w:cs="Arial" w:eastAsia="Arial" w:hAnsi="Arial"/>
        </w:rPr>
        <w:t xml:space="preserve">6.4 International Cross-References</w:t>
      </w:r>
    </w:p>
    <w:p>
      <w:pPr>
        <w:spacing w:before="60" w:after="60"/>
      </w:pPr>
      <w:r>
        <w:rPr>
          <w:b/>
          <w:bCs/>
          <w:color w:val="1F4E79"/>
          <w:sz w:val="22"/>
          <w:szCs w:val="22"/>
          <w:rFonts w:ascii="Arial" w:cs="Arial" w:eastAsia="Arial" w:hAnsi="Arial"/>
        </w:rPr>
        <w:t xml:space="preserve">BSEE Offshore Incident Statistics (US): </w:t>
      </w:r>
      <w:r>
        <w:rPr>
          <w:color w:val="333333"/>
          <w:sz w:val="22"/>
          <w:szCs w:val="22"/>
          <w:rFonts w:ascii="Arial" w:cs="Arial" w:eastAsia="Arial" w:hAnsi="Arial"/>
        </w:rPr>
        <w:t xml:space="preserve">bsee.gov/stats-facts/offshore-incident-statistics — Global precedent for analogous failure modes</w:t>
      </w:r>
    </w:p>
    <w:p>
      <w:pPr>
        <w:spacing w:before="60" w:after="60"/>
      </w:pPr>
      <w:r>
        <w:rPr>
          <w:b/>
          <w:bCs/>
          <w:color w:val="1F4E79"/>
          <w:sz w:val="22"/>
          <w:szCs w:val="22"/>
          <w:rFonts w:ascii="Arial" w:cs="Arial" w:eastAsia="Arial" w:hAnsi="Arial"/>
        </w:rPr>
        <w:t xml:space="preserve">HSE UK Hydrocarbon Release Database: </w:t>
      </w:r>
      <w:r>
        <w:rPr>
          <w:color w:val="333333"/>
          <w:sz w:val="22"/>
          <w:szCs w:val="22"/>
          <w:rFonts w:ascii="Arial" w:cs="Arial" w:eastAsia="Arial" w:hAnsi="Arial"/>
        </w:rPr>
        <w:t xml:space="preserve">hse.gov.uk/offshore/hydrocarbon-releases — International benchmark for leak and well control events</w:t>
      </w:r>
    </w:p>
    <w:p>
      <w:pPr>
        <w:spacing w:before="80" w:after="80"/>
      </w:pPr>
      <w:r>
        <w:t xml:space="preserve"/>
      </w:r>
    </w:p>
    <w:p>
      <w:r>
        <w:br w:type="page"/>
      </w:r>
    </w:p>
    <w:p>
      <w:pPr>
        <w:pStyle w:val="Heading1"/>
        <w:pBdr>
          <w:bottom w:val="single" w:color="1F4E79" w:sz="6" w:space="1"/>
        </w:pBdr>
        <w:spacing w:before="360" w:after="160"/>
      </w:pPr>
      <w:r>
        <w:rPr>
          <w:b/>
          <w:bCs/>
          <w:color w:val="1F4E79"/>
          <w:sz w:val="32"/>
          <w:szCs w:val="32"/>
          <w:rFonts w:ascii="Arial" w:cs="Arial" w:eastAsia="Arial" w:hAnsi="Arial"/>
        </w:rPr>
        <w:t xml:space="preserve">7. Recommended Justification Language</w:t>
      </w:r>
    </w:p>
    <w:p>
      <w:pPr>
        <w:spacing w:before="80" w:after="120"/>
        <w:jc w:val="both"/>
      </w:pPr>
      <w:r>
        <w:rPr>
          <w:color w:val="333333"/>
          <w:sz w:val="22"/>
          <w:szCs w:val="22"/>
          <w:rFonts w:ascii="Arial" w:cs="Arial" w:eastAsia="Arial" w:hAnsi="Arial"/>
        </w:rPr>
        <w:t xml:space="preserve">The following text can be used verbatim in regulatory submissions, audit responses, or project risk assessments to justify knowledge of failure modes:</w:t>
      </w:r>
    </w:p>
    <w:p>
      <w:pPr>
        <w:spacing w:before="80" w:after="80"/>
      </w:pPr>
      <w:r>
        <w:t xml:space="preserve"/>
      </w:r>
    </w:p>
    <w:p>
      <w:pPr>
        <w:spacing w:before="120" w:after="120"/>
      </w:pPr>
      <w:r>
        <w:rPr>
          <w:i/>
          <w:iCs/>
          <w:color w:val="333333"/>
          <w:sz w:val="20"/>
          <w:szCs w:val="20"/>
          <w:rFonts w:ascii="Arial" w:cs="Arial" w:eastAsia="Arial" w:hAnsi="Arial"/>
        </w:rPr>
        <w:t xml:space="preserve">"The failure modes identified in this analysis are documented in the ANP's public E&amp;P incident database (SISO-Incidentes, 30,054 records, 2013–2026 — available at dados.gov.br/organization/anp under Lei de Acesso a Informacao, Lei no 12.527/2011). CSB barrier element failures rose from 1 incident in 2016 to 391 in 2025, representing the dominant well integrity risk category in Brazilian E&amp;P. Since Halliburton and Tejas operate as service companies on installations licensed to ANP operators, their equipment and services fall within the barrier systems captured by these statistics, making compliance with Resolucao ANP no 46/2016 (SGIP) and Bureau Veritas NR 445 directly and mandatorily applicable."</w:t>
      </w:r>
    </w:p>
    <w:p>
      <w:pPr>
        <w:spacing w:before="80" w:after="80"/>
      </w:pPr>
      <w:r>
        <w:t xml:space="preserve"/>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color w:val="888888"/>
        <w:sz w:val="16"/>
        <w:szCs w:val="16"/>
        <w:rFonts w:ascii="Arial" w:cs="Arial" w:eastAsia="Arial" w:hAnsi="Arial"/>
      </w:rPr>
      <w:t xml:space="preserve">Source: ANP SISO-Incidentes Open Data (dados.gov.br) | Bureau Veritas Rules (marine-offshore.bureauveritas.com) | Page </w:t>
    </w:r>
    <w:r>
      <w:rPr>
        <w:color w:val="888888"/>
        <w:sz w:val="16"/>
        <w:szCs w:val="16"/>
        <w:rFonts w:ascii="Arial" w:cs="Arial" w:eastAsia="Arial" w:hAnsi="Arial"/>
      </w:rPr>
      <w:fldChar w:fldCharType="begin"/>
      <w:instrText xml:space="preserve">PAGE</w:instrText>
      <w:fldChar w:fldCharType="separate"/>
      <w:fldChar w:fldCharType="end"/>
    </w:r>
    <w:r>
      <w:rPr>
        <w:color w:val="888888"/>
        <w:sz w:val="16"/>
        <w:szCs w:val="16"/>
        <w:rFonts w:ascii="Arial" w:cs="Arial" w:eastAsia="Arial" w:hAnsi="Arial"/>
      </w:rPr>
      <w:t xml:space="preserve"> of </w:t>
    </w:r>
    <w:r>
      <w:rPr>
        <w:color w:val="888888"/>
        <w:sz w:val="16"/>
        <w:szCs w:val="16"/>
        <w:rFonts w:ascii="Arial" w:cs="Arial" w:eastAsia="Arial" w:hAnsi="Aria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80"/>
    </w:pPr>
    <w:r>
      <w:rPr>
        <w:b/>
        <w:bCs/>
        <w:color w:val="1F4E79"/>
        <w:sz w:val="18"/>
        <w:szCs w:val="18"/>
        <w:rFonts w:ascii="Arial" w:cs="Arial" w:eastAsia="Arial" w:hAnsi="Arial"/>
      </w:rPr>
      <w:t xml:space="preserve">HAL Tejas Incident Report — BV Compliance &amp; ANP Incident Analysis</w:t>
    </w:r>
    <w:r>
      <w:rPr>
        <w:color w:val="C00000"/>
        <w:sz w:val="18"/>
        <w:szCs w:val="18"/>
        <w:rFonts w:ascii="Arial" w:cs="Arial" w:eastAsia="Arial" w:hAnsi="Arial"/>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b/>
      <w:bCs/>
      <w:color w:val="1F4E79"/>
      <w:sz w:val="32"/>
      <w:szCs w:val="32"/>
      <w:rFonts w:ascii="Arial" w:cs="Arial" w:eastAsia="Arial" w:hAnsi="Arial"/>
    </w:rPr>
  </w:style>
  <w:style w:type="paragraph" w:styleId="Heading2">
    <w:name w:val="Heading 2"/>
    <w:basedOn w:val="Normal"/>
    <w:next w:val="Normal"/>
    <w:qFormat/>
    <w:pPr>
      <w:spacing w:before="280" w:after="120"/>
      <w:outlineLvl w:val="1"/>
    </w:pPr>
    <w:rPr>
      <w:b/>
      <w:bCs/>
      <w:color w:val="2E74B5"/>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2026-03-22T22:05:28.523Z</dcterms:created>
  <dcterms:modified xsi:type="dcterms:W3CDTF">2026-03-22T22:05:28.524Z</dcterms:modified>
</cp:coreProperties>
</file>

<file path=docProps/custom.xml><?xml version="1.0" encoding="utf-8"?>
<Properties xmlns="http://schemas.openxmlformats.org/officeDocument/2006/custom-properties" xmlns:vt="http://schemas.openxmlformats.org/officeDocument/2006/docPropsVTypes"/>
</file>