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72CE"/>
          <w:sz w:val="20"/>
        </w:rPr>
        <w:t>CYBERSECURITY ASSESSMENT &amp; THREAT MANAGEMENT</w:t>
      </w:r>
    </w:p>
    <w:p>
      <w:pPr>
        <w:spacing w:before="0" w:after="160"/>
      </w:pPr>
      <w:r>
        <w:rPr>
          <w:rFonts w:ascii="Arial" w:hAnsi="Arial"/>
          <w:b/>
          <w:color w:val="182B49"/>
          <w:sz w:val="40"/>
        </w:rPr>
        <w:t>Document Enterprise Cybersecurity Issues</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TARGET ORGANIZATION</w:t>
              <w:br/>
            </w:r>
            <w:r>
              <w:rPr>
                <w:rFonts w:ascii="Arial" w:hAnsi="Arial"/>
                <w:b/>
                <w:color w:val="182B49"/>
                <w:sz w:val="18"/>
              </w:rPr>
              <w:t>Athena Learning Incorporated (Global EdTech Provider)</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ASSESSMENT SCOPE</w:t>
              <w:br/>
            </w:r>
            <w:r>
              <w:rPr>
                <w:rFonts w:ascii="Arial" w:hAnsi="Arial"/>
                <w:b/>
                <w:color w:val="182B49"/>
                <w:sz w:val="18"/>
              </w:rPr>
              <w:t>Asset Classification, Threat Modeling, &amp; Control Mitigation</w:t>
            </w:r>
          </w:p>
        </w:tc>
      </w:tr>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OPERATIONAL SITES</w:t>
              <w:br/>
            </w:r>
            <w:r>
              <w:rPr>
                <w:rFonts w:ascii="Arial" w:hAnsi="Arial"/>
                <w:b/>
                <w:color w:val="182B49"/>
                <w:sz w:val="18"/>
              </w:rPr>
              <w:t>Headquarters (~100 staff), London (~5 staff), Singapore (~5 staff)</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KEY FRAMEWORKS</w:t>
              <w:br/>
            </w:r>
            <w:r>
              <w:rPr>
                <w:rFonts w:ascii="Arial" w:hAnsi="Arial"/>
                <w:b/>
                <w:color w:val="182B49"/>
                <w:sz w:val="18"/>
              </w:rPr>
              <w:t>Defense-in-Depth, RBAC, WAF, Encryption, MDM, &amp; Security Governance</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ENTERPRISE SCENARIO OVERVIEW: </w:t>
            </w:r>
            <w:r>
              <w:rPr>
                <w:rFonts w:ascii="Arial" w:hAnsi="Arial"/>
                <w:color w:val="323232"/>
                <w:sz w:val="19"/>
              </w:rPr>
              <w:t>Athena Learning Incorporated is an educational service provider operating in course content creation and online learning hosting. With 100 employees at HQ and branch offices in London and Singapore, Athena operates hybrid infrastructure: internal Windows/Linux servers, custom applications, on-prem SQL databases, and public cloud mirrors for global course delivery. Athena allows BYOD (personal phones/tablets), supports remote teleworkers with full internal access, hosts its own DNS, email, and intranet services, and provides partner portal access. This lab structures Athena's assets into four foundational categories, analyzes specific threat vectors, and defines defense-in-depth mitigations.</w:t>
            </w:r>
          </w:p>
        </w:tc>
      </w:tr>
    </w:tbl>
    <w:p>
      <w:pPr>
        <w:spacing w:after="120"/>
      </w:pPr>
    </w:p>
    <w:p>
      <w:pPr>
        <w:keepNext/>
        <w:spacing w:before="320" w:after="120"/>
        <w:pBrd>
          <w:bottom w:val="single" w:sz="12" w:space="4" w:color="0072CE"/>
        </w:pBrd>
      </w:pPr>
      <w:r>
        <w:rPr>
          <w:rFonts w:ascii="Arial" w:hAnsi="Arial"/>
          <w:b/>
          <w:color w:val="182B49"/>
          <w:sz w:val="26"/>
        </w:rPr>
        <w:t>Part 1: Enterprise Asset Classification, Threat Analysis &amp; Mitigations</w:t>
      </w:r>
    </w:p>
    <w:p>
      <w:pPr>
        <w:keepNext/>
        <w:spacing w:before="240" w:after="80"/>
      </w:pPr>
      <w:r>
        <w:rPr>
          <w:rFonts w:ascii="Arial" w:hAnsi="Arial"/>
          <w:b/>
          <w:color w:val="0072CE"/>
          <w:sz w:val="21"/>
        </w:rPr>
        <w:t>1. Information &amp; Data Assets Assessment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60" w:type="dxa"/>
              <w:bottom w:w="60" w:type="dxa"/>
              <w:left w:w="80" w:type="dxa"/>
              <w:right w:w="80" w:type="dxa"/>
            </w:tcMar>
            <w:shd w:fill="182B49"/>
          </w:tcPr>
          <w:p>
            <w:r>
              <w:rPr>
                <w:rFonts w:ascii="Arial" w:hAnsi="Arial"/>
                <w:b/>
                <w:color w:val="FFFFFF"/>
                <w:sz w:val="17"/>
              </w:rPr>
              <w:t>Information / Data Asset</w:t>
            </w:r>
          </w:p>
        </w:tc>
        <w:tc>
          <w:tcPr>
            <w:tcW w:type="dxa" w:w="3168"/>
            <w:tcMar>
              <w:top w:w="60" w:type="dxa"/>
              <w:bottom w:w="60" w:type="dxa"/>
              <w:left w:w="80" w:type="dxa"/>
              <w:right w:w="80" w:type="dxa"/>
            </w:tcMar>
            <w:shd w:fill="182B49"/>
          </w:tcPr>
          <w:p>
            <w:r>
              <w:rPr>
                <w:rFonts w:ascii="Arial" w:hAnsi="Arial"/>
                <w:b/>
                <w:color w:val="FFFFFF"/>
                <w:sz w:val="17"/>
              </w:rPr>
              <w:t>Potential Cybersecurity Threats</w:t>
            </w:r>
          </w:p>
        </w:tc>
        <w:tc>
          <w:tcPr>
            <w:tcW w:type="dxa" w:w="3600"/>
            <w:tcMar>
              <w:top w:w="60" w:type="dxa"/>
              <w:bottom w:w="60" w:type="dxa"/>
              <w:left w:w="80" w:type="dxa"/>
              <w:right w:w="80" w:type="dxa"/>
            </w:tcMar>
            <w:shd w:fill="182B49"/>
          </w:tcPr>
          <w:p>
            <w:r>
              <w:rPr>
                <w:rFonts w:ascii="Arial" w:hAnsi="Arial"/>
                <w:b/>
                <w:color w:val="FFFFFF"/>
                <w:sz w:val="17"/>
              </w:rPr>
              <w:t>Recommended Mitigation Controls</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Student personal &amp; payment information</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Data breach, phishing, identity theft, unauthorized exfiltration</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Data encryption (at rest/transit), MFA, PCI-DSS compliance, strict access controls</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Course content &amp; intellectual property</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Theft, unauthorized copying, ransomware extortion, content scraping</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Data encryption, immutable backups, Digital Rights Management (DRM), least privilege</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Employee business &amp; HR records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Insider threats, malware infection, unauthorized credential access</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Role-Based Access Control (RBAC), endpoint detection &amp; response (EDR), security awareness training</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Partner course materials</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Data leakage, unauthorized modification, integrity compromise</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Secure web portal with TLS, end-to-end encryption, strict role isolation, audit logging</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SQL database records &amp; transactions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SQL injection (SQLi), database corruption, privileged data theft</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Input validation, parameterized queries, continuous database patching, Web Application Firewall (WAF)</w:t>
            </w:r>
          </w:p>
        </w:tc>
      </w:tr>
    </w:tbl>
    <w:p>
      <w:pPr>
        <w:spacing w:after="160"/>
      </w:pPr>
    </w:p>
    <w:p>
      <w:pPr>
        <w:keepNext/>
        <w:spacing w:before="240" w:after="80"/>
      </w:pPr>
      <w:r>
        <w:rPr>
          <w:rFonts w:ascii="Arial" w:hAnsi="Arial"/>
          <w:b/>
          <w:color w:val="0072CE"/>
          <w:sz w:val="21"/>
        </w:rPr>
        <w:t>2. Software Assets Assessment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60" w:type="dxa"/>
              <w:bottom w:w="60" w:type="dxa"/>
              <w:left w:w="80" w:type="dxa"/>
              <w:right w:w="80" w:type="dxa"/>
            </w:tcMar>
            <w:shd w:fill="182B49"/>
          </w:tcPr>
          <w:p>
            <w:r>
              <w:rPr>
                <w:rFonts w:ascii="Arial" w:hAnsi="Arial"/>
                <w:b/>
                <w:color w:val="FFFFFF"/>
                <w:sz w:val="17"/>
              </w:rPr>
              <w:t>Software Asset</w:t>
            </w:r>
          </w:p>
        </w:tc>
        <w:tc>
          <w:tcPr>
            <w:tcW w:type="dxa" w:w="3168"/>
            <w:tcMar>
              <w:top w:w="60" w:type="dxa"/>
              <w:bottom w:w="60" w:type="dxa"/>
              <w:left w:w="80" w:type="dxa"/>
              <w:right w:w="80" w:type="dxa"/>
            </w:tcMar>
            <w:shd w:fill="182B49"/>
          </w:tcPr>
          <w:p>
            <w:r>
              <w:rPr>
                <w:rFonts w:ascii="Arial" w:hAnsi="Arial"/>
                <w:b/>
                <w:color w:val="FFFFFF"/>
                <w:sz w:val="17"/>
              </w:rPr>
              <w:t>Potential Cybersecurity Threats</w:t>
            </w:r>
          </w:p>
        </w:tc>
        <w:tc>
          <w:tcPr>
            <w:tcW w:type="dxa" w:w="3600"/>
            <w:tcMar>
              <w:top w:w="60" w:type="dxa"/>
              <w:bottom w:w="60" w:type="dxa"/>
              <w:left w:w="80" w:type="dxa"/>
              <w:right w:w="80" w:type="dxa"/>
            </w:tcMar>
            <w:shd w:fill="182B49"/>
          </w:tcPr>
          <w:p>
            <w:r>
              <w:rPr>
                <w:rFonts w:ascii="Arial" w:hAnsi="Arial"/>
                <w:b/>
                <w:color w:val="FFFFFF"/>
                <w:sz w:val="17"/>
              </w:rPr>
              <w:t>Recommended Mitigation Controls</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Windows and Linux production servers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OS vulnerabilities, malware infection, privilege escalation</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Automated patch management, antivirus/EDR, OS hardening benchmarks (CIS)</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Learning Management System (LMS)</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Web attacks (XSS, CSRF), DDoS attacks, account takeover</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Web Application Firewall (WAF), MFA, secure coding standards, continuous logging/monitoring</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SQL Database Management System (DBMS)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SQL injection, unpatched engine exploits, unauthorized access</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Strong authentication, TLS database connections, least privilege DB permissions, patching</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Email and DNS server software</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Phishing, email spoofing, DNS cache poisoning, domain hijacking</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SPF, DKIM, DMARC records, DNSSEC implementation, secure email gateway filtering</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Custom business applications &amp; internal tools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Zero-day software bugs, code injection, insecure API endpoints</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Secure Software Development Lifecycle (SSDLC), code reviews, dynamic/static SAST/DAST scanning, pen testing</w:t>
            </w:r>
          </w:p>
        </w:tc>
      </w:tr>
    </w:tbl>
    <w:p>
      <w:pPr>
        <w:spacing w:after="160"/>
      </w:pPr>
    </w:p>
    <w:p>
      <w:pPr>
        <w:keepNext/>
        <w:spacing w:before="240" w:after="80"/>
      </w:pPr>
      <w:r>
        <w:rPr>
          <w:rFonts w:ascii="Arial" w:hAnsi="Arial"/>
          <w:b/>
          <w:color w:val="0072CE"/>
          <w:sz w:val="21"/>
        </w:rPr>
        <w:t>3. Physical Assets Assessment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60" w:type="dxa"/>
              <w:bottom w:w="60" w:type="dxa"/>
              <w:left w:w="80" w:type="dxa"/>
              <w:right w:w="80" w:type="dxa"/>
            </w:tcMar>
            <w:shd w:fill="182B49"/>
          </w:tcPr>
          <w:p>
            <w:r>
              <w:rPr>
                <w:rFonts w:ascii="Arial" w:hAnsi="Arial"/>
                <w:b/>
                <w:color w:val="FFFFFF"/>
                <w:sz w:val="17"/>
              </w:rPr>
              <w:t>Physical Asset</w:t>
            </w:r>
          </w:p>
        </w:tc>
        <w:tc>
          <w:tcPr>
            <w:tcW w:type="dxa" w:w="3168"/>
            <w:tcMar>
              <w:top w:w="60" w:type="dxa"/>
              <w:bottom w:w="60" w:type="dxa"/>
              <w:left w:w="80" w:type="dxa"/>
              <w:right w:w="80" w:type="dxa"/>
            </w:tcMar>
            <w:shd w:fill="182B49"/>
          </w:tcPr>
          <w:p>
            <w:r>
              <w:rPr>
                <w:rFonts w:ascii="Arial" w:hAnsi="Arial"/>
                <w:b/>
                <w:color w:val="FFFFFF"/>
                <w:sz w:val="17"/>
              </w:rPr>
              <w:t>Potential Cybersecurity Threats</w:t>
            </w:r>
          </w:p>
        </w:tc>
        <w:tc>
          <w:tcPr>
            <w:tcW w:type="dxa" w:w="3600"/>
            <w:tcMar>
              <w:top w:w="60" w:type="dxa"/>
              <w:bottom w:w="60" w:type="dxa"/>
              <w:left w:w="80" w:type="dxa"/>
              <w:right w:w="80" w:type="dxa"/>
            </w:tcMar>
            <w:shd w:fill="182B49"/>
          </w:tcPr>
          <w:p>
            <w:r>
              <w:rPr>
                <w:rFonts w:ascii="Arial" w:hAnsi="Arial"/>
                <w:b/>
                <w:color w:val="FFFFFF"/>
                <w:sz w:val="17"/>
              </w:rPr>
              <w:t>Recommended Mitigation Controls</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Employee workstations &amp; laptops (PCs &amp; Macs)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Physical theft, lost hardware, device failure, unencrypted data extraction</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Full-disk encryption (BitLocker/FileVault), centralized endpoint protection, physical asset tagging</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Mobile phones &amp; tablets (BYOD program)</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Device loss or theft, malicious mobile applications, unsecured Wi-Fi</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Mobile Device Management (MDM), containerization, enforce MFA/passcode, remote wipe capability</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Office server rooms &amp; on-prem hosts</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Unauthorized physical access, fire, water damage, power outages</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Locked server rooms with biometric/badge access, CCTV monitoring, environmental controls, UPS &amp; backups</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Networking hardware (routers, switches, firewalls)</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Physical tampering, unauthorized console attachment, hardware theft</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Locked telecom racks, regular firmware updates, disable unused physical ports, strict physical access</w:t>
            </w:r>
          </w:p>
        </w:tc>
      </w:tr>
    </w:tbl>
    <w:p>
      <w:pPr>
        <w:spacing w:after="160"/>
      </w:pPr>
    </w:p>
    <w:p>
      <w:pPr>
        <w:keepNext/>
        <w:spacing w:before="240" w:after="80"/>
      </w:pPr>
      <w:r>
        <w:rPr>
          <w:rFonts w:ascii="Arial" w:hAnsi="Arial"/>
          <w:b/>
          <w:color w:val="0072CE"/>
          <w:sz w:val="21"/>
        </w:rPr>
        <w:t>4. Network Assets Assessment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60" w:type="dxa"/>
              <w:bottom w:w="60" w:type="dxa"/>
              <w:left w:w="80" w:type="dxa"/>
              <w:right w:w="80" w:type="dxa"/>
            </w:tcMar>
            <w:shd w:fill="182B49"/>
          </w:tcPr>
          <w:p>
            <w:r>
              <w:rPr>
                <w:rFonts w:ascii="Arial" w:hAnsi="Arial"/>
                <w:b/>
                <w:color w:val="FFFFFF"/>
                <w:sz w:val="17"/>
              </w:rPr>
              <w:t>Network Asset</w:t>
            </w:r>
          </w:p>
        </w:tc>
        <w:tc>
          <w:tcPr>
            <w:tcW w:type="dxa" w:w="3168"/>
            <w:tcMar>
              <w:top w:w="60" w:type="dxa"/>
              <w:bottom w:w="60" w:type="dxa"/>
              <w:left w:w="80" w:type="dxa"/>
              <w:right w:w="80" w:type="dxa"/>
            </w:tcMar>
            <w:shd w:fill="182B49"/>
          </w:tcPr>
          <w:p>
            <w:r>
              <w:rPr>
                <w:rFonts w:ascii="Arial" w:hAnsi="Arial"/>
                <w:b/>
                <w:color w:val="FFFFFF"/>
                <w:sz w:val="17"/>
              </w:rPr>
              <w:t>Potential Cybersecurity Threats</w:t>
            </w:r>
          </w:p>
        </w:tc>
        <w:tc>
          <w:tcPr>
            <w:tcW w:type="dxa" w:w="3600"/>
            <w:tcMar>
              <w:top w:w="60" w:type="dxa"/>
              <w:bottom w:w="60" w:type="dxa"/>
              <w:left w:w="80" w:type="dxa"/>
              <w:right w:w="80" w:type="dxa"/>
            </w:tcMar>
            <w:shd w:fill="182B49"/>
          </w:tcPr>
          <w:p>
            <w:r>
              <w:rPr>
                <w:rFonts w:ascii="Arial" w:hAnsi="Arial"/>
                <w:b/>
                <w:color w:val="FFFFFF"/>
                <w:sz w:val="17"/>
              </w:rPr>
              <w:t>Recommended Mitigation Controls</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Corporate Local Area Network (LAN)</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Unauthorized network access, lateral malware spread, packet sniffing</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Network segmentation (VLANs), 802.1X Network Access Control (NAC), internal next-gen firewalls</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Remote access VPN (Teleworkers &amp; branches)</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Credential harvesting, brute-force attacks, MITM interception</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Multi-Factor Authentication (MFA), IPsec/TLS encryption, split-tunnel restrictions, strong password policy</w:t>
            </w:r>
          </w:p>
        </w:tc>
      </w:tr>
      <w:tr>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Cloud-hosted learning platform</w:t>
            </w:r>
          </w:p>
        </w:tc>
        <w:tc>
          <w:tcPr>
            <w:tcW w:type="dxa" w:w="3168"/>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B91C1C"/>
                <w:sz w:val="17"/>
              </w:rPr>
              <w:t>Distributed Denial of Service (DDoS), cloud storage misconfiguration, account takeover</w:t>
            </w:r>
          </w:p>
        </w:tc>
        <w:tc>
          <w:tcPr>
            <w:tcW w:type="dxa" w:w="3600"/>
            <w:tcMar>
              <w:top w:w="55" w:type="dxa"/>
              <w:bottom w:w="55" w:type="dxa"/>
              <w:left w:w="80" w:type="dxa"/>
              <w:right w:w="80" w:type="dxa"/>
            </w:tcMar>
            <w:shd w:fill="FFFFFF"/>
            <w:tcBorders>
              <w:top w:val="single" w:sz="4" w:space="0" w:color="E2E8F0"/>
              <w:bottom w:val="single" w:sz="4" w:space="0" w:color="E2E8F0"/>
              <w:left w:val="none"/>
              <w:right w:val="none"/>
            </w:tcBorders>
          </w:tcPr>
          <w:p>
            <w:r>
              <w:rPr>
                <w:rFonts w:ascii="Arial" w:hAnsi="Arial"/>
                <w:color w:val="166534"/>
                <w:sz w:val="17"/>
              </w:rPr>
              <w:t>Cloud security posture management (CSPM), multi-cloud DDoS protection, strict IAM policies, logging</w:t>
            </w:r>
          </w:p>
        </w:tc>
      </w:tr>
      <w:tr>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Secure partner web portal</w:t>
            </w:r>
          </w:p>
        </w:tc>
        <w:tc>
          <w:tcPr>
            <w:tcW w:type="dxa" w:w="3168"/>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B91C1C"/>
                <w:sz w:val="17"/>
              </w:rPr>
              <w:t>Web exploits (OWASP Top 10), session hijacking, API vulnerabilities</w:t>
            </w:r>
          </w:p>
        </w:tc>
        <w:tc>
          <w:tcPr>
            <w:tcW w:type="dxa" w:w="3600"/>
            <w:tcMar>
              <w:top w:w="55" w:type="dxa"/>
              <w:bottom w:w="55" w:type="dxa"/>
              <w:left w:w="80" w:type="dxa"/>
              <w:right w:w="80" w:type="dxa"/>
            </w:tcMar>
            <w:shd w:fill="F8FAFC"/>
            <w:tcBorders>
              <w:top w:val="single" w:sz="4" w:space="0" w:color="E2E8F0"/>
              <w:bottom w:val="single" w:sz="4" w:space="0" w:color="E2E8F0"/>
              <w:left w:val="none"/>
              <w:right w:val="none"/>
            </w:tcBorders>
          </w:tcPr>
          <w:p>
            <w:r>
              <w:rPr>
                <w:rFonts w:ascii="Arial" w:hAnsi="Arial"/>
                <w:color w:val="166534"/>
                <w:sz w:val="17"/>
              </w:rPr>
              <w:t>Enforce HTTPS (TLS 1.3), Web Application Firewall (WAF), session timeout, mandatory MFA, annual penetration testing</w:t>
            </w:r>
          </w:p>
        </w:tc>
      </w:tr>
    </w:tbl>
    <w:p>
      <w:pPr>
        <w:spacing w:after="160"/>
      </w:pPr>
    </w:p>
    <w:p>
      <w:pPr>
        <w:keepNext/>
        <w:spacing w:before="320" w:after="120"/>
        <w:pBrd>
          <w:bottom w:val="single" w:sz="12" w:space="4" w:color="0072CE"/>
        </w:pBrd>
      </w:pPr>
      <w:r>
        <w:rPr>
          <w:rFonts w:ascii="Arial" w:hAnsi="Arial"/>
          <w:b/>
          <w:color w:val="182B49"/>
          <w:sz w:val="26"/>
        </w:rPr>
        <w:t>Parts 2, 3 &amp; 4: Assessment Methodology &amp; Foundational Definitions</w:t>
      </w:r>
    </w:p>
    <w:p>
      <w:pPr>
        <w:keepNext/>
        <w:spacing w:before="160" w:after="60"/>
      </w:pPr>
      <w:r>
        <w:rPr>
          <w:rFonts w:ascii="Arial" w:hAnsi="Arial"/>
          <w:b/>
          <w:color w:val="182B49"/>
          <w:sz w:val="20"/>
        </w:rPr>
        <w:t xml:space="preserve">Step 1: </w:t>
      </w:r>
      <w:r>
        <w:rPr>
          <w:rFonts w:ascii="Arial" w:hAnsi="Arial"/>
          <w:b/>
          <w:color w:val="323232"/>
          <w:sz w:val="20"/>
        </w:rPr>
        <w:t>Categorize Enterprise Assets (Four Pillars)</w:t>
      </w:r>
    </w:p>
    <w:p>
      <w:pPr>
        <w:spacing w:before="20" w:after="40"/>
        <w:ind w:left="288"/>
      </w:pPr>
      <w:r>
        <w:rPr>
          <w:b/>
          <w:color w:val="0072CE"/>
        </w:rPr>
        <w:t xml:space="preserve">• </w:t>
      </w:r>
      <w:r>
        <w:rPr>
          <w:rFonts w:ascii="Arial" w:hAnsi="Arial"/>
          <w:color w:val="323232"/>
          <w:sz w:val="19"/>
        </w:rPr>
        <w:t>Information/Data Assets: All organizational data in its three critical states (Data in Transit, Data at Rest, and Data in Use). Includes student records, IP courseware, and partner data.</w:t>
      </w:r>
    </w:p>
    <w:p>
      <w:pPr>
        <w:spacing w:before="20" w:after="40"/>
        <w:ind w:left="288"/>
      </w:pPr>
      <w:r>
        <w:rPr>
          <w:b/>
          <w:color w:val="0072CE"/>
        </w:rPr>
        <w:t xml:space="preserve">• </w:t>
      </w:r>
      <w:r>
        <w:rPr>
          <w:rFonts w:ascii="Arial" w:hAnsi="Arial"/>
          <w:color w:val="323232"/>
          <w:sz w:val="19"/>
        </w:rPr>
        <w:t>Software Assets: Operating systems, DBMS engines, customized proprietary course assembly tools, email/DNS services, and commercial office suites.</w:t>
      </w:r>
    </w:p>
    <w:p>
      <w:pPr>
        <w:spacing w:before="20" w:after="40"/>
        <w:ind w:left="288"/>
      </w:pPr>
      <w:r>
        <w:rPr>
          <w:b/>
          <w:color w:val="0072CE"/>
        </w:rPr>
        <w:t xml:space="preserve">• </w:t>
      </w:r>
      <w:r>
        <w:rPr>
          <w:rFonts w:ascii="Arial" w:hAnsi="Arial"/>
          <w:color w:val="323232"/>
          <w:sz w:val="19"/>
        </w:rPr>
        <w:t>Physical Assets: Physical computing equipment, corporate servers, network appliances, employee BYOD devices, and branch hardware across HQ, London, and Singapore.</w:t>
      </w:r>
    </w:p>
    <w:p>
      <w:pPr>
        <w:spacing w:before="20" w:after="40"/>
        <w:ind w:left="288"/>
      </w:pPr>
      <w:r>
        <w:rPr>
          <w:b/>
          <w:color w:val="0072CE"/>
        </w:rPr>
        <w:t xml:space="preserve">• </w:t>
      </w:r>
      <w:r>
        <w:rPr>
          <w:rFonts w:ascii="Arial" w:hAnsi="Arial"/>
          <w:color w:val="323232"/>
          <w:sz w:val="19"/>
        </w:rPr>
        <w:t>Network Assets: Corporate switching/routing fabric, secure remote access VPN tunnels, cloud hosting environments, and partner extranet portals.</w:t>
      </w:r>
    </w:p>
    <w:p>
      <w:pPr>
        <w:keepNext/>
        <w:spacing w:before="160" w:after="60"/>
      </w:pPr>
      <w:r>
        <w:rPr>
          <w:rFonts w:ascii="Arial" w:hAnsi="Arial"/>
          <w:b/>
          <w:color w:val="182B49"/>
          <w:sz w:val="20"/>
        </w:rPr>
        <w:t xml:space="preserve">Step 2: </w:t>
      </w:r>
      <w:r>
        <w:rPr>
          <w:rFonts w:ascii="Arial" w:hAnsi="Arial"/>
          <w:b/>
          <w:color w:val="323232"/>
          <w:sz w:val="20"/>
        </w:rPr>
        <w:t>Distinguish Between Threat and Vulnerability</w:t>
      </w:r>
    </w:p>
    <w:p>
      <w:pPr>
        <w:spacing w:before="20" w:after="40"/>
        <w:ind w:left="288"/>
      </w:pPr>
      <w:r>
        <w:rPr>
          <w:b/>
          <w:color w:val="0072CE"/>
        </w:rPr>
        <w:t xml:space="preserve">• </w:t>
      </w:r>
      <w:r>
        <w:rPr>
          <w:rFonts w:ascii="Arial" w:hAnsi="Arial"/>
          <w:color w:val="323232"/>
          <w:sz w:val="19"/>
        </w:rPr>
        <w:t>Core Question: What is the fundamental difference between a threat and a vulnerability?</w:t>
      </w:r>
    </w:p>
    <w:p>
      <w:pPr>
        <w:spacing w:before="20" w:after="40"/>
        <w:ind w:left="288"/>
      </w:pPr>
      <w:r>
        <w:rPr>
          <w:b/>
          <w:color w:val="0072CE"/>
        </w:rPr>
        <w:t xml:space="preserve">• </w:t>
      </w:r>
      <w:r>
        <w:rPr>
          <w:rFonts w:ascii="Arial" w:hAnsi="Arial"/>
          <w:color w:val="323232"/>
          <w:sz w:val="19"/>
        </w:rPr>
        <w:t>Threat: Any external or internal event, actor, or circumstance that has the potential to adversely impact operations, business assets, or individuals (e.g., malware, hacker, power failure, ransomware gang).</w:t>
      </w:r>
    </w:p>
    <w:p>
      <w:pPr>
        <w:spacing w:before="20" w:after="40"/>
        <w:ind w:left="288"/>
      </w:pPr>
      <w:r>
        <w:rPr>
          <w:b/>
          <w:color w:val="0072CE"/>
        </w:rPr>
        <w:t xml:space="preserve">• </w:t>
      </w:r>
      <w:r>
        <w:rPr>
          <w:rFonts w:ascii="Arial" w:hAnsi="Arial"/>
          <w:color w:val="323232"/>
          <w:sz w:val="19"/>
        </w:rPr>
        <w:t>Vulnerability: An inherent flaw, weakness, or gap in system security procedures, design, implementation, or internal controls that can be exploited by a threat to gain unauthorized access or cause harm.</w:t>
      </w:r>
    </w:p>
    <w:p>
      <w:pPr>
        <w:spacing w:before="20" w:after="40"/>
        <w:ind w:left="288"/>
      </w:pPr>
      <w:r>
        <w:rPr>
          <w:b/>
          <w:color w:val="0072CE"/>
        </w:rPr>
        <w:t xml:space="preserve">• </w:t>
      </w:r>
      <w:r>
        <w:rPr>
          <w:rFonts w:ascii="Arial" w:hAnsi="Arial"/>
          <w:color w:val="323232"/>
          <w:sz w:val="19"/>
        </w:rPr>
        <w:t>Relationship Equation: Risk = Threat × Vulnerability × Asset Value. A threat cannot materialize into an incident without a corresponding vulnerability to exploit.</w:t>
      </w:r>
    </w:p>
    <w:p>
      <w:pPr>
        <w:keepNext/>
        <w:spacing w:before="160" w:after="60"/>
      </w:pPr>
      <w:r>
        <w:rPr>
          <w:rFonts w:ascii="Arial" w:hAnsi="Arial"/>
          <w:b/>
          <w:color w:val="182B49"/>
          <w:sz w:val="20"/>
        </w:rPr>
        <w:t xml:space="preserve">Step 3: </w:t>
      </w:r>
      <w:r>
        <w:rPr>
          <w:rFonts w:ascii="Arial" w:hAnsi="Arial"/>
          <w:b/>
          <w:color w:val="323232"/>
          <w:sz w:val="20"/>
        </w:rPr>
        <w:t>Formulate Defense-in-Depth Mitigation Techniques</w:t>
      </w:r>
    </w:p>
    <w:p>
      <w:pPr>
        <w:spacing w:before="20" w:after="40"/>
        <w:ind w:left="288"/>
      </w:pPr>
      <w:r>
        <w:rPr>
          <w:b/>
          <w:color w:val="0072CE"/>
        </w:rPr>
        <w:t xml:space="preserve">• </w:t>
      </w:r>
      <w:r>
        <w:rPr>
          <w:rFonts w:ascii="Arial" w:hAnsi="Arial"/>
          <w:color w:val="323232"/>
          <w:sz w:val="19"/>
        </w:rPr>
        <w:t>Preventative Controls: Encryption, MFA, Input Validation, Network Segmentation, Firewalls, Patch Management.</w:t>
      </w:r>
    </w:p>
    <w:p>
      <w:pPr>
        <w:spacing w:before="20" w:after="40"/>
        <w:ind w:left="288"/>
      </w:pPr>
      <w:r>
        <w:rPr>
          <w:b/>
          <w:color w:val="0072CE"/>
        </w:rPr>
        <w:t xml:space="preserve">• </w:t>
      </w:r>
      <w:r>
        <w:rPr>
          <w:rFonts w:ascii="Arial" w:hAnsi="Arial"/>
          <w:color w:val="323232"/>
          <w:sz w:val="19"/>
        </w:rPr>
        <w:t>Detective Controls: Intrusion Detection Systems (IDS), Audit Logging, Endpoint Detection &amp; Response (EDR), DNS Monitoring.</w:t>
      </w:r>
    </w:p>
    <w:p>
      <w:pPr>
        <w:spacing w:before="20" w:after="40"/>
        <w:ind w:left="288"/>
      </w:pPr>
      <w:r>
        <w:rPr>
          <w:b/>
          <w:color w:val="0072CE"/>
        </w:rPr>
        <w:t xml:space="preserve">• </w:t>
      </w:r>
      <w:r>
        <w:rPr>
          <w:rFonts w:ascii="Arial" w:hAnsi="Arial"/>
          <w:color w:val="323232"/>
          <w:sz w:val="19"/>
        </w:rPr>
        <w:t>Corrective &amp; Recovery Controls: Immutable Cloud Backups, Disaster Recovery Plans, Remote Device Wipe, Incident Response Runbooks.</w:t>
      </w:r>
    </w:p>
    <w:p>
      <w:pPr>
        <w:keepNext/>
        <w:spacing w:before="320" w:after="120"/>
        <w:pBrd>
          <w:bottom w:val="single" w:sz="12" w:space="4" w:color="0072CE"/>
        </w:pBrd>
      </w:pPr>
      <w:r>
        <w:rPr>
          <w:rFonts w:ascii="Arial" w:hAnsi="Arial"/>
          <w:b/>
          <w:color w:val="182B49"/>
          <w:sz w:val="26"/>
        </w:rPr>
        <w:t>Part 5: Analytical Reflection &amp; Synthesis</w:t>
      </w:r>
    </w:p>
    <w:p>
      <w:pPr>
        <w:keepNext/>
        <w:spacing w:before="160" w:after="40"/>
      </w:pPr>
      <w:r>
        <w:rPr>
          <w:rFonts w:ascii="Arial" w:hAnsi="Arial"/>
          <w:b/>
          <w:color w:val="0072CE"/>
          <w:sz w:val="19"/>
        </w:rPr>
        <w:t xml:space="preserve">Question: </w:t>
      </w:r>
      <w:r>
        <w:rPr>
          <w:rFonts w:ascii="Arial" w:hAnsi="Arial"/>
          <w:b/>
          <w:color w:val="182B49"/>
          <w:sz w:val="19"/>
        </w:rPr>
        <w:t>Why is it useful to categorize assets when identifying threats and mitigation techniques?</w:t>
      </w:r>
    </w:p>
    <w:p>
      <w:pPr>
        <w:spacing w:before="20" w:after="120"/>
        <w:ind w:left="288"/>
      </w:pPr>
      <w:r>
        <w:rPr>
          <w:rFonts w:ascii="Arial" w:hAnsi="Arial"/>
          <w:b/>
          <w:color w:val="166534"/>
          <w:sz w:val="18"/>
        </w:rPr>
        <w:t xml:space="preserve">Analysis &amp; Finding: </w:t>
      </w:r>
      <w:r>
        <w:rPr>
          <w:rFonts w:ascii="Arial" w:hAnsi="Arial"/>
          <w:color w:val="323232"/>
          <w:sz w:val="18"/>
        </w:rPr>
        <w:t>Asset categorization enables organizations to establish asset criticality and data sensitivity tiers. Different asset classes face unique threat vectors (e.g., physical theft targets hardware, whereas SQL injection targets database software). By systematically grouping assets into Data, Software, Physical, and Network categories, cybersecurity teams can prioritize resource allocation, avoid security blind spots, and apply proportional security controls tailored directly to each specific risk profile.</w:t>
      </w:r>
    </w:p>
    <w:p>
      <w:pPr>
        <w:keepNext/>
        <w:spacing w:before="160" w:after="40"/>
      </w:pPr>
      <w:r>
        <w:rPr>
          <w:rFonts w:ascii="Arial" w:hAnsi="Arial"/>
          <w:b/>
          <w:color w:val="0072CE"/>
          <w:sz w:val="19"/>
        </w:rPr>
        <w:t xml:space="preserve">Question: </w:t>
      </w:r>
      <w:r>
        <w:rPr>
          <w:rFonts w:ascii="Arial" w:hAnsi="Arial"/>
          <w:b/>
          <w:color w:val="182B49"/>
          <w:sz w:val="19"/>
        </w:rPr>
        <w:t>Do some threats have the same or similar mitigation measures? Why is it important to note this?</w:t>
      </w:r>
    </w:p>
    <w:p>
      <w:pPr>
        <w:spacing w:before="20" w:after="120"/>
        <w:ind w:left="288"/>
      </w:pPr>
      <w:r>
        <w:rPr>
          <w:rFonts w:ascii="Arial" w:hAnsi="Arial"/>
          <w:b/>
          <w:color w:val="166534"/>
          <w:sz w:val="18"/>
        </w:rPr>
        <w:t xml:space="preserve">Analysis &amp; Finding: </w:t>
      </w:r>
      <w:r>
        <w:rPr>
          <w:rFonts w:ascii="Arial" w:hAnsi="Arial"/>
          <w:color w:val="323232"/>
          <w:sz w:val="18"/>
        </w:rPr>
        <w:t>Yes. Many disparate threats across diverse asset classes are mitigated by the same foundational security controls. For example, Multi-Factor Authentication (MFA), end-to-end encryption, regular patch management, and employee security awareness training simultaneously neutralize multiple threat categories (phishing, credential stuffing, malware propagation, and brute-force attacks). Recognizing this cross-cutting effectiveness allows organizations to achieve high security ROI, designing layered defense-in-depth strategies that protect multiple assets efficiently without redundant overhead.</w:t>
      </w:r>
    </w:p>
    <w:p>
      <w:pPr>
        <w:keepNext/>
        <w:spacing w:before="160" w:after="40"/>
      </w:pPr>
      <w:r>
        <w:rPr>
          <w:rFonts w:ascii="Arial" w:hAnsi="Arial"/>
          <w:b/>
          <w:color w:val="0072CE"/>
          <w:sz w:val="19"/>
        </w:rPr>
        <w:t xml:space="preserve">Question: </w:t>
      </w:r>
      <w:r>
        <w:rPr>
          <w:rFonts w:ascii="Arial" w:hAnsi="Arial"/>
          <w:b/>
          <w:color w:val="182B49"/>
          <w:sz w:val="19"/>
        </w:rPr>
        <w:t>What have you learned about applying cybersecurity threat and mitigation knowledge to a simulated enterprise?</w:t>
      </w:r>
    </w:p>
    <w:p>
      <w:pPr>
        <w:spacing w:before="20" w:after="120"/>
        <w:ind w:left="288"/>
      </w:pPr>
      <w:r>
        <w:rPr>
          <w:rFonts w:ascii="Arial" w:hAnsi="Arial"/>
          <w:b/>
          <w:color w:val="166534"/>
          <w:sz w:val="18"/>
        </w:rPr>
        <w:t xml:space="preserve">Analysis &amp; Finding: </w:t>
      </w:r>
      <w:r>
        <w:rPr>
          <w:rFonts w:ascii="Arial" w:hAnsi="Arial"/>
          <w:color w:val="323232"/>
          <w:sz w:val="18"/>
        </w:rPr>
        <w:t>Securing a real-world enterprise like Athena Learning requires a holistic, multi-layered approach rather than isolated technical fixes. Enterprise security encompasses business context, international regulatory compliance (e.g., GDPR in London, PDPA in Singapore), operational flexibility (BYOD and remote telework), and third-party partner integration. Effective cybersecurity demands continuous asset visibility, proactive threat modeling, and an integrated balance between confidentiality, integrity, and availability (the CIA triad).</w:t>
      </w:r>
    </w:p>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EXECUTIVE SUMMARY CONCLUSION: </w:t>
            </w:r>
            <w:r>
              <w:rPr>
                <w:rFonts w:ascii="Arial" w:hAnsi="Arial"/>
                <w:color w:val="323232"/>
                <w:sz w:val="19"/>
              </w:rPr>
              <w:t>Assessment completed successfully. Athena Learning Incorporated's data, software, physical, and network assets have been cataloged, correlated with specific cybersecurity threat vectors, and paired with actionable, industry-standard mitigation controls.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