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19795"/>
          <w:sz w:val="20"/>
        </w:rPr>
        <w:t>APPLIED SYSTEM MONITORING &amp; SIEM PREPARATION GUIDE</w:t>
      </w:r>
    </w:p>
    <w:p>
      <w:pPr>
        <w:spacing w:before="0" w:after="80"/>
      </w:pPr>
      <w:r>
        <w:rPr>
          <w:b/>
          <w:color w:val="1A365D"/>
          <w:sz w:val="40"/>
        </w:rPr>
        <w:t>Configuring System Monitoring: Windows Centralized Event Forwarding (WEC)</w:t>
      </w:r>
    </w:p>
    <w:p>
      <w:pPr>
        <w:spacing w:after="240"/>
      </w:pPr>
      <w:r>
        <w:rPr>
          <w:color w:val="718096"/>
          <w:sz w:val="22"/>
        </w:rPr>
        <w:t>CompTIA Security+ (SY0-701) Hands-On Lab | Centralized Log Architecture &amp; WinRM Subscription Manual</w:t>
      </w:r>
    </w:p>
    <w:p>
      <w:pPr>
        <w:spacing w:after="200"/>
        <w:pBdr>
          <w:bottom w:val="single" w:sz="12" w:space="1" w:color="2B6CB0"/>
        </w:pBdr>
      </w:pPr>
    </w:p>
    <w:p>
      <w:pPr>
        <w:pStyle w:val="Heading1"/>
        <w:spacing w:before="160" w:after="80"/>
      </w:pPr>
      <w:r>
        <w:rPr>
          <w:color w:val="1A365D"/>
          <w:sz w:val="28"/>
        </w:rPr>
        <w:t>1. Scenario, Architecture &amp; Learning Objectives</w:t>
      </w:r>
    </w:p>
    <w:p>
      <w:pPr>
        <w:spacing w:after="120"/>
      </w:pPr>
      <w:r>
        <w:t>Centralized log management is a fundamental pillar of enterprise defensive operations and security event auditing. As infrastructure scales, inspecting isolated local event logs on individual endpoints becomes inefficient and risks data tampering by adversaries attempting to cover their tracks. In this lab for Structureality Inc., you will establish native Windows Event Forwarding (WEF) and configure the Windows Event Collector (WEC) service to centrally aggregate security, application, and system logs across domain members using WinRM and collector-initiated event subscriptions.</w:t>
      </w:r>
    </w:p>
    <w:p>
      <w:r>
        <w:rPr>
          <w:b/>
          <w:color w:val="2B6CB0"/>
        </w:rPr>
        <w:t>CompTIA Security+ Objectives Covered:</w:t>
      </w:r>
    </w:p>
    <w:p>
      <w:pPr>
        <w:pStyle w:val="ListBullet"/>
        <w:spacing w:after="40"/>
      </w:pPr>
      <w:r>
        <w:rPr>
          <w:b/>
        </w:rPr>
        <w:t xml:space="preserve">Objective 4.1: </w:t>
      </w:r>
      <w:r>
        <w:t>Given a scenario, apply common security techniques to computing resources (centralized logging, endpoint hardening).</w:t>
      </w:r>
    </w:p>
    <w:p>
      <w:pPr>
        <w:pStyle w:val="ListBullet"/>
        <w:spacing w:after="40"/>
      </w:pPr>
      <w:r>
        <w:rPr>
          <w:b/>
        </w:rPr>
        <w:t xml:space="preserve">Objective 4.4: </w:t>
      </w:r>
      <w:r>
        <w:t>Explain security alerting and monitoring concepts and tools (SIEM/WEC architecture, collector vs. forwarder roles).</w:t>
      </w:r>
    </w:p>
    <w:p>
      <w:pPr>
        <w:pStyle w:val="ListBullet"/>
        <w:spacing w:after="40"/>
      </w:pPr>
      <w:r>
        <w:rPr>
          <w:b/>
        </w:rPr>
        <w:t xml:space="preserve">Objective 4.9: </w:t>
      </w:r>
      <w:r>
        <w:t>Given a scenario, use data sources to support an investigation (aggregated Windows Event logs, Forwarded Events).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1A365D"/>
            <w:tcMar>
              <w:top w:w="80" w:type="dxa"/>
              <w:bottom w:w="80" w:type="dxa"/>
              <w:left w:w="100" w:type="dxa"/>
              <w:right w:w="100" w:type="dxa"/>
            </w:tcMar>
          </w:tcPr>
          <w:p>
            <w:pPr>
              <w:spacing w:after="0"/>
            </w:pPr>
            <w:r>
              <w:rPr>
                <w:b/>
                <w:color w:val="FFFFFF"/>
                <w:sz w:val="18"/>
              </w:rPr>
              <w:t>System Name</w:t>
            </w:r>
          </w:p>
        </w:tc>
        <w:tc>
          <w:tcPr>
            <w:tcW w:type="dxa" w:w="2592"/>
            <w:shd w:fill="1A365D"/>
            <w:tcMar>
              <w:top w:w="80" w:type="dxa"/>
              <w:bottom w:w="80" w:type="dxa"/>
              <w:left w:w="100" w:type="dxa"/>
              <w:right w:w="100" w:type="dxa"/>
            </w:tcMar>
          </w:tcPr>
          <w:p>
            <w:pPr>
              <w:spacing w:after="0"/>
            </w:pPr>
            <w:r>
              <w:rPr>
                <w:b/>
                <w:color w:val="FFFFFF"/>
                <w:sz w:val="18"/>
              </w:rPr>
              <w:t>Operating System</w:t>
            </w:r>
          </w:p>
        </w:tc>
        <w:tc>
          <w:tcPr>
            <w:tcW w:type="dxa" w:w="2592"/>
            <w:shd w:fill="1A365D"/>
            <w:tcMar>
              <w:top w:w="80" w:type="dxa"/>
              <w:bottom w:w="80" w:type="dxa"/>
              <w:left w:w="100" w:type="dxa"/>
              <w:right w:w="100" w:type="dxa"/>
            </w:tcMar>
          </w:tcPr>
          <w:p>
            <w:pPr>
              <w:spacing w:after="0"/>
            </w:pPr>
            <w:r>
              <w:rPr>
                <w:b/>
                <w:color w:val="FFFFFF"/>
                <w:sz w:val="18"/>
              </w:rPr>
              <w:t>Architecture Role</w:t>
            </w:r>
          </w:p>
        </w:tc>
        <w:tc>
          <w:tcPr>
            <w:tcW w:type="dxa" w:w="3024"/>
            <w:shd w:fill="1A365D"/>
            <w:tcMar>
              <w:top w:w="80" w:type="dxa"/>
              <w:bottom w:w="80" w:type="dxa"/>
              <w:left w:w="100" w:type="dxa"/>
              <w:right w:w="100" w:type="dxa"/>
            </w:tcMar>
          </w:tcPr>
          <w:p>
            <w:pPr>
              <w:spacing w:after="0"/>
            </w:pPr>
            <w:r>
              <w:rPr>
                <w:b/>
                <w:color w:val="FFFFFF"/>
                <w:sz w:val="18"/>
              </w:rPr>
              <w:t>Account &amp; Access</w:t>
            </w:r>
          </w:p>
        </w:tc>
      </w:tr>
      <w:tr>
        <w:tc>
          <w:tcPr>
            <w:tcW w:type="dxa" w:w="1728"/>
            <w:shd w:fill="F7FAFC"/>
            <w:tcMar>
              <w:top w:w="60" w:type="dxa"/>
              <w:bottom w:w="60" w:type="dxa"/>
              <w:left w:w="100" w:type="dxa"/>
              <w:right w:w="100" w:type="dxa"/>
            </w:tcMar>
          </w:tcPr>
          <w:p>
            <w:pPr>
              <w:spacing w:after="0"/>
            </w:pPr>
            <w:r>
              <w:rPr>
                <w:b/>
                <w:sz w:val="17"/>
              </w:rPr>
              <w:t>DC10</w:t>
            </w:r>
          </w:p>
        </w:tc>
        <w:tc>
          <w:tcPr>
            <w:tcW w:type="dxa" w:w="2592"/>
            <w:shd w:fill="F7FAFC"/>
            <w:tcMar>
              <w:top w:w="60" w:type="dxa"/>
              <w:bottom w:w="60" w:type="dxa"/>
              <w:left w:w="100" w:type="dxa"/>
              <w:right w:w="100" w:type="dxa"/>
            </w:tcMar>
          </w:tcPr>
          <w:p>
            <w:pPr>
              <w:spacing w:after="0"/>
            </w:pPr>
            <w:r>
              <w:rPr>
                <w:sz w:val="17"/>
              </w:rPr>
              <w:t>Windows Server 2019</w:t>
            </w:r>
          </w:p>
        </w:tc>
        <w:tc>
          <w:tcPr>
            <w:tcW w:type="dxa" w:w="2592"/>
            <w:shd w:fill="F7FAFC"/>
            <w:tcMar>
              <w:top w:w="60" w:type="dxa"/>
              <w:bottom w:w="60" w:type="dxa"/>
              <w:left w:w="100" w:type="dxa"/>
              <w:right w:w="100" w:type="dxa"/>
            </w:tcMar>
          </w:tcPr>
          <w:p>
            <w:pPr>
              <w:spacing w:after="0"/>
            </w:pPr>
            <w:r>
              <w:rPr>
                <w:sz w:val="17"/>
              </w:rPr>
              <w:t>Central Log Collector (WEC Server)</w:t>
            </w:r>
          </w:p>
        </w:tc>
        <w:tc>
          <w:tcPr>
            <w:tcW w:type="dxa" w:w="3024"/>
            <w:shd w:fill="F7FAFC"/>
            <w:tcMar>
              <w:top w:w="60" w:type="dxa"/>
              <w:bottom w:w="60" w:type="dxa"/>
              <w:left w:w="100" w:type="dxa"/>
              <w:right w:w="100" w:type="dxa"/>
            </w:tcMar>
          </w:tcPr>
          <w:p>
            <w:pPr>
              <w:spacing w:after="0"/>
            </w:pPr>
            <w:r>
              <w:rPr>
                <w:sz w:val="17"/>
              </w:rPr>
              <w:t>Structureality\Administrator / Pa$$w0rd</w:t>
            </w:r>
          </w:p>
        </w:tc>
      </w:tr>
      <w:tr>
        <w:tc>
          <w:tcPr>
            <w:tcW w:type="dxa" w:w="1728"/>
            <w:shd w:fill="FFFFFF"/>
            <w:tcMar>
              <w:top w:w="60" w:type="dxa"/>
              <w:bottom w:w="60" w:type="dxa"/>
              <w:left w:w="100" w:type="dxa"/>
              <w:right w:w="100" w:type="dxa"/>
            </w:tcMar>
          </w:tcPr>
          <w:p>
            <w:pPr>
              <w:spacing w:after="0"/>
            </w:pPr>
            <w:r>
              <w:rPr>
                <w:b/>
                <w:sz w:val="17"/>
              </w:rPr>
              <w:t>MS10</w:t>
            </w:r>
          </w:p>
        </w:tc>
        <w:tc>
          <w:tcPr>
            <w:tcW w:type="dxa" w:w="2592"/>
            <w:shd w:fill="FFFFFF"/>
            <w:tcMar>
              <w:top w:w="60" w:type="dxa"/>
              <w:bottom w:w="60" w:type="dxa"/>
              <w:left w:w="100" w:type="dxa"/>
              <w:right w:w="100" w:type="dxa"/>
            </w:tcMar>
          </w:tcPr>
          <w:p>
            <w:pPr>
              <w:spacing w:after="0"/>
            </w:pPr>
            <w:r>
              <w:rPr>
                <w:sz w:val="17"/>
              </w:rPr>
              <w:t>Windows Server 2016</w:t>
            </w:r>
          </w:p>
        </w:tc>
        <w:tc>
          <w:tcPr>
            <w:tcW w:type="dxa" w:w="2592"/>
            <w:shd w:fill="FFFFFF"/>
            <w:tcMar>
              <w:top w:w="60" w:type="dxa"/>
              <w:bottom w:w="60" w:type="dxa"/>
              <w:left w:w="100" w:type="dxa"/>
              <w:right w:w="100" w:type="dxa"/>
            </w:tcMar>
          </w:tcPr>
          <w:p>
            <w:pPr>
              <w:spacing w:after="0"/>
            </w:pPr>
            <w:r>
              <w:rPr>
                <w:sz w:val="17"/>
              </w:rPr>
              <w:t>Log Source / Forwarder (Domain Member)</w:t>
            </w:r>
          </w:p>
        </w:tc>
        <w:tc>
          <w:tcPr>
            <w:tcW w:type="dxa" w:w="3024"/>
            <w:shd w:fill="FFFFFF"/>
            <w:tcMar>
              <w:top w:w="60" w:type="dxa"/>
              <w:bottom w:w="60" w:type="dxa"/>
              <w:left w:w="100" w:type="dxa"/>
              <w:right w:w="100" w:type="dxa"/>
            </w:tcMar>
          </w:tcPr>
          <w:p>
            <w:pPr>
              <w:spacing w:after="0"/>
            </w:pPr>
            <w:r>
              <w:rPr>
                <w:sz w:val="17"/>
              </w:rPr>
              <w:t>Jaime (Domain Admin) / Pa$$w0rd</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ARCHITECTURE CONCEPT: LOG AGGREGATION MODES: </w:t>
            </w:r>
            <w:r>
              <w:rPr>
                <w:rFonts w:ascii="Arial" w:hAnsi="Arial"/>
                <w:color w:val="2D3748"/>
                <w:sz w:val="19"/>
              </w:rPr>
              <w:t>Windows Event Forwarding (WEF) Operational Modes:</w:t>
              <w:br/>
              <w:t>• Collector-Initiated (Used in this lab): The centralized collector server (DC10) connects outward to domain endpoints (MS10) over WinRM and pulls event records based on subscription criteria.</w:t>
              <w:br/>
              <w:t>• Source-Initiated (Push Mode): Source endpoints connect to the collector using a Group Policy Object (GPO) specifying the collector FQDN/port and push event updates upstream. Best for large-scale and dynamic enterprise networks.</w:t>
            </w:r>
          </w:p>
        </w:tc>
      </w:tr>
    </w:tbl>
    <w:p>
      <w:pPr>
        <w:spacing w:after="40"/>
      </w:pPr>
    </w:p>
    <w:p>
      <w:pPr>
        <w:pStyle w:val="Heading1"/>
        <w:spacing w:before="200" w:after="80"/>
      </w:pPr>
      <w:r>
        <w:rPr>
          <w:color w:val="1A365D"/>
          <w:sz w:val="28"/>
        </w:rPr>
        <w:t>2. Phase 1: Configuring Collector Infrastructure on DC10</w:t>
      </w:r>
    </w:p>
    <w:p>
      <w:pPr>
        <w:spacing w:before="120" w:after="40"/>
      </w:pPr>
      <w:r>
        <w:rPr>
          <w:b/>
          <w:color w:val="2B6CB0"/>
        </w:rPr>
        <w:t xml:space="preserve">Step 1: </w:t>
      </w:r>
      <w:r>
        <w:rPr>
          <w:b/>
          <w:color w:val="1A365D"/>
        </w:rPr>
        <w:t>Sign in to DC10 &amp; Launch PowerShell as Administrator</w:t>
      </w:r>
    </w:p>
    <w:p>
      <w:pPr>
        <w:spacing w:before="0" w:after="60"/>
      </w:pPr>
      <w:r>
        <w:t>Connect to the DC10 virtual machine console.</w:t>
      </w:r>
    </w:p>
    <w:p>
      <w:pPr>
        <w:spacing w:before="0" w:after="60"/>
      </w:pPr>
      <w:r>
        <w:t>Send Ctrl+Alt+Delete and log in using domain admin credentials -&gt; Structureality\Administrator | Pa$$w0rd</w:t>
      </w:r>
    </w:p>
    <w:p>
      <w:pPr>
        <w:spacing w:before="0" w:after="60"/>
      </w:pPr>
      <w:r>
        <w:t>Close or minimize Server Manager if it appears automatically.</w:t>
      </w:r>
    </w:p>
    <w:p>
      <w:pPr>
        <w:spacing w:before="0" w:after="60"/>
      </w:pPr>
      <w:r>
        <w:t>Click the Windows search box on the taskbar, type powershell, right-click Windows PowerShell, and select Run as administrator.</w:t>
      </w:r>
    </w:p>
    <w:p>
      <w:pPr>
        <w:spacing w:before="0" w:after="60"/>
      </w:pPr>
      <w:r>
        <w:t>Click Yes on the User Account Control (UAC) prompt.</w:t>
      </w:r>
    </w:p>
    <w:p>
      <w:pPr>
        <w:spacing w:before="120" w:after="40"/>
      </w:pPr>
      <w:r>
        <w:rPr>
          <w:b/>
          <w:color w:val="2B6CB0"/>
        </w:rPr>
        <w:t xml:space="preserve">Step 2: </w:t>
      </w:r>
      <w:r>
        <w:rPr>
          <w:b/>
          <w:color w:val="1A365D"/>
        </w:rPr>
        <w:t>Configure WinRM Listener IPv4 Filter via Group Policy</w:t>
      </w:r>
    </w:p>
    <w:p>
      <w:pPr>
        <w:spacing w:before="0" w:after="60"/>
      </w:pPr>
      <w:r>
        <w:t>Execute the following PowerShell script to modify the domain default GPO, permitting WinRM listeners across domain member servers:</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Import-Module GroupPolicy</w:t>
              <w:br/>
              <w:br/>
              <w:t>## Get the cc-domain-default GPO object</w:t>
              <w:br/>
              <w:t>$gpo = Get-GPO -Name "cc-domain-default"</w:t>
              <w:br/>
              <w:br/>
              <w:t>## Get the Group Policy Preference registry key for WinRM</w:t>
              <w:br/>
              <w:t>$winrmRegKey = "HKEY_LOCAL_MACHINE\SOFTWARE\Policies\Microsoft\Windows\WinRM\Service"</w:t>
              <w:br/>
              <w:br/>
              <w:t>## Set the value of the "IPv4Filter" registry value to "*"</w:t>
              <w:br/>
              <w:t>Set-GPRegistryValue -Name $gpo.DisplayName -Key $winrmRegKey -ValueName "IPv4Filter" -Type String -Value "*"</w:t>
              <w:br/>
              <w:br/>
              <w:t>## Refresh Group Policy settings on local computer</w:t>
              <w:br/>
              <w:t>gpupdate /force</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SECURITY POLICY RATIONALE: </w:t>
            </w:r>
            <w:r>
              <w:rPr>
                <w:rFonts w:ascii="Arial" w:hAnsi="Arial"/>
                <w:color w:val="2D3748"/>
                <w:sz w:val="19"/>
              </w:rPr>
              <w:t>GPO Registry Setting Significance:</w:t>
              <w:br/>
              <w:t>The default WinRM IPv4Filter registry value is empty, acting as an implicit deny-all. Setting IPv4Filter to '*' instructs domain machines to accept WinRM management connections from all subnets on the domain.</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Skillable Scoring Check: </w:t>
            </w:r>
            <w:r>
              <w:rPr>
                <w:rFonts w:ascii="Arial" w:hAnsi="Arial"/>
                <w:color w:val="2D3748"/>
                <w:sz w:val="19"/>
              </w:rPr>
              <w:t>Validation Checkpoint: Click 'Score' in the lab interface to verify the WinRM registry GPO modification.</w:t>
            </w:r>
          </w:p>
        </w:tc>
      </w:tr>
    </w:tbl>
    <w:p>
      <w:pPr>
        <w:spacing w:after="40"/>
      </w:pPr>
    </w:p>
    <w:p>
      <w:pPr>
        <w:spacing w:before="120" w:after="40"/>
      </w:pPr>
      <w:r>
        <w:rPr>
          <w:b/>
          <w:color w:val="2B6CB0"/>
        </w:rPr>
        <w:t xml:space="preserve">Step 3: </w:t>
      </w:r>
      <w:r>
        <w:rPr>
          <w:b/>
          <w:color w:val="1A365D"/>
        </w:rPr>
        <w:t>Initialize Windows Event Collector (WEC) Service</w:t>
      </w:r>
    </w:p>
    <w:p>
      <w:pPr>
        <w:spacing w:before="0" w:after="60"/>
      </w:pPr>
      <w:r>
        <w:t>In the elevated PowerShell console on DC10, initialize and configure the collector service:</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wecutil qc</w:t>
            </w:r>
          </w:p>
        </w:tc>
      </w:tr>
    </w:tbl>
    <w:p>
      <w:pPr>
        <w:spacing w:after="40"/>
      </w:pPr>
    </w:p>
    <w:p>
      <w:pPr>
        <w:spacing w:after="40"/>
      </w:pPr>
      <w:r>
        <w:t>When prompted: 'This service startup mode will be changed to Delay-Start. Would you like to proceed (Y- yes or N- no)?' -&gt; Type Y and press Enter.</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WEC Status: </w:t>
            </w:r>
            <w:r>
              <w:rPr>
                <w:rFonts w:ascii="Arial" w:hAnsi="Arial"/>
                <w:color w:val="2D3748"/>
                <w:sz w:val="19"/>
              </w:rPr>
              <w:t>Expected Confirmation: 'Windows Event Collector service was configured successfully.' DC10 is now ready to manage subscriptions.</w:t>
            </w:r>
          </w:p>
        </w:tc>
      </w:tr>
    </w:tbl>
    <w:p>
      <w:pPr>
        <w:spacing w:after="40"/>
      </w:pPr>
    </w:p>
    <w:p>
      <w:pPr>
        <w:spacing w:after="80"/>
      </w:pPr>
      <w:r>
        <w:t>Close the Administrator PowerShell console on DC10.</w:t>
      </w:r>
    </w:p>
    <w:p>
      <w:pPr>
        <w:pStyle w:val="Heading1"/>
        <w:spacing w:before="200" w:after="80"/>
      </w:pPr>
      <w:r>
        <w:rPr>
          <w:color w:val="1A365D"/>
          <w:sz w:val="28"/>
        </w:rPr>
        <w:t>3. Phase 2: Configuring Log Forwarding &amp; Permissions on MS10</w:t>
      </w:r>
    </w:p>
    <w:p>
      <w:pPr>
        <w:spacing w:before="120" w:after="40"/>
      </w:pPr>
      <w:r>
        <w:rPr>
          <w:b/>
          <w:color w:val="2B6CB0"/>
        </w:rPr>
        <w:t xml:space="preserve">Step 1: </w:t>
      </w:r>
      <w:r>
        <w:rPr>
          <w:b/>
          <w:color w:val="1A365D"/>
        </w:rPr>
        <w:t>Sign in to MS10 &amp; Perform Baseline Restart</w:t>
      </w:r>
    </w:p>
    <w:p>
      <w:pPr>
        <w:spacing w:before="0" w:after="60"/>
      </w:pPr>
      <w:r>
        <w:t>Connect to the MS10 virtual machine console.</w:t>
      </w:r>
    </w:p>
    <w:p>
      <w:pPr>
        <w:spacing w:before="0" w:after="60"/>
      </w:pPr>
      <w:r>
        <w:t>Send Ctrl+Alt+Delete and log in as Jaime with password Pa$$w0rd (Jaime is in Domain Admins).</w:t>
      </w:r>
    </w:p>
    <w:p>
      <w:pPr>
        <w:spacing w:before="0" w:after="60"/>
      </w:pPr>
      <w:r>
        <w:t>Restart MS10 to ensure it refreshes domain membership and applies the new WinRM IPv4Filter GPO:</w:t>
      </w:r>
    </w:p>
    <w:p>
      <w:pPr>
        <w:spacing w:before="0" w:after="60"/>
      </w:pPr>
      <w:r>
        <w:t xml:space="preserve">  • Start Menu -&gt; Power -&gt; Restart -&gt; Select Continue (labeled as 'Other (Unplanned)').</w:t>
      </w:r>
    </w:p>
    <w:p>
      <w:pPr>
        <w:spacing w:before="0" w:after="60"/>
      </w:pPr>
      <w:r>
        <w:t>Once restarted, reconnect to MS10 and sign back in as Jaime | Pa$$w0rd.</w:t>
      </w:r>
    </w:p>
    <w:p>
      <w:pPr>
        <w:spacing w:before="0" w:after="60"/>
      </w:pPr>
      <w:r>
        <w:t>Close or minimize Server Manager.</w:t>
      </w:r>
    </w:p>
    <w:p>
      <w:pPr>
        <w:spacing w:before="120" w:after="40"/>
      </w:pPr>
      <w:r>
        <w:rPr>
          <w:b/>
          <w:color w:val="2B6CB0"/>
        </w:rPr>
        <w:t xml:space="preserve">Step 2: </w:t>
      </w:r>
      <w:r>
        <w:rPr>
          <w:b/>
          <w:color w:val="1A365D"/>
        </w:rPr>
        <w:t>Enable Windows Defender Firewall Rules for Remote Event Management</w:t>
      </w:r>
    </w:p>
    <w:p>
      <w:pPr>
        <w:spacing w:before="0" w:after="60"/>
      </w:pPr>
      <w:r>
        <w:t>Open Windows PowerShell as Administrator on MS10.</w:t>
      </w:r>
    </w:p>
    <w:p>
      <w:pPr>
        <w:spacing w:before="0" w:after="60"/>
      </w:pPr>
      <w:r>
        <w:t>Allow inbound traffic for Remote Event Log Management and Remote Event Monitor across the Domain profile:</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Set-NetFirewallRule -DisplayGroup "Remote Event Log Management" -Enabled True -Profile Domain</w:t>
              <w:br/>
              <w:t>Set-NetFirewallRule -DisplayGroup "Remote Event Monitor" -Enabled True -Profile Domain</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Skillable Scoring Check: </w:t>
            </w:r>
            <w:r>
              <w:rPr>
                <w:rFonts w:ascii="Arial" w:hAnsi="Arial"/>
                <w:color w:val="2D3748"/>
                <w:sz w:val="19"/>
              </w:rPr>
              <w:t>Validation Checkpoint: Select 'Score' in the lab interface to validate firewall rule enablement.</w:t>
            </w:r>
          </w:p>
        </w:tc>
      </w:tr>
    </w:tbl>
    <w:p>
      <w:pPr>
        <w:spacing w:after="40"/>
      </w:pPr>
    </w:p>
    <w:p>
      <w:pPr>
        <w:spacing w:before="120" w:after="40"/>
      </w:pPr>
      <w:r>
        <w:rPr>
          <w:b/>
          <w:color w:val="2B6CB0"/>
        </w:rPr>
        <w:t xml:space="preserve">Step 3: </w:t>
      </w:r>
      <w:r>
        <w:rPr>
          <w:b/>
          <w:color w:val="1A365D"/>
        </w:rPr>
        <w:t>Verify and Configure WinRM QuickConfig</w:t>
      </w:r>
    </w:p>
    <w:p>
      <w:pPr>
        <w:spacing w:before="0" w:after="60"/>
      </w:pPr>
      <w:r>
        <w:t>Verify the Windows Remote Management (WinRM) listener service:</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winrm quickconfig</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WINRM QUICKCONFIG STATUS: </w:t>
            </w:r>
            <w:r>
              <w:rPr>
                <w:rFonts w:ascii="Arial" w:hAnsi="Arial"/>
                <w:color w:val="2D3748"/>
                <w:sz w:val="19"/>
              </w:rPr>
              <w:t>Expected Output: 'WinRM service is already running on this machine. WinRM is already set up for remote management on this computer.'</w:t>
              <w:br/>
              <w:t>Troubleshooting Guidance: If WinRM prompts with 'WinRM is not set up to receive requests on this machine... Make these changes [y/n]', enter 'y' to start the service, set startup to delayed auto-start, and create the firewall exception.</w:t>
            </w:r>
          </w:p>
        </w:tc>
      </w:tr>
    </w:tbl>
    <w:p>
      <w:pPr>
        <w:spacing w:after="40"/>
      </w:pPr>
    </w:p>
    <w:p>
      <w:pPr>
        <w:spacing w:after="80"/>
      </w:pPr>
      <w:r>
        <w:t>Close the PowerShell console on MS10.</w:t>
      </w:r>
    </w:p>
    <w:p>
      <w:pPr>
        <w:spacing w:before="120" w:after="40"/>
      </w:pPr>
      <w:r>
        <w:rPr>
          <w:b/>
          <w:color w:val="2B6CB0"/>
        </w:rPr>
        <w:t xml:space="preserve">Step 4: </w:t>
      </w:r>
      <w:r>
        <w:rPr>
          <w:b/>
          <w:color w:val="1A365D"/>
        </w:rPr>
        <w:t>Delegate Permissions: Add DC10 to Event Log Readers Group</w:t>
      </w:r>
    </w:p>
    <w:p>
      <w:pPr>
        <w:spacing w:before="0" w:after="60"/>
      </w:pPr>
      <w:r>
        <w:t>Right-click the Start menu on MS10 and select Computer Management.</w:t>
      </w:r>
    </w:p>
    <w:p>
      <w:pPr>
        <w:spacing w:before="0" w:after="60"/>
      </w:pPr>
      <w:r>
        <w:t>In Computer Management, expand System Tools -&gt; select Local Users and Groups.</w:t>
      </w:r>
    </w:p>
    <w:p>
      <w:pPr>
        <w:spacing w:before="0" w:after="60"/>
      </w:pPr>
      <w:r>
        <w:t>In the center pane, double-click Groups.</w:t>
      </w:r>
    </w:p>
    <w:p>
      <w:pPr>
        <w:spacing w:before="0" w:after="60"/>
      </w:pPr>
      <w:r>
        <w:t>Locate and double-click the Event Log Readers group.</w:t>
      </w:r>
    </w:p>
    <w:p>
      <w:pPr>
        <w:spacing w:before="0" w:after="60"/>
      </w:pPr>
      <w:r>
        <w:t>In the Event Log Readers Properties window, click Add....</w:t>
      </w:r>
    </w:p>
    <w:p>
      <w:pPr>
        <w:spacing w:before="0" w:after="60"/>
      </w:pPr>
      <w:r>
        <w:t>In the 'Select Users, Computers, Service Accounts, or Groups' window, click Object Types....</w:t>
      </w:r>
    </w:p>
    <w:p>
      <w:pPr>
        <w:spacing w:before="0" w:after="60"/>
      </w:pPr>
      <w:r>
        <w:t>Check the Computers box, then click OK.</w:t>
      </w:r>
    </w:p>
    <w:p>
      <w:pPr>
        <w:spacing w:before="0" w:after="60"/>
      </w:pPr>
      <w:r>
        <w:t>In the 'Enter the object names to select' text field, type: DC10 -&gt; click OK.</w:t>
      </w:r>
    </w:p>
    <w:p>
      <w:pPr>
        <w:spacing w:before="0" w:after="60"/>
      </w:pPr>
      <w:r>
        <w:t>Verify that STRUCTUREALITY\DC10$ appears in the member list.</w:t>
      </w:r>
    </w:p>
    <w:p>
      <w:pPr>
        <w:spacing w:before="0" w:after="60"/>
      </w:pPr>
      <w:r>
        <w:t>Click OK to close Properties, then close Computer Management.</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LEAST PRIVILEGE DELEGATION: </w:t>
            </w:r>
            <w:r>
              <w:rPr>
                <w:rFonts w:ascii="Arial" w:hAnsi="Arial"/>
                <w:color w:val="2D3748"/>
                <w:sz w:val="19"/>
              </w:rPr>
              <w:t>Security Principle (Least Privilege): Adding the computer account DC10$ to the Event Log Readers security group grants the collector server read-only access to inspect and forward Windows Event logs without granting administrative privileges on MS10.</w:t>
            </w:r>
          </w:p>
        </w:tc>
      </w:tr>
    </w:tbl>
    <w:p>
      <w:pPr>
        <w:spacing w:after="40"/>
      </w:pPr>
    </w:p>
    <w:p>
      <w:pPr>
        <w:spacing w:before="120" w:after="40"/>
      </w:pPr>
      <w:r>
        <w:rPr>
          <w:b/>
          <w:color w:val="2B6CB0"/>
        </w:rPr>
        <w:t xml:space="preserve">Step 5: </w:t>
      </w:r>
      <w:r>
        <w:rPr>
          <w:b/>
          <w:color w:val="1A365D"/>
        </w:rPr>
        <w:t>Reboot MS10 to Commit Group Membership</w:t>
      </w:r>
    </w:p>
    <w:p>
      <w:pPr>
        <w:spacing w:before="0" w:after="60"/>
      </w:pPr>
      <w:r>
        <w:t>Restart MS10 to ensure security group token changes take effect:</w:t>
      </w:r>
    </w:p>
    <w:p>
      <w:pPr>
        <w:spacing w:before="0" w:after="60"/>
      </w:pPr>
      <w:r>
        <w:t xml:space="preserve">  • Start Menu -&gt; Power -&gt; Restart -&gt; Continue ('Other (Unplanned)').</w:t>
      </w:r>
    </w:p>
    <w:p>
      <w:pPr>
        <w:spacing w:before="0" w:after="60"/>
      </w:pPr>
      <w:r>
        <w:t>Once MS10 restarts, sign in as Jaime | Pa$$w0rd.</w:t>
      </w:r>
    </w:p>
    <w:p>
      <w:pPr>
        <w:spacing w:before="0" w:after="60"/>
      </w:pPr>
      <w:r>
        <w:t>Leave MS10 running on the desktop and return to DC10.</w:t>
      </w:r>
    </w:p>
    <w:p>
      <w:pPr>
        <w:pStyle w:val="Heading1"/>
        <w:spacing w:before="200" w:after="80"/>
      </w:pPr>
      <w:r>
        <w:rPr>
          <w:color w:val="1A365D"/>
          <w:sz w:val="28"/>
        </w:rPr>
        <w:t>4. Phase 3: Creating &amp; Validating Collector Subscription on DC10</w:t>
      </w:r>
    </w:p>
    <w:p>
      <w:pPr>
        <w:spacing w:before="120" w:after="40"/>
      </w:pPr>
      <w:r>
        <w:rPr>
          <w:b/>
          <w:color w:val="2B6CB0"/>
        </w:rPr>
        <w:t xml:space="preserve">Step 1: </w:t>
      </w:r>
      <w:r>
        <w:rPr>
          <w:b/>
          <w:color w:val="1A365D"/>
        </w:rPr>
        <w:t>Access Event Viewer Subscriptions on DC10</w:t>
      </w:r>
    </w:p>
    <w:p>
      <w:pPr>
        <w:spacing w:before="0" w:after="60"/>
      </w:pPr>
      <w:r>
        <w:t>Switch back to the DC10 virtual machine console (signed in as Structureality\Administrator).</w:t>
      </w:r>
    </w:p>
    <w:p>
      <w:pPr>
        <w:spacing w:before="0" w:after="60"/>
      </w:pPr>
      <w:r>
        <w:t>Open Windows search on the taskbar, type Event, and select Event Viewer.</w:t>
      </w:r>
    </w:p>
    <w:p>
      <w:pPr>
        <w:spacing w:before="0" w:after="60"/>
      </w:pPr>
      <w:r>
        <w:t>Maximize Event Viewer.</w:t>
      </w:r>
    </w:p>
    <w:p>
      <w:pPr>
        <w:spacing w:before="0" w:after="60"/>
      </w:pPr>
      <w:r>
        <w:t>In the left navigation tree, select Subscriptions.</w:t>
      </w:r>
    </w:p>
    <w:p>
      <w:pPr>
        <w:spacing w:before="0" w:after="60"/>
      </w:pPr>
      <w:r>
        <w:t>In the right Actions pane, select Create Subscription....</w:t>
      </w:r>
    </w:p>
    <w:p>
      <w:pPr>
        <w:spacing w:before="120" w:after="40"/>
      </w:pPr>
      <w:r>
        <w:rPr>
          <w:b/>
          <w:color w:val="2B6CB0"/>
        </w:rPr>
        <w:t xml:space="preserve">Step 2: </w:t>
      </w:r>
      <w:r>
        <w:rPr>
          <w:b/>
          <w:color w:val="1A365D"/>
        </w:rPr>
        <w:t>Define Subscription Name and Destination</w:t>
      </w:r>
    </w:p>
    <w:p>
      <w:pPr>
        <w:spacing w:before="0" w:after="60"/>
      </w:pPr>
      <w:r>
        <w:t>In the Subscription Name field, enter: Logs from MS10</w:t>
      </w:r>
    </w:p>
    <w:p>
      <w:pPr>
        <w:spacing w:before="0" w:after="60"/>
      </w:pPr>
      <w:r>
        <w:t>Verify Destination Log remains set to default: Forwarded Events.</w:t>
      </w:r>
    </w:p>
    <w:p>
      <w:pPr>
        <w:spacing w:before="0" w:after="60"/>
      </w:pPr>
      <w:r>
        <w:t>Ensure the Collector Initiated radio button is selected, then click Select Computers....</w:t>
      </w:r>
    </w:p>
    <w:p>
      <w:pPr>
        <w:spacing w:before="120" w:after="40"/>
      </w:pPr>
      <w:r>
        <w:rPr>
          <w:b/>
          <w:color w:val="2B6CB0"/>
        </w:rPr>
        <w:t xml:space="preserve">Step 3: </w:t>
      </w:r>
      <w:r>
        <w:rPr>
          <w:b/>
          <w:color w:val="1A365D"/>
        </w:rPr>
        <w:t>Add Target Computer &amp; Test WinRM Connectivity</w:t>
      </w:r>
    </w:p>
    <w:p>
      <w:pPr>
        <w:spacing w:before="0" w:after="60"/>
      </w:pPr>
      <w:r>
        <w:t>In the Computers dialog, click Add Domain Computers....</w:t>
      </w:r>
    </w:p>
    <w:p>
      <w:pPr>
        <w:spacing w:before="0" w:after="60"/>
      </w:pPr>
      <w:r>
        <w:t>In the 'Enter the object name to select' field, type MS10 and click OK.</w:t>
      </w:r>
    </w:p>
    <w:p>
      <w:pPr>
        <w:spacing w:before="0" w:after="60"/>
      </w:pPr>
      <w:r>
        <w:t>Confirm that MS10.ad.structureality.com is highlighted in the Computers list.</w:t>
      </w:r>
    </w:p>
    <w:p>
      <w:pPr>
        <w:spacing w:before="0" w:after="60"/>
      </w:pPr>
      <w:r>
        <w:t>Click Test.</w:t>
      </w:r>
    </w:p>
    <w:p>
      <w:pPr>
        <w:spacing w:before="0" w:after="60"/>
      </w:pPr>
      <w:r>
        <w:t>Verify confirmation message: 'Connectivity test succeeded.' Click OK to close the test alert, then click OK to close the Computers window.</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WinRM Handshake: </w:t>
            </w:r>
            <w:r>
              <w:rPr>
                <w:rFonts w:ascii="Arial" w:hAnsi="Arial"/>
                <w:color w:val="2D3748"/>
                <w:sz w:val="19"/>
              </w:rPr>
              <w:t>Connectivity Validation: A successful test confirms that WinRM, firewall rules, and network routing between DC10 and MS10 are correctly established.</w:t>
            </w:r>
          </w:p>
        </w:tc>
      </w:tr>
    </w:tbl>
    <w:p>
      <w:pPr>
        <w:spacing w:after="40"/>
      </w:pPr>
    </w:p>
    <w:p>
      <w:pPr>
        <w:spacing w:before="120" w:after="40"/>
      </w:pPr>
      <w:r>
        <w:rPr>
          <w:b/>
          <w:color w:val="2B6CB0"/>
        </w:rPr>
        <w:t xml:space="preserve">Step 4: </w:t>
      </w:r>
      <w:r>
        <w:rPr>
          <w:b/>
          <w:color w:val="1A365D"/>
        </w:rPr>
        <w:t>Configure Query Filter for Comprehensive Event Collection</w:t>
      </w:r>
    </w:p>
    <w:p>
      <w:pPr>
        <w:spacing w:before="0" w:after="60"/>
      </w:pPr>
      <w:r>
        <w:t>On the Subscription Properties window, click Select Events....</w:t>
      </w:r>
    </w:p>
    <w:p>
      <w:pPr>
        <w:spacing w:before="0" w:after="60"/>
      </w:pPr>
      <w:r>
        <w:t>In the Query Filter window, configure the following parameters:</w:t>
      </w:r>
    </w:p>
    <w:p>
      <w:pPr>
        <w:spacing w:before="0" w:after="60"/>
      </w:pPr>
      <w:r>
        <w:t xml:space="preserve">  • Logged: Select 'Last 24 hours' from dropdown.</w:t>
      </w:r>
    </w:p>
    <w:p>
      <w:pPr>
        <w:spacing w:before="0" w:after="60"/>
      </w:pPr>
      <w:r>
        <w:t xml:space="preserve">  • Event level: Select ALL FIVE checkboxes -&gt; Critical, Warning, Verbose, Error, Information.</w:t>
      </w:r>
    </w:p>
    <w:p>
      <w:pPr>
        <w:spacing w:before="0" w:after="60"/>
      </w:pPr>
      <w:r>
        <w:t xml:space="preserve">  • By log: Select the radio button, click the dropdown arrow, and check Windows Logs.</w:t>
      </w:r>
    </w:p>
    <w:p>
      <w:pPr>
        <w:spacing w:before="0" w:after="60"/>
      </w:pPr>
      <w:r>
        <w:t xml:space="preserve">  • Verify the logs field lists: Application, Security, Setup, System, Forwarded Events.</w:t>
      </w:r>
    </w:p>
    <w:p>
      <w:pPr>
        <w:spacing w:before="0" w:after="60"/>
      </w:pPr>
      <w:r>
        <w:t>Click OK to close Query Filter, then click OK on Subscription Properties to create the subscription.</w:t>
      </w:r>
    </w:p>
    <w:p>
      <w:pPr>
        <w:spacing w:before="120" w:after="40"/>
      </w:pPr>
      <w:r>
        <w:rPr>
          <w:b/>
          <w:color w:val="2B6CB0"/>
        </w:rPr>
        <w:t xml:space="preserve">Step 5: </w:t>
      </w:r>
      <w:r>
        <w:rPr>
          <w:b/>
          <w:color w:val="1A365D"/>
        </w:rPr>
        <w:t>Verify Subscription Runtime Status &amp; Active Ingestion</w:t>
      </w:r>
    </w:p>
    <w:p>
      <w:pPr>
        <w:spacing w:before="0" w:after="60"/>
      </w:pPr>
      <w:r>
        <w:t>In the center pane, locate the newly created subscription: Logs from MS10.</w:t>
      </w:r>
    </w:p>
    <w:p>
      <w:pPr>
        <w:spacing w:before="0" w:after="60"/>
      </w:pPr>
      <w:r>
        <w:t>Right-click Logs from MS10 and select Runtime Status.</w:t>
      </w:r>
    </w:p>
    <w:p>
      <w:pPr>
        <w:spacing w:before="0" w:after="60"/>
      </w:pPr>
      <w:r>
        <w:t>Verify that the status displays: Active (Source: MS10.ad.structureality.com, Events: [count]). Click Close.</w:t>
      </w:r>
    </w:p>
    <w:p>
      <w:pPr>
        <w:spacing w:before="0" w:after="60"/>
      </w:pPr>
      <w:r>
        <w:t>In the left navigation tree, expand Windows Logs -&gt; click Forwarded Events.</w:t>
      </w:r>
    </w:p>
    <w:p>
      <w:pPr>
        <w:spacing w:before="0" w:after="60"/>
      </w:pPr>
      <w:r>
        <w:t>If the center pane is initially blank, wait 15–30 seconds and click Refresh in the right Actions pane.</w:t>
      </w:r>
    </w:p>
    <w:p>
      <w:pPr>
        <w:spacing w:before="0" w:after="60"/>
      </w:pPr>
      <w:r>
        <w:t>Select any forwarded event and review the General and Details tabs.</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Polling Interval: </w:t>
            </w:r>
            <w:r>
              <w:rPr>
                <w:rFonts w:ascii="Arial" w:hAnsi="Arial"/>
                <w:color w:val="2D3748"/>
                <w:sz w:val="19"/>
              </w:rPr>
              <w:t>Ingestion Latency Note: New subscriptions poll at regular intervals. It may take 1 to 3 minutes for the first batch of forwarded event logs to populate the Forwarded Events stream.</w:t>
            </w:r>
          </w:p>
        </w:tc>
      </w:tr>
    </w:tbl>
    <w:p>
      <w:pPr>
        <w:spacing w:after="40"/>
      </w:pPr>
    </w:p>
    <w:p>
      <w:pPr>
        <w:pStyle w:val="Heading1"/>
        <w:spacing w:before="200" w:after="80"/>
      </w:pPr>
      <w:r>
        <w:rPr>
          <w:color w:val="1A365D"/>
          <w:sz w:val="28"/>
        </w:rPr>
        <w:t>5. Windows Event Forwarding (WEF) Technical Reference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A365D"/>
            <w:tcMar>
              <w:top w:w="80" w:type="dxa"/>
              <w:bottom w:w="80" w:type="dxa"/>
              <w:left w:w="100" w:type="dxa"/>
              <w:right w:w="100" w:type="dxa"/>
            </w:tcMar>
          </w:tcPr>
          <w:p>
            <w:pPr>
              <w:spacing w:after="0"/>
            </w:pPr>
            <w:r>
              <w:rPr>
                <w:b/>
                <w:color w:val="FFFFFF"/>
                <w:sz w:val="18"/>
              </w:rPr>
              <w:t>Component / Tool</w:t>
            </w:r>
          </w:p>
        </w:tc>
        <w:tc>
          <w:tcPr>
            <w:tcW w:type="dxa" w:w="3168"/>
            <w:shd w:fill="1A365D"/>
            <w:tcMar>
              <w:top w:w="80" w:type="dxa"/>
              <w:bottom w:w="80" w:type="dxa"/>
              <w:left w:w="100" w:type="dxa"/>
              <w:right w:w="100" w:type="dxa"/>
            </w:tcMar>
          </w:tcPr>
          <w:p>
            <w:pPr>
              <w:spacing w:after="0"/>
            </w:pPr>
            <w:r>
              <w:rPr>
                <w:b/>
                <w:color w:val="FFFFFF"/>
                <w:sz w:val="18"/>
              </w:rPr>
              <w:t>Protocol / Port / Group</w:t>
            </w:r>
          </w:p>
        </w:tc>
        <w:tc>
          <w:tcPr>
            <w:tcW w:type="dxa" w:w="4176"/>
            <w:shd w:fill="1A365D"/>
            <w:tcMar>
              <w:top w:w="80" w:type="dxa"/>
              <w:bottom w:w="80" w:type="dxa"/>
              <w:left w:w="100" w:type="dxa"/>
              <w:right w:w="100" w:type="dxa"/>
            </w:tcMar>
          </w:tcPr>
          <w:p>
            <w:pPr>
              <w:spacing w:after="0"/>
            </w:pPr>
            <w:r>
              <w:rPr>
                <w:b/>
                <w:color w:val="FFFFFF"/>
                <w:sz w:val="18"/>
              </w:rPr>
              <w:t>Operational Security Role</w:t>
            </w:r>
          </w:p>
        </w:tc>
      </w:tr>
      <w:tr>
        <w:tc>
          <w:tcPr>
            <w:tcW w:type="dxa" w:w="2592"/>
            <w:shd w:fill="F7FAFC"/>
            <w:tcMar>
              <w:top w:w="60" w:type="dxa"/>
              <w:bottom w:w="60" w:type="dxa"/>
              <w:left w:w="100" w:type="dxa"/>
              <w:right w:w="100" w:type="dxa"/>
            </w:tcMar>
          </w:tcPr>
          <w:p>
            <w:pPr>
              <w:spacing w:after="0"/>
            </w:pPr>
            <w:r>
              <w:rPr>
                <w:b/>
                <w:color w:val="2B6CB0"/>
                <w:sz w:val="17"/>
              </w:rPr>
              <w:t>wecutil qc</w:t>
            </w:r>
          </w:p>
        </w:tc>
        <w:tc>
          <w:tcPr>
            <w:tcW w:type="dxa" w:w="3168"/>
            <w:shd w:fill="F7FAFC"/>
            <w:tcMar>
              <w:top w:w="60" w:type="dxa"/>
              <w:bottom w:w="60" w:type="dxa"/>
              <w:left w:w="100" w:type="dxa"/>
              <w:right w:w="100" w:type="dxa"/>
            </w:tcMar>
          </w:tcPr>
          <w:p>
            <w:pPr>
              <w:spacing w:after="0"/>
            </w:pPr>
            <w:r>
              <w:rPr>
                <w:sz w:val="17"/>
              </w:rPr>
              <w:t>Windows Event Collector</w:t>
            </w:r>
          </w:p>
        </w:tc>
        <w:tc>
          <w:tcPr>
            <w:tcW w:type="dxa" w:w="4176"/>
            <w:shd w:fill="F7FAFC"/>
            <w:tcMar>
              <w:top w:w="60" w:type="dxa"/>
              <w:bottom w:w="60" w:type="dxa"/>
              <w:left w:w="100" w:type="dxa"/>
              <w:right w:w="100" w:type="dxa"/>
            </w:tcMar>
          </w:tcPr>
          <w:p>
            <w:pPr>
              <w:spacing w:after="0"/>
            </w:pPr>
            <w:r>
              <w:rPr>
                <w:sz w:val="17"/>
              </w:rPr>
              <w:t>Initializes WEC service and configures delayed auto-start startup type.</w:t>
            </w:r>
          </w:p>
        </w:tc>
      </w:tr>
      <w:tr>
        <w:tc>
          <w:tcPr>
            <w:tcW w:type="dxa" w:w="2592"/>
            <w:shd w:fill="FFFFFF"/>
            <w:tcMar>
              <w:top w:w="60" w:type="dxa"/>
              <w:bottom w:w="60" w:type="dxa"/>
              <w:left w:w="100" w:type="dxa"/>
              <w:right w:w="100" w:type="dxa"/>
            </w:tcMar>
          </w:tcPr>
          <w:p>
            <w:pPr>
              <w:spacing w:after="0"/>
            </w:pPr>
            <w:r>
              <w:rPr>
                <w:b/>
                <w:color w:val="2B6CB0"/>
                <w:sz w:val="17"/>
              </w:rPr>
              <w:t>winrm quickconfig</w:t>
            </w:r>
          </w:p>
        </w:tc>
        <w:tc>
          <w:tcPr>
            <w:tcW w:type="dxa" w:w="3168"/>
            <w:shd w:fill="FFFFFF"/>
            <w:tcMar>
              <w:top w:w="60" w:type="dxa"/>
              <w:bottom w:w="60" w:type="dxa"/>
              <w:left w:w="100" w:type="dxa"/>
              <w:right w:w="100" w:type="dxa"/>
            </w:tcMar>
          </w:tcPr>
          <w:p>
            <w:pPr>
              <w:spacing w:after="0"/>
            </w:pPr>
            <w:r>
              <w:rPr>
                <w:sz w:val="17"/>
              </w:rPr>
              <w:t>HTTP: 5985 / HTTPS: 5986</w:t>
            </w:r>
          </w:p>
        </w:tc>
        <w:tc>
          <w:tcPr>
            <w:tcW w:type="dxa" w:w="4176"/>
            <w:shd w:fill="FFFFFF"/>
            <w:tcMar>
              <w:top w:w="60" w:type="dxa"/>
              <w:bottom w:w="60" w:type="dxa"/>
              <w:left w:w="100" w:type="dxa"/>
              <w:right w:w="100" w:type="dxa"/>
            </w:tcMar>
          </w:tcPr>
          <w:p>
            <w:pPr>
              <w:spacing w:after="0"/>
            </w:pPr>
            <w:r>
              <w:rPr>
                <w:sz w:val="17"/>
              </w:rPr>
              <w:t>Enables Windows Remote Management listener service and host firewall exception.</w:t>
            </w:r>
          </w:p>
        </w:tc>
      </w:tr>
      <w:tr>
        <w:tc>
          <w:tcPr>
            <w:tcW w:type="dxa" w:w="2592"/>
            <w:shd w:fill="F7FAFC"/>
            <w:tcMar>
              <w:top w:w="60" w:type="dxa"/>
              <w:bottom w:w="60" w:type="dxa"/>
              <w:left w:w="100" w:type="dxa"/>
              <w:right w:w="100" w:type="dxa"/>
            </w:tcMar>
          </w:tcPr>
          <w:p>
            <w:pPr>
              <w:spacing w:after="0"/>
            </w:pPr>
            <w:r>
              <w:rPr>
                <w:b/>
                <w:color w:val="2B6CB0"/>
                <w:sz w:val="17"/>
              </w:rPr>
              <w:t>Set-NetFirewallRule</w:t>
            </w:r>
          </w:p>
        </w:tc>
        <w:tc>
          <w:tcPr>
            <w:tcW w:type="dxa" w:w="3168"/>
            <w:shd w:fill="F7FAFC"/>
            <w:tcMar>
              <w:top w:w="60" w:type="dxa"/>
              <w:bottom w:w="60" w:type="dxa"/>
              <w:left w:w="100" w:type="dxa"/>
              <w:right w:w="100" w:type="dxa"/>
            </w:tcMar>
          </w:tcPr>
          <w:p>
            <w:pPr>
              <w:spacing w:after="0"/>
            </w:pPr>
            <w:r>
              <w:rPr>
                <w:sz w:val="17"/>
              </w:rPr>
              <w:t>Remote Event Management</w:t>
            </w:r>
          </w:p>
        </w:tc>
        <w:tc>
          <w:tcPr>
            <w:tcW w:type="dxa" w:w="4176"/>
            <w:shd w:fill="F7FAFC"/>
            <w:tcMar>
              <w:top w:w="60" w:type="dxa"/>
              <w:bottom w:w="60" w:type="dxa"/>
              <w:left w:w="100" w:type="dxa"/>
              <w:right w:w="100" w:type="dxa"/>
            </w:tcMar>
          </w:tcPr>
          <w:p>
            <w:pPr>
              <w:spacing w:after="0"/>
            </w:pPr>
            <w:r>
              <w:rPr>
                <w:sz w:val="17"/>
              </w:rPr>
              <w:t>Unlocks inbound RPC and WinRM ports across the Domain firewall profile.</w:t>
            </w:r>
          </w:p>
        </w:tc>
      </w:tr>
      <w:tr>
        <w:tc>
          <w:tcPr>
            <w:tcW w:type="dxa" w:w="2592"/>
            <w:shd w:fill="FFFFFF"/>
            <w:tcMar>
              <w:top w:w="60" w:type="dxa"/>
              <w:bottom w:w="60" w:type="dxa"/>
              <w:left w:w="100" w:type="dxa"/>
              <w:right w:w="100" w:type="dxa"/>
            </w:tcMar>
          </w:tcPr>
          <w:p>
            <w:pPr>
              <w:spacing w:after="0"/>
            </w:pPr>
            <w:r>
              <w:rPr>
                <w:b/>
                <w:color w:val="2B6CB0"/>
                <w:sz w:val="17"/>
              </w:rPr>
              <w:t>Event Log Readers</w:t>
            </w:r>
          </w:p>
        </w:tc>
        <w:tc>
          <w:tcPr>
            <w:tcW w:type="dxa" w:w="3168"/>
            <w:shd w:fill="FFFFFF"/>
            <w:tcMar>
              <w:top w:w="60" w:type="dxa"/>
              <w:bottom w:w="60" w:type="dxa"/>
              <w:left w:w="100" w:type="dxa"/>
              <w:right w:w="100" w:type="dxa"/>
            </w:tcMar>
          </w:tcPr>
          <w:p>
            <w:pPr>
              <w:spacing w:after="0"/>
            </w:pPr>
            <w:r>
              <w:rPr>
                <w:sz w:val="17"/>
              </w:rPr>
              <w:t>Local Built-in Security Group</w:t>
            </w:r>
          </w:p>
        </w:tc>
        <w:tc>
          <w:tcPr>
            <w:tcW w:type="dxa" w:w="4176"/>
            <w:shd w:fill="FFFFFF"/>
            <w:tcMar>
              <w:top w:w="60" w:type="dxa"/>
              <w:bottom w:w="60" w:type="dxa"/>
              <w:left w:w="100" w:type="dxa"/>
              <w:right w:w="100" w:type="dxa"/>
            </w:tcMar>
          </w:tcPr>
          <w:p>
            <w:pPr>
              <w:spacing w:after="0"/>
            </w:pPr>
            <w:r>
              <w:rPr>
                <w:sz w:val="17"/>
              </w:rPr>
              <w:t>Grants non-admin collector computer account read-only access to event logs.</w:t>
            </w:r>
          </w:p>
        </w:tc>
      </w:tr>
      <w:tr>
        <w:tc>
          <w:tcPr>
            <w:tcW w:type="dxa" w:w="2592"/>
            <w:shd w:fill="F7FAFC"/>
            <w:tcMar>
              <w:top w:w="60" w:type="dxa"/>
              <w:bottom w:w="60" w:type="dxa"/>
              <w:left w:w="100" w:type="dxa"/>
              <w:right w:w="100" w:type="dxa"/>
            </w:tcMar>
          </w:tcPr>
          <w:p>
            <w:pPr>
              <w:spacing w:after="0"/>
            </w:pPr>
            <w:r>
              <w:rPr>
                <w:b/>
                <w:color w:val="2B6CB0"/>
                <w:sz w:val="17"/>
              </w:rPr>
              <w:t>Forwarded Events</w:t>
            </w:r>
          </w:p>
        </w:tc>
        <w:tc>
          <w:tcPr>
            <w:tcW w:type="dxa" w:w="3168"/>
            <w:shd w:fill="F7FAFC"/>
            <w:tcMar>
              <w:top w:w="60" w:type="dxa"/>
              <w:bottom w:w="60" w:type="dxa"/>
              <w:left w:w="100" w:type="dxa"/>
              <w:right w:w="100" w:type="dxa"/>
            </w:tcMar>
          </w:tcPr>
          <w:p>
            <w:pPr>
              <w:spacing w:after="0"/>
            </w:pPr>
            <w:r>
              <w:rPr>
                <w:sz w:val="17"/>
              </w:rPr>
              <w:t>C:\Windows\System32\winevt\Logs</w:t>
            </w:r>
          </w:p>
        </w:tc>
        <w:tc>
          <w:tcPr>
            <w:tcW w:type="dxa" w:w="4176"/>
            <w:shd w:fill="F7FAFC"/>
            <w:tcMar>
              <w:top w:w="60" w:type="dxa"/>
              <w:bottom w:w="60" w:type="dxa"/>
              <w:left w:w="100" w:type="dxa"/>
              <w:right w:w="100" w:type="dxa"/>
            </w:tcMar>
          </w:tcPr>
          <w:p>
            <w:pPr>
              <w:spacing w:after="0"/>
            </w:pPr>
            <w:r>
              <w:rPr>
                <w:sz w:val="17"/>
              </w:rPr>
              <w:t>Local repository on collector storing forwarded telemetry from remote sources.</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1A365D"/>
              <w:top w:val="none"/>
              <w:right w:val="none"/>
              <w:bottom w:val="none"/>
            </w:tcBorders>
          </w:tcPr>
          <w:p>
            <w:pPr>
              <w:spacing w:before="0" w:after="40"/>
            </w:pPr>
            <w:r>
              <w:rPr>
                <w:rFonts w:ascii="Arial" w:hAnsi="Arial"/>
                <w:b/>
                <w:color w:val="1A365D"/>
                <w:sz w:val="19"/>
              </w:rPr>
              <w:t xml:space="preserve">📌 ENTERPRISE LOGGING SECURITY TAKEAWAYS: </w:t>
            </w:r>
            <w:r>
              <w:rPr>
                <w:rFonts w:ascii="Arial" w:hAnsi="Arial"/>
                <w:color w:val="2D3748"/>
                <w:sz w:val="19"/>
              </w:rPr>
              <w:t>1. Forensic Integrity: Centralized logging ensures that even if an adversary gains root/admin privileges on an endpoint and clears the local Security log (Event ID 1102), copies of the pre-incident telemetry are already preserved offsite on the collector.</w:t>
              <w:br/>
              <w:t>2. Non-Administrative Delegation: Never use domain admin accounts for event collection routines. Adding the collector's machine account (DC10$) to Event Log Readers enforces least privilege.</w:t>
              <w:br/>
              <w:t>3. Foundation for SIEM &amp; SOC: Centralized WEF streams directly feed into SIEM platforms (such as Wazuh, Microsoft Sentinel, or Splunk) by targeting the Forwarded Events log as a unified ingestion channel.</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