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B6B94"/>
          <w:sz w:val="19"/>
        </w:rPr>
        <w:t>LAB GUIDE &amp; STANDARD OPERATING PROCEDURE</w:t>
        <w:br/>
      </w:r>
      <w:r>
        <w:rPr>
          <w:b/>
          <w:color w:val="1B365D"/>
          <w:sz w:val="44"/>
        </w:rPr>
        <w:t>Implementing Allow Lists and Deny Lists with Windows AppLocker</w:t>
      </w:r>
    </w:p>
    <w:tbl>
      <w:tblPr>
        <w:tblW w:type="auto" w:w="0"/>
        <w:jc w:val="center"/>
        <w:tblLayout w:type="fixed"/>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pPr>
              <w:spacing w:before="0" w:after="0"/>
            </w:pPr>
            <w:r>
              <w:rPr>
                <w:b/>
                <w:color w:val="1B365D"/>
                <w:sz w:val="19"/>
              </w:rPr>
              <w:t>Organization:</w:t>
            </w:r>
            <w:r>
              <w:rPr>
                <w:color w:val="2C3E50"/>
                <w:sz w:val="19"/>
              </w:rPr>
              <w:t xml:space="preserve"> Structureality Inc.</w:t>
            </w:r>
          </w:p>
        </w:tc>
        <w:tc>
          <w:tcPr>
            <w:tcW w:type="dxa" w:w="4680"/>
            <w:shd w:fill="F4F6F9"/>
            <w:tcMar>
              <w:top w:w="80" w:type="dxa"/>
              <w:bottom w:w="80" w:type="dxa"/>
              <w:left w:w="120" w:type="dxa"/>
              <w:right w:w="120" w:type="dxa"/>
            </w:tcMar>
          </w:tcPr>
          <w:p>
            <w:pPr>
              <w:spacing w:before="0" w:after="0"/>
            </w:pPr>
            <w:r>
              <w:rPr>
                <w:b/>
                <w:color w:val="1B365D"/>
                <w:sz w:val="19"/>
              </w:rPr>
              <w:t>Target Environment:</w:t>
            </w:r>
            <w:r>
              <w:rPr>
                <w:color w:val="2C3E50"/>
                <w:sz w:val="19"/>
              </w:rPr>
              <w:t xml:space="preserve"> PC10 (Windows Server 2019 Client)</w:t>
            </w:r>
          </w:p>
        </w:tc>
      </w:tr>
      <w:tr>
        <w:tc>
          <w:tcPr>
            <w:tcW w:type="dxa" w:w="4680"/>
            <w:shd w:fill="F4F6F9"/>
            <w:tcMar>
              <w:top w:w="80" w:type="dxa"/>
              <w:bottom w:w="80" w:type="dxa"/>
              <w:left w:w="120" w:type="dxa"/>
              <w:right w:w="120" w:type="dxa"/>
            </w:tcMar>
          </w:tcPr>
          <w:p>
            <w:pPr>
              <w:spacing w:before="0" w:after="0"/>
            </w:pPr>
            <w:r>
              <w:rPr>
                <w:b/>
                <w:color w:val="1B365D"/>
                <w:sz w:val="19"/>
              </w:rPr>
              <w:t>Security Standard:</w:t>
            </w:r>
            <w:r>
              <w:rPr>
                <w:color w:val="2C3E50"/>
                <w:sz w:val="19"/>
              </w:rPr>
              <w:t xml:space="preserve"> CompTIA Security+ (SY0-701)</w:t>
            </w:r>
          </w:p>
        </w:tc>
        <w:tc>
          <w:tcPr>
            <w:tcW w:type="dxa" w:w="4680"/>
            <w:shd w:fill="F4F6F9"/>
            <w:tcMar>
              <w:top w:w="80" w:type="dxa"/>
              <w:bottom w:w="80" w:type="dxa"/>
              <w:left w:w="120" w:type="dxa"/>
              <w:right w:w="120" w:type="dxa"/>
            </w:tcMar>
          </w:tcPr>
          <w:p>
            <w:pPr>
              <w:spacing w:before="0" w:after="0"/>
            </w:pPr>
            <w:r>
              <w:rPr>
                <w:b/>
                <w:color w:val="1B365D"/>
                <w:sz w:val="19"/>
              </w:rPr>
              <w:t>Credentials:</w:t>
            </w:r>
            <w:r>
              <w:rPr>
                <w:color w:val="2C3E50"/>
                <w:sz w:val="19"/>
              </w:rPr>
              <w:t xml:space="preserve"> Jaime / Pa$$w0rd</w:t>
            </w:r>
          </w:p>
        </w:tc>
      </w:tr>
    </w:tbl>
    <w:p>
      <w:pPr>
        <w:spacing w:after="120"/>
      </w:pPr>
    </w:p>
    <w:p>
      <w:pPr>
        <w:pStyle w:val="Heading1"/>
        <w:spacing w:before="280" w:after="120"/>
      </w:pPr>
      <w:r>
        <w:rPr>
          <w:b/>
          <w:color w:val="1B365D"/>
        </w:rPr>
        <w:t>1. Lab Scenario &amp; Objectives</w:t>
      </w:r>
    </w:p>
    <w:p>
      <w:pPr>
        <w:spacing w:line="276" w:lineRule="auto" w:after="120"/>
      </w:pPr>
      <w:r>
        <w:t xml:space="preserve">As a security team member at Structureality Inc., you must maintain and enforce strict endpoint security policies. Applying the principle of least privilege, users should execute only the applications strictly required for their operational tasks. This hands-on lab guides you through using Windows AppLocker to construct deny rules using two complementary control methods: </w:t>
      </w:r>
      <w:r>
        <w:rPr>
          <w:b/>
        </w:rPr>
        <w:t>Path-based rules</w:t>
      </w:r>
      <w:r>
        <w:t xml:space="preserve"> and </w:t>
      </w:r>
      <w:r>
        <w:rPr>
          <w:b/>
        </w:rPr>
        <w:t>Cryptographic File Hash rules.</w:t>
      </w:r>
    </w:p>
    <w:p>
      <w:pPr>
        <w:spacing w:after="60"/>
      </w:pPr>
      <w:r>
        <w:rPr>
          <w:b/>
          <w:color w:val="4B6B94"/>
        </w:rPr>
        <w:t>CompTIA Security+ Aligned Objectives:</w:t>
      </w:r>
    </w:p>
    <w:p>
      <w:pPr>
        <w:pStyle w:val="ListBullet"/>
        <w:spacing w:before="0" w:after="40" w:line="276" w:lineRule="auto"/>
      </w:pPr>
      <w:r>
        <w:rPr>
          <w:b/>
        </w:rPr>
        <w:t xml:space="preserve">Objective 1.1: </w:t>
      </w:r>
      <w:r>
        <w:t>Compare and contrast various types of security controls (Technical / Preventative controls).</w:t>
      </w:r>
    </w:p>
    <w:p>
      <w:pPr>
        <w:pStyle w:val="ListBullet"/>
        <w:spacing w:before="0" w:after="40" w:line="276" w:lineRule="auto"/>
      </w:pPr>
      <w:r>
        <w:rPr>
          <w:b/>
        </w:rPr>
        <w:t xml:space="preserve">Objective 1.3: </w:t>
      </w:r>
      <w:r>
        <w:t>Explain the importance of change management processes and their impact on operational security.</w:t>
      </w:r>
    </w:p>
    <w:p>
      <w:pPr>
        <w:pStyle w:val="ListBullet"/>
        <w:spacing w:before="0" w:after="40" w:line="276" w:lineRule="auto"/>
      </w:pPr>
      <w:r>
        <w:rPr>
          <w:b/>
        </w:rPr>
        <w:t xml:space="preserve">Objective 2.5: </w:t>
      </w:r>
      <w:r>
        <w:t>Explain the purpose of mitigation techniques used to secure the enterprise (Application allow/deny lists).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sz="0" w:space="0" w:color="auto"/>
              <w:left w:val="single" w:sz="24" w:space="0" w:color="1B365D"/>
              <w:bottom w:val="none" w:sz="0" w:space="0" w:color="auto"/>
              <w:right w:val="none" w:sz="0" w:space="0" w:color="auto"/>
            </w:tcBorders>
          </w:tcPr>
          <w:p>
            <w:pPr>
              <w:spacing w:before="40" w:after="40" w:line="276" w:lineRule="auto"/>
            </w:pPr>
            <w:r>
              <w:rPr>
                <w:b/>
                <w:color w:val="1B365D"/>
                <w:sz w:val="21"/>
              </w:rPr>
              <w:t>📌 Technical Concept: Path Rules vs. File Hash Rules</w:t>
              <w:br/>
            </w:r>
            <w:r>
              <w:rPr>
                <w:color w:val="2C3E50"/>
                <w:sz w:val="20"/>
              </w:rPr>
              <w:t>• Path Rules: Restrict execution by folder path or file location. Fast and simple to implement, but vulnerable if a user or adversary renames the executable or moves it to an unmonitored directory.</w:t>
              <w:br/>
              <w:t>• File Hash Rules: Restrict execution by calculating an immutable cryptographic digital fingerprint of the executable binary. Provides robust tamper resistance because moving or renaming the file does not change its hash, though updating the application requires generating a new hash.</w:t>
            </w:r>
          </w:p>
        </w:tc>
      </w:tr>
    </w:tbl>
    <w:p>
      <w:pPr>
        <w:spacing w:before="0" w:after="80"/>
      </w:pPr>
    </w:p>
    <w:p>
      <w:pPr>
        <w:pStyle w:val="Heading1"/>
        <w:spacing w:before="320" w:after="120"/>
      </w:pPr>
      <w:r>
        <w:rPr>
          <w:b/>
          <w:color w:val="1B365D"/>
        </w:rPr>
        <w:t>2. Exercise 1: Configure AppLocker &amp; Implement Path-Based Deny Rule</w:t>
      </w:r>
    </w:p>
    <w:p>
      <w:pPr>
        <w:spacing w:after="120" w:line="276" w:lineRule="auto"/>
      </w:pPr>
      <w:r>
        <w:t>In this exercise, you verify baseline system access, enable the underlying Application Identification Service, enforce AppLocker policies via Local Group Policy, and create a Path-based deny rule targeting the Windows Registry Editor (</w:t>
      </w:r>
      <w:r>
        <w:rPr>
          <w:rFonts w:ascii="Consolas" w:hAnsi="Consolas"/>
        </w:rPr>
        <w:t>regedit.exe</w:t>
      </w:r>
      <w:r>
        <w:t>).</w:t>
      </w:r>
    </w:p>
    <w:p>
      <w:pPr>
        <w:spacing w:before="120" w:after="40" w:line="276" w:lineRule="auto"/>
      </w:pPr>
      <w:r>
        <w:rPr>
          <w:b/>
          <w:color w:val="4B6B94"/>
          <w:sz w:val="22"/>
        </w:rPr>
        <w:t>Step 1: Sign in to Workstation</w:t>
        <w:br/>
      </w:r>
      <w:r>
        <w:rPr>
          <w:sz w:val="21"/>
        </w:rPr>
        <w:t>Connect to virtual machine PC10. Send Ctrl+Alt+Delete and log in with username Jaime and password Pa$$w0rd.</w:t>
      </w:r>
    </w:p>
    <w:p>
      <w:pPr>
        <w:spacing w:before="120" w:after="40" w:line="276" w:lineRule="auto"/>
      </w:pPr>
      <w:r>
        <w:rPr>
          <w:b/>
          <w:color w:val="4B6B94"/>
          <w:sz w:val="22"/>
        </w:rPr>
        <w:t>Step 2: Baseline Test (Confirm Regedit Access)</w:t>
        <w:br/>
      </w:r>
      <w:r>
        <w:rPr>
          <w:sz w:val="21"/>
        </w:rPr>
        <w:t>In the taskbar search bar, type regedit and open Registry Editor. When prompted by User Account Control (UAC), select Yes.</w:t>
        <w:br/>
        <w:t>Verify the Registry Editor window opens successfully, then close it. This confirms normal execution is currently permitted.</w:t>
      </w:r>
    </w:p>
    <w:p>
      <w:pPr>
        <w:spacing w:before="120" w:after="40" w:line="276" w:lineRule="auto"/>
      </w:pPr>
      <w:r>
        <w:rPr>
          <w:b/>
          <w:color w:val="4B6B94"/>
          <w:sz w:val="22"/>
        </w:rPr>
        <w:t>Step 3: Start Application Identification Service</w:t>
        <w:br/>
      </w:r>
      <w:r>
        <w:rPr>
          <w:sz w:val="21"/>
        </w:rPr>
        <w:t>Search for powershell in the taskbar, right-click Windows PowerShell, and select Run as administrator. Confirm the UAC prompt by clicking Yes.</w:t>
        <w:br/>
        <w:t>AppLocker relies on the Application Identification service (appidsvc) to evaluate executable attributes. Start it by executing:</w:t>
      </w:r>
    </w:p>
    <w:tbl>
      <w:tblPr>
        <w:tblW w:type="auto" w:w="0"/>
        <w:jc w:val="center"/>
        <w:tblLayout w:type="fixed"/>
        <w:tblLook w:firstColumn="1" w:firstRow="1" w:lastColumn="0" w:lastRow="0" w:noHBand="0" w:noVBand="1" w:val="04A0"/>
      </w:tblPr>
      <w:tblGrid>
        <w:gridCol w:w="9360"/>
      </w:tblGrid>
      <w:tr>
        <w:tc>
          <w:tcPr>
            <w:tcW w:type="dxa" w:w="9360"/>
            <w:shd w:fill="2D3748"/>
            <w:tcMar>
              <w:top w:w="100" w:type="dxa"/>
              <w:bottom w:w="100" w:type="dxa"/>
              <w:left w:w="160" w:type="dxa"/>
              <w:right w:w="160" w:type="dxa"/>
            </w:tcMar>
            <w:tcBorders>
              <w:top w:val="none" w:sz="0" w:space="0" w:color="auto"/>
              <w:left w:val="single" w:sz="18" w:space="0" w:color="4A5568"/>
              <w:bottom w:val="none" w:sz="0" w:space="0" w:color="auto"/>
              <w:right w:val="none" w:sz="0" w:space="0" w:color="auto"/>
            </w:tcBorders>
          </w:tcPr>
          <w:p>
            <w:pPr>
              <w:spacing w:before="40" w:after="40"/>
            </w:pPr>
            <w:r>
              <w:rPr>
                <w:rFonts w:ascii="Consolas" w:hAnsi="Consolas"/>
                <w:color w:val="F0F0F0"/>
                <w:sz w:val="20"/>
              </w:rPr>
              <w:t>net start appidsvc</w:t>
            </w:r>
          </w:p>
        </w:tc>
      </w:tr>
    </w:tbl>
    <w:p>
      <w:pPr>
        <w:spacing w:before="0" w:after="80"/>
      </w:pPr>
    </w:p>
    <w:p>
      <w:pPr>
        <w:spacing w:before="120" w:after="40" w:line="276" w:lineRule="auto"/>
      </w:pPr>
      <w:r>
        <w:rPr>
          <w:b/>
          <w:color w:val="4B6B94"/>
          <w:sz w:val="22"/>
        </w:rPr>
        <w:t>Step 4: Launch Local Security Policy</w:t>
        <w:br/>
      </w:r>
      <w:r>
        <w:rPr>
          <w:sz w:val="21"/>
        </w:rPr>
        <w:t>In the taskbar search bar, type secpol.msc and launch it. Maximize the Local Security Policy window and widen the left navigation pane for optimal readability.</w:t>
      </w:r>
    </w:p>
    <w:p>
      <w:pPr>
        <w:spacing w:before="120" w:after="40" w:line="276" w:lineRule="auto"/>
      </w:pPr>
      <w:r>
        <w:rPr>
          <w:b/>
          <w:color w:val="4B6B94"/>
          <w:sz w:val="22"/>
        </w:rPr>
        <w:t>Step 5: Enable AppLocker Rule Enforcement</w:t>
        <w:br/>
      </w:r>
      <w:r>
        <w:rPr>
          <w:sz w:val="21"/>
        </w:rPr>
        <w:t>In the left pane, expand Application Control Policies &gt; AppLocker, then click on AppLocker.</w:t>
        <w:br/>
        <w:t>In the right-hand actions area, click Configure rule enforcement.</w:t>
        <w:br/>
        <w:t>In the AppLocker Properties dialog, check all four (4) 'Configured' checkboxes (Executable rules, Windows Installer rules, Script rules, and Packaged app Rules). Ensure each dropdown is set to Enforce rules. Click Apply, then click OK.</w:t>
      </w:r>
    </w:p>
    <w:p>
      <w:pPr>
        <w:spacing w:before="120" w:after="40" w:line="276" w:lineRule="auto"/>
      </w:pPr>
      <w:r>
        <w:rPr>
          <w:b/>
          <w:color w:val="4B6B94"/>
          <w:sz w:val="22"/>
        </w:rPr>
        <w:t>Step 6: Create Path-Based Deny Rule</w:t>
        <w:br/>
      </w:r>
      <w:r>
        <w:rPr>
          <w:sz w:val="21"/>
        </w:rPr>
        <w:t>In the left pane, select Executable Rules. Right-click the blank area in the right pane and select Create New Rule...</w:t>
        <w:br/>
        <w:t>• Before You Begin: Click Next.</w:t>
        <w:br/>
        <w:t>• Permissions: Set Action to Deny. Keep User or group as Everyone. Click Next.</w:t>
        <w:br/>
        <w:t>• Conditions: Select Path, then click Next.</w:t>
        <w:br/>
        <w:t>• Path Specification: In the Path field, enter %WINDIR%\regedit.exe, then click Create.</w:t>
        <w:br/>
        <w:t>• Default Rules Prompt: When prompted to generate default rules, click Yes to ensure standard Windows system files remain functional.</w:t>
      </w:r>
    </w:p>
    <w:p>
      <w:pPr>
        <w:spacing w:before="120" w:after="40" w:line="276" w:lineRule="auto"/>
      </w:pPr>
      <w:r>
        <w:rPr>
          <w:b/>
          <w:color w:val="4B6B94"/>
          <w:sz w:val="22"/>
        </w:rPr>
        <w:t>Step 7: Force Policy Update &amp; Verify CLI Enforcement</w:t>
        <w:br/>
      </w:r>
      <w:r>
        <w:rPr>
          <w:sz w:val="21"/>
        </w:rPr>
        <w:t>Switch back to the elevated PowerShell console. Force the system to immediately pull and apply the updated local security policies:</w:t>
      </w:r>
    </w:p>
    <w:tbl>
      <w:tblPr>
        <w:tblW w:type="auto" w:w="0"/>
        <w:jc w:val="center"/>
        <w:tblLayout w:type="fixed"/>
        <w:tblLook w:firstColumn="1" w:firstRow="1" w:lastColumn="0" w:lastRow="0" w:noHBand="0" w:noVBand="1" w:val="04A0"/>
      </w:tblPr>
      <w:tblGrid>
        <w:gridCol w:w="9360"/>
      </w:tblGrid>
      <w:tr>
        <w:tc>
          <w:tcPr>
            <w:tcW w:type="dxa" w:w="9360"/>
            <w:shd w:fill="2D3748"/>
            <w:tcMar>
              <w:top w:w="100" w:type="dxa"/>
              <w:bottom w:w="100" w:type="dxa"/>
              <w:left w:w="160" w:type="dxa"/>
              <w:right w:w="160" w:type="dxa"/>
            </w:tcMar>
            <w:tcBorders>
              <w:top w:val="none" w:sz="0" w:space="0" w:color="auto"/>
              <w:left w:val="single" w:sz="18" w:space="0" w:color="4A5568"/>
              <w:bottom w:val="none" w:sz="0" w:space="0" w:color="auto"/>
              <w:right w:val="none" w:sz="0" w:space="0" w:color="auto"/>
            </w:tcBorders>
          </w:tcPr>
          <w:p>
            <w:pPr>
              <w:spacing w:before="40" w:after="40"/>
            </w:pPr>
            <w:r>
              <w:rPr>
                <w:rFonts w:ascii="Consolas" w:hAnsi="Consolas"/>
                <w:color w:val="F0F0F0"/>
                <w:sz w:val="20"/>
              </w:rPr>
              <w:t>gpupdate /force</w:t>
            </w:r>
          </w:p>
        </w:tc>
      </w:tr>
    </w:tbl>
    <w:p>
      <w:pPr>
        <w:spacing w:before="0" w:after="80"/>
      </w:pPr>
    </w:p>
    <w:p>
      <w:pPr>
        <w:spacing w:before="120" w:after="40" w:line="276" w:lineRule="auto"/>
      </w:pPr>
      <w:r>
        <w:rPr>
          <w:b/>
          <w:color w:val="4B6B94"/>
          <w:sz w:val="22"/>
        </w:rPr>
        <w:t>Step 8: Validate Restriction via CLI &amp; GUI</w:t>
        <w:br/>
      </w:r>
      <w:r>
        <w:rPr>
          <w:sz w:val="21"/>
        </w:rPr>
        <w:t>• CLI Validation: In the PowerShell window, type regedit and press Enter. The console will display an error confirming execution is blocked by group policy.</w:t>
        <w:br/>
        <w:t>• GUI Validation: Type regedit in the Windows taskbar search box and select Registry Editor. Windows will generate a popup alert: 'This app has been blocked by your system administrator.' Click Close.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sz="0" w:space="0" w:color="auto"/>
              <w:left w:val="single" w:sz="24" w:space="0" w:color="1B365D"/>
              <w:bottom w:val="none" w:sz="0" w:space="0" w:color="auto"/>
              <w:right w:val="none" w:sz="0" w:space="0" w:color="auto"/>
            </w:tcBorders>
          </w:tcPr>
          <w:p>
            <w:pPr>
              <w:spacing w:before="40" w:after="40" w:line="276" w:lineRule="auto"/>
            </w:pPr>
            <w:r>
              <w:rPr>
                <w:b/>
                <w:color w:val="1B365D"/>
                <w:sz w:val="21"/>
              </w:rPr>
              <w:t>📌 Knowledge Check: AppLocker Enforcement Conditions</w:t>
              <w:br/>
            </w:r>
            <w:r>
              <w:rPr>
                <w:color w:val="2C3E50"/>
                <w:sz w:val="20"/>
              </w:rPr>
              <w:t>AppLocker rule conditions fall under three primary mechanisms:</w:t>
              <w:br/>
              <w:t>1. Path (Location &amp; filename)</w:t>
              <w:br/>
              <w:t>2. File Hash (Cryptographic thumbprint of the binary)</w:t>
              <w:br/>
              <w:t>3. Publisher (Digital signature, product name, and version)</w:t>
              <w:br/>
              <w:t>(Note: File size and Date/time are NOT primary AppLocker triggering conditions).</w:t>
            </w:r>
          </w:p>
        </w:tc>
      </w:tr>
    </w:tbl>
    <w:p>
      <w:pPr>
        <w:spacing w:before="0" w:after="80"/>
      </w:pPr>
    </w:p>
    <w:p>
      <w:pPr>
        <w:pStyle w:val="Heading1"/>
        <w:spacing w:before="320" w:after="120"/>
      </w:pPr>
      <w:r>
        <w:rPr>
          <w:b/>
          <w:color w:val="1B365D"/>
        </w:rPr>
        <w:t>3. Exercise 2: Control Application Execution Using File Hashing</w:t>
      </w:r>
    </w:p>
    <w:p>
      <w:pPr>
        <w:spacing w:after="120" w:line="276" w:lineRule="auto"/>
      </w:pPr>
      <w:r>
        <w:t xml:space="preserve">In this exercise, you configure a cryptographic File Hash deny rule to prevent Mozilla Firefox from launching. File hashing ensures that even if an attacker renames or relocates </w:t>
      </w:r>
      <w:r>
        <w:rPr>
          <w:rFonts w:ascii="Consolas" w:hAnsi="Consolas"/>
        </w:rPr>
        <w:t>firefox.exe</w:t>
      </w:r>
      <w:r>
        <w:t>, the operating system will match the binary fingerprint and deny execution.</w:t>
      </w:r>
    </w:p>
    <w:p>
      <w:pPr>
        <w:spacing w:before="120" w:after="40" w:line="276" w:lineRule="auto"/>
      </w:pPr>
      <w:r>
        <w:rPr>
          <w:b/>
          <w:color w:val="4B6B94"/>
          <w:sz w:val="22"/>
        </w:rPr>
        <w:t>Step 1: Open Executable Rules in Local Security Policy</w:t>
        <w:br/>
      </w:r>
      <w:r>
        <w:rPr>
          <w:sz w:val="21"/>
        </w:rPr>
        <w:t>Return to the Local Security Policy (secpol.msc) window. Under Application Control Policies &gt; AppLocker, select Executable Rules in the left tree.</w:t>
      </w:r>
    </w:p>
    <w:p>
      <w:pPr>
        <w:spacing w:before="120" w:after="40" w:line="276" w:lineRule="auto"/>
      </w:pPr>
      <w:r>
        <w:rPr>
          <w:b/>
          <w:color w:val="4B6B94"/>
          <w:sz w:val="22"/>
        </w:rPr>
        <w:t>Step 2: Initiate Rule Creation Wizard</w:t>
        <w:br/>
      </w:r>
      <w:r>
        <w:rPr>
          <w:sz w:val="21"/>
        </w:rPr>
        <w:t>Right-click an empty area in the right pane and select Create New Rule...</w:t>
        <w:br/>
        <w:t>• Before You Begin: Click Next.</w:t>
        <w:br/>
        <w:t>• Permissions: Select Deny under Action (applies to Everyone). Click Next.</w:t>
        <w:br/>
        <w:t>• Conditions: Select File hash, then click Next.</w:t>
      </w:r>
    </w:p>
    <w:p>
      <w:pPr>
        <w:spacing w:before="120" w:after="40" w:line="276" w:lineRule="auto"/>
      </w:pPr>
      <w:r>
        <w:rPr>
          <w:b/>
          <w:color w:val="4B6B94"/>
          <w:sz w:val="22"/>
        </w:rPr>
        <w:t>Step 3: Browse and Hash Target Binary</w:t>
        <w:br/>
      </w:r>
      <w:r>
        <w:rPr>
          <w:sz w:val="21"/>
        </w:rPr>
        <w:t>On the File Hash configuration screen, click Browse Files...</w:t>
        <w:br/>
        <w:t>• Navigate to: This PC &gt; Local Disk (C:) &gt; Program Files &gt; Mozilla Firefox.</w:t>
        <w:br/>
        <w:t>• Select firefox (firefox.exe) and click Open.</w:t>
        <w:br/>
        <w:t>• The AppLocker engine will automatically compute the cryptographic hash of the application.</w:t>
        <w:br/>
        <w:t>• Click Create. You will now see the new firefox.exe | File Hash | Deny rule populated in the policy list.</w:t>
      </w:r>
    </w:p>
    <w:p>
      <w:pPr>
        <w:spacing w:before="120" w:after="40" w:line="276" w:lineRule="auto"/>
      </w:pPr>
      <w:r>
        <w:rPr>
          <w:b/>
          <w:color w:val="4B6B94"/>
          <w:sz w:val="22"/>
        </w:rPr>
        <w:t>Step 4: Force Policy Refresh</w:t>
        <w:br/>
      </w:r>
      <w:r>
        <w:rPr>
          <w:sz w:val="21"/>
        </w:rPr>
        <w:t>Return to the administrator PowerShell window and refresh the policy cache:</w:t>
      </w:r>
    </w:p>
    <w:tbl>
      <w:tblPr>
        <w:tblW w:type="auto" w:w="0"/>
        <w:jc w:val="center"/>
        <w:tblLayout w:type="fixed"/>
        <w:tblLook w:firstColumn="1" w:firstRow="1" w:lastColumn="0" w:lastRow="0" w:noHBand="0" w:noVBand="1" w:val="04A0"/>
      </w:tblPr>
      <w:tblGrid>
        <w:gridCol w:w="9360"/>
      </w:tblGrid>
      <w:tr>
        <w:tc>
          <w:tcPr>
            <w:tcW w:type="dxa" w:w="9360"/>
            <w:shd w:fill="2D3748"/>
            <w:tcMar>
              <w:top w:w="100" w:type="dxa"/>
              <w:bottom w:w="100" w:type="dxa"/>
              <w:left w:w="160" w:type="dxa"/>
              <w:right w:w="160" w:type="dxa"/>
            </w:tcMar>
            <w:tcBorders>
              <w:top w:val="none" w:sz="0" w:space="0" w:color="auto"/>
              <w:left w:val="single" w:sz="18" w:space="0" w:color="4A5568"/>
              <w:bottom w:val="none" w:sz="0" w:space="0" w:color="auto"/>
              <w:right w:val="none" w:sz="0" w:space="0" w:color="auto"/>
            </w:tcBorders>
          </w:tcPr>
          <w:p>
            <w:pPr>
              <w:spacing w:before="40" w:after="40"/>
            </w:pPr>
            <w:r>
              <w:rPr>
                <w:rFonts w:ascii="Consolas" w:hAnsi="Consolas"/>
                <w:color w:val="F0F0F0"/>
                <w:sz w:val="20"/>
              </w:rPr>
              <w:t>gpupdate /force</w:t>
            </w:r>
          </w:p>
        </w:tc>
      </w:tr>
    </w:tbl>
    <w:p>
      <w:pPr>
        <w:spacing w:before="0" w:after="80"/>
      </w:pPr>
    </w:p>
    <w:p>
      <w:pPr>
        <w:spacing w:before="120" w:after="40" w:line="276" w:lineRule="auto"/>
      </w:pPr>
      <w:r>
        <w:rPr>
          <w:b/>
          <w:color w:val="4B6B94"/>
          <w:sz w:val="22"/>
        </w:rPr>
        <w:t>Step 5: Validate File Hash Block</w:t>
        <w:br/>
      </w:r>
      <w:r>
        <w:rPr>
          <w:sz w:val="21"/>
        </w:rPr>
        <w:t>In the Windows taskbar search bar, type Firefox and select Firefox from the application results.</w:t>
        <w:br/>
        <w:t>Observe that Windows immediately halts process instantiation and presents the error: 'This app has been blocked by your system administrator.' Click Close.</w:t>
      </w:r>
    </w:p>
    <w:p>
      <w:pPr>
        <w:pStyle w:val="Heading1"/>
        <w:spacing w:before="320" w:after="120"/>
      </w:pPr>
      <w:r>
        <w:rPr>
          <w:b/>
          <w:color w:val="1B365D"/>
        </w:rPr>
        <w:t>4. Rule Condition Evaluation Matrix &amp; Exam Summary</w:t>
      </w:r>
    </w:p>
    <w:p>
      <w:pPr>
        <w:spacing w:line="276" w:lineRule="auto" w:after="120"/>
      </w:pPr>
      <w:r>
        <w:t>Understanding how AppLocker evaluates conditions under evasion attempts is essential for both enterprise hardening and the CompTIA Security+ examination:</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B365D"/>
            <w:tcMar>
              <w:top w:w="100" w:type="dxa"/>
              <w:bottom w:w="100" w:type="dxa"/>
              <w:left w:w="120" w:type="dxa"/>
              <w:right w:w="120" w:type="dxa"/>
            </w:tcMar>
          </w:tcPr>
          <w:p>
            <w:pPr>
              <w:spacing w:before="0" w:after="0"/>
            </w:pPr>
            <w:r>
              <w:rPr>
                <w:b/>
                <w:color w:val="FFFFFF"/>
                <w:sz w:val="20"/>
              </w:rPr>
              <w:t>Scenario / Action</w:t>
            </w:r>
          </w:p>
        </w:tc>
        <w:tc>
          <w:tcPr>
            <w:tcW w:type="dxa" w:w="2880"/>
            <w:shd w:fill="1B365D"/>
            <w:tcMar>
              <w:top w:w="100" w:type="dxa"/>
              <w:bottom w:w="100" w:type="dxa"/>
              <w:left w:w="120" w:type="dxa"/>
              <w:right w:w="120" w:type="dxa"/>
            </w:tcMar>
          </w:tcPr>
          <w:p>
            <w:pPr>
              <w:spacing w:before="0" w:after="0"/>
            </w:pPr>
            <w:r>
              <w:rPr>
                <w:b/>
                <w:color w:val="FFFFFF"/>
                <w:sz w:val="20"/>
              </w:rPr>
              <w:t>Path-Based Rule</w:t>
            </w:r>
          </w:p>
        </w:tc>
        <w:tc>
          <w:tcPr>
            <w:tcW w:type="dxa" w:w="2880"/>
            <w:shd w:fill="1B365D"/>
            <w:tcMar>
              <w:top w:w="100" w:type="dxa"/>
              <w:bottom w:w="100" w:type="dxa"/>
              <w:left w:w="120" w:type="dxa"/>
              <w:right w:w="120" w:type="dxa"/>
            </w:tcMar>
          </w:tcPr>
          <w:p>
            <w:pPr>
              <w:spacing w:before="0" w:after="0"/>
            </w:pPr>
            <w:r>
              <w:rPr>
                <w:b/>
                <w:color w:val="FFFFFF"/>
                <w:sz w:val="20"/>
              </w:rPr>
              <w:t>File Hash-Based Rule</w:t>
            </w:r>
          </w:p>
        </w:tc>
      </w:tr>
      <w:tr>
        <w:tc>
          <w:tcPr>
            <w:tcW w:type="dxa" w:w="3600"/>
            <w:shd w:fill="FFFFFF"/>
            <w:tcMar>
              <w:top w:w="80" w:type="dxa"/>
              <w:bottom w:w="80" w:type="dxa"/>
              <w:left w:w="120" w:type="dxa"/>
              <w:right w:w="120" w:type="dxa"/>
            </w:tcMar>
          </w:tcPr>
          <w:p>
            <w:pPr>
              <w:spacing w:before="0" w:after="0"/>
            </w:pPr>
            <w:r>
              <w:rPr>
                <w:b/>
                <w:color w:val="2C3E50"/>
                <w:sz w:val="19"/>
              </w:rPr>
              <w:t>File renamed in same directory</w:t>
            </w:r>
          </w:p>
        </w:tc>
        <w:tc>
          <w:tcPr>
            <w:tcW w:type="dxa" w:w="2880"/>
            <w:shd w:fill="FFFFFF"/>
            <w:tcMar>
              <w:top w:w="80" w:type="dxa"/>
              <w:bottom w:w="80" w:type="dxa"/>
              <w:left w:w="120" w:type="dxa"/>
              <w:right w:w="120" w:type="dxa"/>
            </w:tcMar>
          </w:tcPr>
          <w:p>
            <w:pPr>
              <w:spacing w:before="0" w:after="0"/>
            </w:pPr>
            <w:r>
              <w:rPr>
                <w:b/>
                <w:color w:val="A01E1E"/>
                <w:sz w:val="19"/>
              </w:rPr>
              <w:t>Executes (Bypass)</w:t>
            </w:r>
          </w:p>
        </w:tc>
        <w:tc>
          <w:tcPr>
            <w:tcW w:type="dxa" w:w="2880"/>
            <w:shd w:fill="FFFFFF"/>
            <w:tcMar>
              <w:top w:w="80" w:type="dxa"/>
              <w:bottom w:w="80" w:type="dxa"/>
              <w:left w:w="120" w:type="dxa"/>
              <w:right w:w="120" w:type="dxa"/>
            </w:tcMar>
          </w:tcPr>
          <w:p>
            <w:pPr>
              <w:spacing w:before="0" w:after="0"/>
            </w:pPr>
            <w:r>
              <w:rPr>
                <w:b/>
                <w:color w:val="146E28"/>
                <w:sz w:val="19"/>
              </w:rPr>
              <w:t>Denied (Secure)</w:t>
            </w:r>
          </w:p>
        </w:tc>
      </w:tr>
      <w:tr>
        <w:tc>
          <w:tcPr>
            <w:tcW w:type="dxa" w:w="3600"/>
            <w:shd w:fill="F4F6F9"/>
            <w:tcMar>
              <w:top w:w="80" w:type="dxa"/>
              <w:bottom w:w="80" w:type="dxa"/>
              <w:left w:w="120" w:type="dxa"/>
              <w:right w:w="120" w:type="dxa"/>
            </w:tcMar>
          </w:tcPr>
          <w:p>
            <w:pPr>
              <w:spacing w:before="0" w:after="0"/>
            </w:pPr>
            <w:r>
              <w:rPr>
                <w:b/>
                <w:color w:val="2C3E50"/>
                <w:sz w:val="19"/>
              </w:rPr>
              <w:t>File moved to different directory</w:t>
            </w:r>
          </w:p>
        </w:tc>
        <w:tc>
          <w:tcPr>
            <w:tcW w:type="dxa" w:w="2880"/>
            <w:shd w:fill="F4F6F9"/>
            <w:tcMar>
              <w:top w:w="80" w:type="dxa"/>
              <w:bottom w:w="80" w:type="dxa"/>
              <w:left w:w="120" w:type="dxa"/>
              <w:right w:w="120" w:type="dxa"/>
            </w:tcMar>
          </w:tcPr>
          <w:p>
            <w:pPr>
              <w:spacing w:before="0" w:after="0"/>
            </w:pPr>
            <w:r>
              <w:rPr>
                <w:b/>
                <w:color w:val="A01E1E"/>
                <w:sz w:val="19"/>
              </w:rPr>
              <w:t>Executes (Bypass)</w:t>
            </w:r>
          </w:p>
        </w:tc>
        <w:tc>
          <w:tcPr>
            <w:tcW w:type="dxa" w:w="2880"/>
            <w:shd w:fill="F4F6F9"/>
            <w:tcMar>
              <w:top w:w="80" w:type="dxa"/>
              <w:bottom w:w="80" w:type="dxa"/>
              <w:left w:w="120" w:type="dxa"/>
              <w:right w:w="120" w:type="dxa"/>
            </w:tcMar>
          </w:tcPr>
          <w:p>
            <w:pPr>
              <w:spacing w:before="0" w:after="0"/>
            </w:pPr>
            <w:r>
              <w:rPr>
                <w:b/>
                <w:color w:val="146E28"/>
                <w:sz w:val="19"/>
              </w:rPr>
              <w:t>Denied (Secure)</w:t>
            </w:r>
          </w:p>
        </w:tc>
      </w:tr>
      <w:tr>
        <w:tc>
          <w:tcPr>
            <w:tcW w:type="dxa" w:w="3600"/>
            <w:shd w:fill="FFFFFF"/>
            <w:tcMar>
              <w:top w:w="80" w:type="dxa"/>
              <w:bottom w:w="80" w:type="dxa"/>
              <w:left w:w="120" w:type="dxa"/>
              <w:right w:w="120" w:type="dxa"/>
            </w:tcMar>
          </w:tcPr>
          <w:p>
            <w:pPr>
              <w:spacing w:before="0" w:after="0"/>
            </w:pPr>
            <w:r>
              <w:rPr>
                <w:b/>
                <w:color w:val="2C3E50"/>
                <w:sz w:val="19"/>
              </w:rPr>
              <w:t>Application updated / patched</w:t>
            </w:r>
          </w:p>
        </w:tc>
        <w:tc>
          <w:tcPr>
            <w:tcW w:type="dxa" w:w="2880"/>
            <w:shd w:fill="FFFFFF"/>
            <w:tcMar>
              <w:top w:w="80" w:type="dxa"/>
              <w:bottom w:w="80" w:type="dxa"/>
              <w:left w:w="120" w:type="dxa"/>
              <w:right w:w="120" w:type="dxa"/>
            </w:tcMar>
          </w:tcPr>
          <w:p>
            <w:pPr>
              <w:spacing w:before="0" w:after="0"/>
            </w:pPr>
            <w:r>
              <w:rPr>
                <w:color w:val="2C3E50"/>
                <w:sz w:val="19"/>
              </w:rPr>
              <w:t>Denied (Remains active)</w:t>
            </w:r>
          </w:p>
        </w:tc>
        <w:tc>
          <w:tcPr>
            <w:tcW w:type="dxa" w:w="2880"/>
            <w:shd w:fill="FFFFFF"/>
            <w:tcMar>
              <w:top w:w="80" w:type="dxa"/>
              <w:bottom w:w="80" w:type="dxa"/>
              <w:left w:w="120" w:type="dxa"/>
              <w:right w:w="120" w:type="dxa"/>
            </w:tcMar>
          </w:tcPr>
          <w:p>
            <w:pPr>
              <w:spacing w:before="0" w:after="0"/>
            </w:pPr>
            <w:r>
              <w:rPr>
                <w:color w:val="2C3E50"/>
                <w:sz w:val="19"/>
              </w:rPr>
              <w:t>Rule breaks (Hash changes)</w:t>
            </w:r>
          </w:p>
        </w:tc>
      </w:tr>
      <w:tr>
        <w:tc>
          <w:tcPr>
            <w:tcW w:type="dxa" w:w="3600"/>
            <w:shd w:fill="F4F6F9"/>
            <w:tcMar>
              <w:top w:w="80" w:type="dxa"/>
              <w:bottom w:w="80" w:type="dxa"/>
              <w:left w:w="120" w:type="dxa"/>
              <w:right w:w="120" w:type="dxa"/>
            </w:tcMar>
          </w:tcPr>
          <w:p>
            <w:pPr>
              <w:spacing w:before="0" w:after="0"/>
            </w:pPr>
            <w:r>
              <w:rPr>
                <w:b/>
                <w:color w:val="2C3E50"/>
                <w:sz w:val="19"/>
              </w:rPr>
              <w:t>Administrative overhead</w:t>
            </w:r>
          </w:p>
        </w:tc>
        <w:tc>
          <w:tcPr>
            <w:tcW w:type="dxa" w:w="2880"/>
            <w:shd w:fill="F4F6F9"/>
            <w:tcMar>
              <w:top w:w="80" w:type="dxa"/>
              <w:bottom w:w="80" w:type="dxa"/>
              <w:left w:w="120" w:type="dxa"/>
              <w:right w:w="120" w:type="dxa"/>
            </w:tcMar>
          </w:tcPr>
          <w:p>
            <w:pPr>
              <w:spacing w:before="0" w:after="0"/>
            </w:pPr>
            <w:r>
              <w:rPr>
                <w:color w:val="2C3E50"/>
                <w:sz w:val="19"/>
              </w:rPr>
              <w:t>Low maintenance</w:t>
            </w:r>
          </w:p>
        </w:tc>
        <w:tc>
          <w:tcPr>
            <w:tcW w:type="dxa" w:w="2880"/>
            <w:shd w:fill="F4F6F9"/>
            <w:tcMar>
              <w:top w:w="80" w:type="dxa"/>
              <w:bottom w:w="80" w:type="dxa"/>
              <w:left w:w="120" w:type="dxa"/>
              <w:right w:w="120" w:type="dxa"/>
            </w:tcMar>
          </w:tcPr>
          <w:p>
            <w:pPr>
              <w:spacing w:before="0" w:after="0"/>
            </w:pPr>
            <w:r>
              <w:rPr>
                <w:color w:val="2C3E50"/>
                <w:sz w:val="19"/>
              </w:rPr>
              <w:t>Higher (Update on patches)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sz="0" w:space="0" w:color="auto"/>
              <w:left w:val="single" w:sz="24" w:space="0" w:color="1B365D"/>
              <w:bottom w:val="none" w:sz="0" w:space="0" w:color="auto"/>
              <w:right w:val="none" w:sz="0" w:space="0" w:color="auto"/>
            </w:tcBorders>
          </w:tcPr>
          <w:p>
            <w:pPr>
              <w:spacing w:before="40" w:after="40" w:line="276" w:lineRule="auto"/>
            </w:pPr>
            <w:r>
              <w:rPr>
                <w:b/>
                <w:color w:val="1B365D"/>
                <w:sz w:val="21"/>
              </w:rPr>
              <w:t>📌 Key Takeaways for Security Operations</w:t>
              <w:br/>
            </w:r>
            <w:r>
              <w:rPr>
                <w:color w:val="2C3E50"/>
                <w:sz w:val="20"/>
              </w:rPr>
              <w:t>1. Principle of Least Privilege: Restricting unnecessary execution surfaces drastically minimizes attack vectors.</w:t>
              <w:br/>
              <w:t>2. Default Rules Importance: When enabling AppLocker, always ensure default rules exist for Windows and Program Files; otherwise, legitimate system processes will be blocked, causing system instability.</w:t>
              <w:br/>
              <w:t>3. Service Dependency: AppLocker will not evaluate rules unless the Application Identification Service (appidsvc) is running.</w:t>
              <w:br/>
              <w:t>4. Immediate Enforcement: Executing 'gpupdate /force' forces the Windows subsystem to re-read and enforce the local security baseline without requiring a reboot.</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