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319795"/>
          <w:sz w:val="20"/>
        </w:rPr>
        <w:t>APPLIED LAB GUIDE</w:t>
      </w:r>
    </w:p>
    <w:p>
      <w:pPr>
        <w:spacing w:before="0" w:after="80"/>
      </w:pPr>
      <w:r>
        <w:rPr>
          <w:rFonts w:ascii="Arial" w:hAnsi="Arial"/>
          <w:b/>
          <w:color w:val="1A365D"/>
          <w:sz w:val="44"/>
        </w:rPr>
        <w:t>Incident Response: Detection with Wazuh</w:t>
      </w:r>
    </w:p>
    <w:p>
      <w:pPr>
        <w:spacing w:after="280"/>
      </w:pPr>
      <w:r>
        <w:rPr>
          <w:rFonts w:ascii="Arial" w:hAnsi="Arial"/>
          <w:color w:val="718096"/>
          <w:sz w:val="22"/>
        </w:rPr>
        <w:t>Comprehensive Step-by-Step Lab Manual | CompTIA Security+ Aligned</w:t>
      </w:r>
    </w:p>
    <w:p>
      <w:pPr>
        <w:spacing w:after="240"/>
        <w:pBdr>
          <w:bottom w:val="single" w:sz="12" w:space="1" w:color="2B6CB0"/>
        </w:pBdr>
      </w:pPr>
    </w:p>
    <w:p>
      <w:pPr>
        <w:pStyle w:val="Heading1"/>
        <w:spacing w:before="200" w:after="120"/>
      </w:pPr>
      <w:r>
        <w:rPr>
          <w:color w:val="1A365D"/>
          <w:sz w:val="28"/>
        </w:rPr>
        <w:t>1. Lab Overview &amp; Architecture</w:t>
      </w:r>
    </w:p>
    <w:p>
      <w:pPr>
        <w:spacing w:after="160"/>
      </w:pPr>
      <w:r>
        <w:t>In this lab, you will leverage Wazuh—an open-source security detection and monitoring platform combining SIEM, IDS, and SOAR capabilities—to detect Indicators of Compromise (IoCs) associated with suspicious logon activity and anti-forensic tampering. This exercise illustrates practical execution of the Detection phase of the Incident Response lifecycle.</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728"/>
            <w:shd w:fill="1A365D"/>
            <w:tcMar>
              <w:top w:w="80" w:type="dxa"/>
              <w:bottom w:w="80" w:type="dxa"/>
              <w:left w:w="100" w:type="dxa"/>
              <w:right w:w="100" w:type="dxa"/>
            </w:tcMar>
          </w:tcPr>
          <w:p>
            <w:pPr>
              <w:spacing w:after="0"/>
            </w:pPr>
            <w:r>
              <w:rPr>
                <w:b/>
                <w:color w:val="FFFFFF"/>
                <w:sz w:val="18"/>
              </w:rPr>
              <w:t>Host Name</w:t>
            </w:r>
          </w:p>
        </w:tc>
        <w:tc>
          <w:tcPr>
            <w:tcW w:type="dxa" w:w="2592"/>
            <w:shd w:fill="1A365D"/>
            <w:tcMar>
              <w:top w:w="80" w:type="dxa"/>
              <w:bottom w:w="80" w:type="dxa"/>
              <w:left w:w="100" w:type="dxa"/>
              <w:right w:w="100" w:type="dxa"/>
            </w:tcMar>
          </w:tcPr>
          <w:p>
            <w:pPr>
              <w:spacing w:after="0"/>
            </w:pPr>
            <w:r>
              <w:rPr>
                <w:b/>
                <w:color w:val="FFFFFF"/>
                <w:sz w:val="18"/>
              </w:rPr>
              <w:t>Operating System</w:t>
            </w:r>
          </w:p>
        </w:tc>
        <w:tc>
          <w:tcPr>
            <w:tcW w:type="dxa" w:w="2016"/>
            <w:shd w:fill="1A365D"/>
            <w:tcMar>
              <w:top w:w="80" w:type="dxa"/>
              <w:bottom w:w="80" w:type="dxa"/>
              <w:left w:w="100" w:type="dxa"/>
              <w:right w:w="100" w:type="dxa"/>
            </w:tcMar>
          </w:tcPr>
          <w:p>
            <w:pPr>
              <w:spacing w:after="0"/>
            </w:pPr>
            <w:r>
              <w:rPr>
                <w:b/>
                <w:color w:val="FFFFFF"/>
                <w:sz w:val="18"/>
              </w:rPr>
              <w:t>IP Address</w:t>
            </w:r>
          </w:p>
        </w:tc>
        <w:tc>
          <w:tcPr>
            <w:tcW w:type="dxa" w:w="3600"/>
            <w:shd w:fill="1A365D"/>
            <w:tcMar>
              <w:top w:w="80" w:type="dxa"/>
              <w:bottom w:w="80" w:type="dxa"/>
              <w:left w:w="100" w:type="dxa"/>
              <w:right w:w="100" w:type="dxa"/>
            </w:tcMar>
          </w:tcPr>
          <w:p>
            <w:pPr>
              <w:spacing w:after="0"/>
            </w:pPr>
            <w:r>
              <w:rPr>
                <w:b/>
                <w:color w:val="FFFFFF"/>
                <w:sz w:val="18"/>
              </w:rPr>
              <w:t>Role / Function</w:t>
            </w:r>
          </w:p>
        </w:tc>
      </w:tr>
      <w:tr>
        <w:tc>
          <w:tcPr>
            <w:tcW w:type="dxa" w:w="1728"/>
            <w:shd w:fill="F7FAFC"/>
            <w:tcMar>
              <w:top w:w="60" w:type="dxa"/>
              <w:bottom w:w="60" w:type="dxa"/>
              <w:left w:w="100" w:type="dxa"/>
              <w:right w:w="100" w:type="dxa"/>
            </w:tcMar>
          </w:tcPr>
          <w:p>
            <w:pPr>
              <w:spacing w:after="0"/>
            </w:pPr>
            <w:r>
              <w:rPr>
                <w:color w:val="2D3748"/>
                <w:sz w:val="17"/>
              </w:rPr>
              <w:t>KALI</w:t>
            </w:r>
          </w:p>
        </w:tc>
        <w:tc>
          <w:tcPr>
            <w:tcW w:type="dxa" w:w="2592"/>
            <w:shd w:fill="F7FAFC"/>
            <w:tcMar>
              <w:top w:w="60" w:type="dxa"/>
              <w:bottom w:w="60" w:type="dxa"/>
              <w:left w:w="100" w:type="dxa"/>
              <w:right w:w="100" w:type="dxa"/>
            </w:tcMar>
          </w:tcPr>
          <w:p>
            <w:pPr>
              <w:spacing w:after="0"/>
            </w:pPr>
            <w:r>
              <w:rPr>
                <w:color w:val="2D3748"/>
                <w:sz w:val="17"/>
              </w:rPr>
              <w:t>Kali Linux</w:t>
            </w:r>
          </w:p>
        </w:tc>
        <w:tc>
          <w:tcPr>
            <w:tcW w:type="dxa" w:w="2016"/>
            <w:shd w:fill="F7FAFC"/>
            <w:tcMar>
              <w:top w:w="60" w:type="dxa"/>
              <w:bottom w:w="60" w:type="dxa"/>
              <w:left w:w="100" w:type="dxa"/>
              <w:right w:w="100" w:type="dxa"/>
            </w:tcMar>
          </w:tcPr>
          <w:p>
            <w:pPr>
              <w:spacing w:after="0"/>
            </w:pPr>
            <w:r>
              <w:rPr>
                <w:color w:val="2D3748"/>
                <w:sz w:val="17"/>
              </w:rPr>
              <w:t>Server Subnet</w:t>
            </w:r>
          </w:p>
        </w:tc>
        <w:tc>
          <w:tcPr>
            <w:tcW w:type="dxa" w:w="3600"/>
            <w:shd w:fill="F7FAFC"/>
            <w:tcMar>
              <w:top w:w="60" w:type="dxa"/>
              <w:bottom w:w="60" w:type="dxa"/>
              <w:left w:w="100" w:type="dxa"/>
              <w:right w:w="100" w:type="dxa"/>
            </w:tcMar>
          </w:tcPr>
          <w:p>
            <w:pPr>
              <w:spacing w:after="0"/>
            </w:pPr>
            <w:r>
              <w:rPr>
                <w:color w:val="2D3748"/>
                <w:sz w:val="17"/>
              </w:rPr>
              <w:t>Security Workstation (Attacker / Analyst CLI &amp; Browser)</w:t>
            </w:r>
          </w:p>
        </w:tc>
      </w:tr>
      <w:tr>
        <w:tc>
          <w:tcPr>
            <w:tcW w:type="dxa" w:w="1728"/>
            <w:shd w:fill="FFFFFF"/>
            <w:tcMar>
              <w:top w:w="60" w:type="dxa"/>
              <w:bottom w:w="60" w:type="dxa"/>
              <w:left w:w="100" w:type="dxa"/>
              <w:right w:w="100" w:type="dxa"/>
            </w:tcMar>
          </w:tcPr>
          <w:p>
            <w:pPr>
              <w:spacing w:after="0"/>
            </w:pPr>
            <w:r>
              <w:rPr>
                <w:color w:val="2D3748"/>
                <w:sz w:val="17"/>
              </w:rPr>
              <w:t>WAZUH</w:t>
            </w:r>
          </w:p>
        </w:tc>
        <w:tc>
          <w:tcPr>
            <w:tcW w:type="dxa" w:w="2592"/>
            <w:shd w:fill="FFFFFF"/>
            <w:tcMar>
              <w:top w:w="60" w:type="dxa"/>
              <w:bottom w:w="60" w:type="dxa"/>
              <w:left w:w="100" w:type="dxa"/>
              <w:right w:w="100" w:type="dxa"/>
            </w:tcMar>
          </w:tcPr>
          <w:p>
            <w:pPr>
              <w:spacing w:after="0"/>
            </w:pPr>
            <w:r>
              <w:rPr>
                <w:color w:val="2D3748"/>
                <w:sz w:val="17"/>
              </w:rPr>
              <w:t>Ubuntu Server</w:t>
            </w:r>
          </w:p>
        </w:tc>
        <w:tc>
          <w:tcPr>
            <w:tcW w:type="dxa" w:w="2016"/>
            <w:shd w:fill="FFFFFF"/>
            <w:tcMar>
              <w:top w:w="60" w:type="dxa"/>
              <w:bottom w:w="60" w:type="dxa"/>
              <w:left w:w="100" w:type="dxa"/>
              <w:right w:w="100" w:type="dxa"/>
            </w:tcMar>
          </w:tcPr>
          <w:p>
            <w:pPr>
              <w:spacing w:after="0"/>
            </w:pPr>
            <w:r>
              <w:rPr>
                <w:color w:val="2D3748"/>
                <w:sz w:val="17"/>
              </w:rPr>
              <w:t>10.1.16.242</w:t>
            </w:r>
          </w:p>
        </w:tc>
        <w:tc>
          <w:tcPr>
            <w:tcW w:type="dxa" w:w="3600"/>
            <w:shd w:fill="FFFFFF"/>
            <w:tcMar>
              <w:top w:w="60" w:type="dxa"/>
              <w:bottom w:w="60" w:type="dxa"/>
              <w:left w:w="100" w:type="dxa"/>
              <w:right w:w="100" w:type="dxa"/>
            </w:tcMar>
          </w:tcPr>
          <w:p>
            <w:pPr>
              <w:spacing w:after="0"/>
            </w:pPr>
            <w:r>
              <w:rPr>
                <w:color w:val="2D3748"/>
                <w:sz w:val="17"/>
              </w:rPr>
              <w:t>Wazuh SIEM / Dashboard Server (Web UI @ 10.1.16.242)</w:t>
            </w:r>
          </w:p>
        </w:tc>
      </w:tr>
      <w:tr>
        <w:tc>
          <w:tcPr>
            <w:tcW w:type="dxa" w:w="1728"/>
            <w:shd w:fill="F7FAFC"/>
            <w:tcMar>
              <w:top w:w="60" w:type="dxa"/>
              <w:bottom w:w="60" w:type="dxa"/>
              <w:left w:w="100" w:type="dxa"/>
              <w:right w:w="100" w:type="dxa"/>
            </w:tcMar>
          </w:tcPr>
          <w:p>
            <w:pPr>
              <w:spacing w:after="0"/>
            </w:pPr>
            <w:r>
              <w:rPr>
                <w:color w:val="2D3748"/>
                <w:sz w:val="17"/>
              </w:rPr>
              <w:t>DC10</w:t>
            </w:r>
          </w:p>
        </w:tc>
        <w:tc>
          <w:tcPr>
            <w:tcW w:type="dxa" w:w="2592"/>
            <w:shd w:fill="F7FAFC"/>
            <w:tcMar>
              <w:top w:w="60" w:type="dxa"/>
              <w:bottom w:w="60" w:type="dxa"/>
              <w:left w:w="100" w:type="dxa"/>
              <w:right w:w="100" w:type="dxa"/>
            </w:tcMar>
          </w:tcPr>
          <w:p>
            <w:pPr>
              <w:spacing w:after="0"/>
            </w:pPr>
            <w:r>
              <w:rPr>
                <w:color w:val="2D3748"/>
                <w:sz w:val="17"/>
              </w:rPr>
              <w:t>Windows Server 2019</w:t>
            </w:r>
          </w:p>
        </w:tc>
        <w:tc>
          <w:tcPr>
            <w:tcW w:type="dxa" w:w="2016"/>
            <w:shd w:fill="F7FAFC"/>
            <w:tcMar>
              <w:top w:w="60" w:type="dxa"/>
              <w:bottom w:w="60" w:type="dxa"/>
              <w:left w:w="100" w:type="dxa"/>
              <w:right w:w="100" w:type="dxa"/>
            </w:tcMar>
          </w:tcPr>
          <w:p>
            <w:pPr>
              <w:spacing w:after="0"/>
            </w:pPr>
            <w:r>
              <w:rPr>
                <w:color w:val="2D3748"/>
                <w:sz w:val="17"/>
              </w:rPr>
              <w:t>10.1.16.1</w:t>
            </w:r>
          </w:p>
        </w:tc>
        <w:tc>
          <w:tcPr>
            <w:tcW w:type="dxa" w:w="3600"/>
            <w:shd w:fill="F7FAFC"/>
            <w:tcMar>
              <w:top w:w="60" w:type="dxa"/>
              <w:bottom w:w="60" w:type="dxa"/>
              <w:left w:w="100" w:type="dxa"/>
              <w:right w:w="100" w:type="dxa"/>
            </w:tcMar>
          </w:tcPr>
          <w:p>
            <w:pPr>
              <w:spacing w:after="0"/>
            </w:pPr>
            <w:r>
              <w:rPr>
                <w:color w:val="2D3748"/>
                <w:sz w:val="17"/>
              </w:rPr>
              <w:t>Domain Controller (Monitored Target w/ Wazuh Agent)</w:t>
            </w:r>
          </w:p>
        </w:tc>
      </w:tr>
    </w:tbl>
    <w:p>
      <w:pPr>
        <w:spacing w:after="120"/>
      </w:pPr>
    </w:p>
    <w:p>
      <w:r>
        <w:rPr>
          <w:b/>
          <w:color w:val="2B6CB0"/>
        </w:rPr>
        <w:t>CompTIA Security+ Learning Objectives Covered:</w:t>
      </w:r>
    </w:p>
    <w:p>
      <w:pPr>
        <w:pStyle w:val="ListBullet"/>
        <w:spacing w:after="40"/>
      </w:pPr>
      <w:r>
        <w:rPr>
          <w:b/>
        </w:rPr>
        <w:t xml:space="preserve">Objective 2.4: </w:t>
      </w:r>
      <w:r>
        <w:t>Analyze indicators of malicious activity.</w:t>
      </w:r>
    </w:p>
    <w:p>
      <w:pPr>
        <w:pStyle w:val="ListBullet"/>
        <w:spacing w:after="40"/>
      </w:pPr>
      <w:r>
        <w:rPr>
          <w:b/>
        </w:rPr>
        <w:t xml:space="preserve">Objective 3.2: </w:t>
      </w:r>
      <w:r>
        <w:t>Apply security principles to secure enterprise infrastructure.</w:t>
      </w:r>
    </w:p>
    <w:p>
      <w:pPr>
        <w:pStyle w:val="ListBullet"/>
        <w:spacing w:after="40"/>
      </w:pPr>
      <w:r>
        <w:rPr>
          <w:b/>
        </w:rPr>
        <w:t xml:space="preserve">Objective 4.4: </w:t>
      </w:r>
      <w:r>
        <w:t>Explain security alerting and monitoring concepts and tools.</w:t>
      </w:r>
    </w:p>
    <w:p>
      <w:pPr>
        <w:pStyle w:val="ListBullet"/>
        <w:spacing w:after="40"/>
      </w:pPr>
      <w:r>
        <w:rPr>
          <w:b/>
        </w:rPr>
        <w:t xml:space="preserve">Objective 4.5: </w:t>
      </w:r>
      <w:r>
        <w:t>Modify enterprise capabilities to enhance security.</w:t>
      </w:r>
    </w:p>
    <w:p>
      <w:pPr>
        <w:pStyle w:val="ListBullet"/>
        <w:spacing w:after="40"/>
      </w:pPr>
      <w:r>
        <w:rPr>
          <w:b/>
        </w:rPr>
        <w:t xml:space="preserve">Objective 4.8: </w:t>
      </w:r>
      <w:r>
        <w:t>Explain appropriate incident response activities.</w:t>
      </w:r>
    </w:p>
    <w:p>
      <w:pPr>
        <w:pStyle w:val="ListBullet"/>
        <w:spacing w:after="40"/>
      </w:pPr>
      <w:r>
        <w:rPr>
          <w:b/>
        </w:rPr>
        <w:t xml:space="preserve">Objective 4.9: </w:t>
      </w:r>
      <w:r>
        <w:t>Use data sources to support an investigation.</w:t>
      </w:r>
    </w:p>
    <w:p>
      <w:pPr>
        <w:spacing w:after="160"/>
      </w:pPr>
    </w:p>
    <w:p>
      <w:pPr>
        <w:pStyle w:val="Heading1"/>
        <w:spacing w:before="240" w:after="120"/>
      </w:pPr>
      <w:r>
        <w:rPr>
          <w:color w:val="1A365D"/>
          <w:sz w:val="28"/>
        </w:rPr>
        <w:t>2. Exercise 1: Detecting Logon Events with Wazuh</w:t>
      </w:r>
    </w:p>
    <w:p>
      <w:pPr>
        <w:spacing w:before="120" w:after="40"/>
      </w:pPr>
      <w:r>
        <w:rPr>
          <w:b/>
          <w:color w:val="2B6CB0"/>
        </w:rPr>
        <w:t xml:space="preserve">Step 1: </w:t>
      </w:r>
      <w:r>
        <w:rPr>
          <w:b/>
          <w:color w:val="1A365D"/>
        </w:rPr>
        <w:t>Log in to Kali Linux Workstation</w:t>
      </w:r>
    </w:p>
    <w:p>
      <w:pPr>
        <w:spacing w:before="0" w:after="60"/>
      </w:pPr>
      <w:r>
        <w:t>Connect to the KALI virtual machine console.</w:t>
      </w:r>
    </w:p>
    <w:p>
      <w:pPr>
        <w:spacing w:before="0" w:after="60"/>
      </w:pPr>
      <w:r>
        <w:t>Sign in using the credentials -&gt; Username: root | Password: Pa$$w0rd</w:t>
      </w:r>
    </w:p>
    <w:p>
      <w:pPr>
        <w:spacing w:before="120" w:after="40"/>
      </w:pPr>
      <w:r>
        <w:rPr>
          <w:b/>
          <w:color w:val="2B6CB0"/>
        </w:rPr>
        <w:t xml:space="preserve">Step 2: </w:t>
      </w:r>
      <w:r>
        <w:rPr>
          <w:b/>
          <w:color w:val="1A365D"/>
        </w:rPr>
        <w:t>Open and Maximize the Terminal Window</w:t>
      </w:r>
    </w:p>
    <w:p>
      <w:pPr>
        <w:spacing w:before="0" w:after="60"/>
      </w:pPr>
      <w:r>
        <w:t>Click the Terminal Emulator icon (black screen icon with cursor) located on the Kali top toolbar.</w:t>
      </w:r>
    </w:p>
    <w:p>
      <w:pPr>
        <w:spacing w:before="0" w:after="60"/>
      </w:pPr>
      <w:r>
        <w:t>Ensure the terminal prompt root@kali is visible, then maximize the window.</w:t>
      </w:r>
    </w:p>
    <w:p>
      <w:pPr>
        <w:spacing w:before="120" w:after="40"/>
      </w:pPr>
      <w:r>
        <w:rPr>
          <w:b/>
          <w:color w:val="2B6CB0"/>
        </w:rPr>
        <w:t xml:space="preserve">Step 3: </w:t>
      </w:r>
      <w:r>
        <w:rPr>
          <w:b/>
          <w:color w:val="1A365D"/>
        </w:rPr>
        <w:t>Prepare Custom Password Dictionary (passlist.txt)</w:t>
      </w:r>
    </w:p>
    <w:p>
      <w:pPr>
        <w:spacing w:before="0" w:after="60"/>
      </w:pPr>
      <w:r>
        <w:t>Inject the known target lab password (Pa$$w0rd) into line 57 of the default SecLists dictionary file and save it to /root/passlist.txt: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sed '57i\Pa$$w0rd' /usr/share/seclists/Passwords/500-worst-passwords.txt &gt; passlist.txt</w:t>
            </w:r>
          </w:p>
        </w:tc>
      </w:tr>
    </w:tbl>
    <w:p>
      <w:pPr>
        <w:spacing w:after="40"/>
      </w:pPr>
    </w:p>
    <w:p>
      <w:pPr>
        <w:spacing w:after="40"/>
      </w:pPr>
      <w:r>
        <w:t>Verify that the password file was created and the entry is seated at line 57:</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ls -l passlist.txt</w:t>
              <w:br/>
              <w:t>grep -n 'Pa$$w0rd' passlist.txt</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CLI Verification: </w:t>
            </w:r>
            <w:r>
              <w:rPr>
                <w:rFonts w:ascii="Arial" w:hAnsi="Arial"/>
                <w:color w:val="2D3748"/>
                <w:sz w:val="19"/>
              </w:rPr>
              <w:t>Expected output is 57:Pa$$w0rd. Note that '57i' uses the lowercase letter 'i' (insert), not the number 1.</w:t>
            </w:r>
          </w:p>
        </w:tc>
      </w:tr>
    </w:tbl>
    <w:p>
      <w:pPr>
        <w:spacing w:after="40"/>
      </w:pPr>
    </w:p>
    <w:p>
      <w:pPr>
        <w:spacing w:before="120" w:after="40"/>
      </w:pPr>
      <w:r>
        <w:rPr>
          <w:b/>
          <w:color w:val="2B6CB0"/>
        </w:rPr>
        <w:t xml:space="preserve">Step 4: </w:t>
      </w:r>
      <w:r>
        <w:rPr>
          <w:b/>
          <w:color w:val="1A365D"/>
        </w:rPr>
        <w:t>Access the Wazuh Management Web Interface</w:t>
      </w:r>
    </w:p>
    <w:p>
      <w:pPr>
        <w:spacing w:before="0" w:after="60"/>
      </w:pPr>
      <w:r>
        <w:t>Launch Firefox from the desktop / taskbar.</w:t>
      </w:r>
    </w:p>
    <w:p>
      <w:pPr>
        <w:spacing w:before="0" w:after="60"/>
      </w:pPr>
      <w:r>
        <w:t>In the browser URL bar, navigate to: https://10.1.16.242</w:t>
      </w:r>
    </w:p>
    <w:p>
      <w:pPr>
        <w:spacing w:before="0" w:after="60"/>
      </w:pPr>
      <w:r>
        <w:t>Bypass Self-Signed Certificate: If prompted with 'Warning: Potential Security Risk Ahead', click Advanced -&gt; scroll down -&gt; click Accept the Risk and Continue.</w:t>
      </w:r>
    </w:p>
    <w:p>
      <w:pPr>
        <w:spacing w:before="0" w:after="60"/>
      </w:pPr>
      <w:r>
        <w:t>Log in using the administrative credentials -&gt; Username: admin | Password: Pa??w0rd</w:t>
      </w:r>
    </w:p>
    <w:p>
      <w:pPr>
        <w:spacing w:before="0" w:after="60"/>
      </w:pPr>
      <w:r>
        <w:t>Allow the dashboard service initialization to finish (can take up to 60 seconds). Once complete, you will be on the Wazuh Home screen.</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Session Timeout Alert: </w:t>
            </w:r>
            <w:r>
              <w:rPr>
                <w:rFonts w:ascii="Arial" w:hAnsi="Arial"/>
                <w:color w:val="2D3748"/>
                <w:sz w:val="19"/>
              </w:rPr>
              <w:t>The web UI times out after ~10 minutes of inactivity. If navigation fails or links freeze, refresh and re-enter admin / Pa??w0rd.</w:t>
            </w:r>
          </w:p>
        </w:tc>
      </w:tr>
    </w:tbl>
    <w:p>
      <w:pPr>
        <w:spacing w:after="40"/>
      </w:pPr>
    </w:p>
    <w:p>
      <w:pPr>
        <w:spacing w:before="120" w:after="40"/>
      </w:pPr>
      <w:r>
        <w:rPr>
          <w:b/>
          <w:color w:val="2B6CB0"/>
        </w:rPr>
        <w:t xml:space="preserve">Step 5: </w:t>
      </w:r>
      <w:r>
        <w:rPr>
          <w:b/>
          <w:color w:val="1A365D"/>
        </w:rPr>
        <w:t>Filter Security Events for Target DC10</w:t>
      </w:r>
    </w:p>
    <w:p>
      <w:pPr>
        <w:spacing w:before="0" w:after="60"/>
      </w:pPr>
      <w:r>
        <w:t>From the Wazuh Home page, select Security events under the Security Information Management section.</w:t>
      </w:r>
    </w:p>
    <w:p>
      <w:pPr>
        <w:spacing w:before="0" w:after="60"/>
      </w:pPr>
      <w:r>
        <w:t>At the top of the interface, click Explore agent.</w:t>
      </w:r>
    </w:p>
    <w:p>
      <w:pPr>
        <w:spacing w:before="0" w:after="60"/>
      </w:pPr>
      <w:r>
        <w:t>From the agent list pop-up, select DC10 (Agent ID 001).</w:t>
      </w:r>
    </w:p>
    <w:p>
      <w:pPr>
        <w:spacing w:before="0" w:after="60"/>
      </w:pPr>
      <w:r>
        <w:t>Confirm that the filter pill DC10 (001) is active next to the search bar. This isolates telemetry exclusively to the Windows Domain Controller.</w:t>
      </w:r>
    </w:p>
    <w:p>
      <w:pPr>
        <w:spacing w:before="120" w:after="40"/>
      </w:pPr>
      <w:r>
        <w:rPr>
          <w:b/>
          <w:color w:val="2B6CB0"/>
        </w:rPr>
        <w:t xml:space="preserve">Step 6: </w:t>
      </w:r>
      <w:r>
        <w:rPr>
          <w:b/>
          <w:color w:val="1A365D"/>
        </w:rPr>
        <w:t>Review Baseline Telemetry and Event Stream</w:t>
      </w:r>
    </w:p>
    <w:p>
      <w:pPr>
        <w:spacing w:before="0" w:after="60"/>
      </w:pPr>
      <w:r>
        <w:t>Observe the default time range (Last 24 hours) and review the baseline event count under Total.</w:t>
      </w:r>
    </w:p>
    <w:p>
      <w:pPr>
        <w:spacing w:before="0" w:after="60"/>
      </w:pPr>
      <w:r>
        <w:t>Click Refresh at the top right to poll for recent events.</w:t>
      </w:r>
    </w:p>
    <w:p>
      <w:pPr>
        <w:spacing w:before="0" w:after="60"/>
      </w:pPr>
      <w:r>
        <w:t>Windows Domain Controllers generate substantial background traffic (Kerberos tickets, service startups, logon/logoff tasks). Notice how the baseline counter increments naturally.</w:t>
      </w:r>
    </w:p>
    <w:p>
      <w:pPr>
        <w:spacing w:before="120" w:after="40"/>
      </w:pPr>
      <w:r>
        <w:rPr>
          <w:b/>
          <w:color w:val="2B6CB0"/>
        </w:rPr>
        <w:t xml:space="preserve">Step 7: </w:t>
      </w:r>
      <w:r>
        <w:rPr>
          <w:b/>
          <w:color w:val="1A365D"/>
        </w:rPr>
        <w:t>Execute Hydra RDP Brute-Force Password Guessing Attack</w:t>
      </w:r>
    </w:p>
    <w:p>
      <w:pPr>
        <w:spacing w:before="0" w:after="60"/>
      </w:pPr>
      <w:r>
        <w:t>Return to your Kali terminal window.</w:t>
      </w:r>
    </w:p>
    <w:p>
      <w:pPr>
        <w:spacing w:before="0" w:after="60"/>
      </w:pPr>
      <w:r>
        <w:t>Launch a targeted password spraying/dictionary attack against the Administrator account via RDP on DC10 (10.1.16.1):</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hydra -t 1 -V -f -l administrator -P passlist.txt rdp://10.1.16.1</w:t>
            </w:r>
          </w:p>
        </w:tc>
      </w:tr>
    </w:tbl>
    <w:p>
      <w:pPr>
        <w:spacing w:after="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Hydra Syntax Breakdown: </w:t>
            </w:r>
            <w:r>
              <w:rPr>
                <w:rFonts w:ascii="Arial" w:hAnsi="Arial"/>
                <w:color w:val="2D3748"/>
                <w:sz w:val="19"/>
              </w:rPr>
              <w:t>Parameters explained: -t 1 (single task/thread to prevent lockout crashes), -V (verbose output showing each attempt), -f (finish/exit immediately upon first valid credential found), -l administrator (target account), -P passlist.txt (wordlist).</w:t>
            </w:r>
          </w:p>
        </w:tc>
      </w:tr>
    </w:tbl>
    <w:p>
      <w:pPr>
        <w:spacing w:after="40"/>
      </w:pPr>
    </w:p>
    <w:p>
      <w:pPr>
        <w:spacing w:after="80"/>
      </w:pPr>
      <w:r>
        <w:t>Observation: You will see 56 failed login attempts followed by a successful login on attempt 57, at which point Hydra exits.</w:t>
      </w:r>
    </w:p>
    <w:p>
      <w:pPr>
        <w:spacing w:before="120" w:after="40"/>
      </w:pPr>
      <w:r>
        <w:rPr>
          <w:b/>
          <w:color w:val="2B6CB0"/>
        </w:rPr>
        <w:t xml:space="preserve">Step 8: </w:t>
      </w:r>
      <w:r>
        <w:rPr>
          <w:b/>
          <w:color w:val="1A365D"/>
        </w:rPr>
        <w:t>Analyze the Successful Discovery Alert (Rule ID 92652)</w:t>
      </w:r>
    </w:p>
    <w:p>
      <w:pPr>
        <w:spacing w:before="0" w:after="60"/>
      </w:pPr>
      <w:r>
        <w:t>Switch back to Firefox displaying the Wazuh dashboard.</w:t>
      </w:r>
    </w:p>
    <w:p>
      <w:pPr>
        <w:spacing w:before="0" w:after="60"/>
      </w:pPr>
      <w:r>
        <w:t>Click Refresh. Notice the Total counter increments by at least 57, with increases in Authentication failure and Authentication success widgets.</w:t>
      </w:r>
    </w:p>
    <w:p>
      <w:pPr>
        <w:spacing w:before="0" w:after="60"/>
      </w:pPr>
      <w:r>
        <w:t>In the search field at the top, enter 92652 and click Update.</w:t>
      </w:r>
    </w:p>
    <w:p>
      <w:pPr>
        <w:spacing w:before="0" w:after="60"/>
      </w:pPr>
      <w:r>
        <w:t>Expand the alert entry with Rule ID 92652 by clicking on the row to inspect event details extracted from Windows Security Event logs.</w:t>
      </w:r>
    </w:p>
    <w:p>
      <w:pPr>
        <w:spacing w:before="0" w:after="60"/>
      </w:pPr>
      <w:r>
        <w:t>Click on the MITRE ATT&amp;CK technique reference link: T1550.002.</w:t>
      </w:r>
    </w:p>
    <w:tbl>
      <w:tblPr>
        <w:tblW w:type="auto" w:w="0"/>
        <w:jc w:val="center"/>
        <w:tblLayout w:type="fixed"/>
        <w:tblLook w:firstColumn="1" w:firstRow="1" w:lastColumn="0" w:lastRow="0" w:noHBand="0" w:noVBand="1" w:val="04A0"/>
      </w:tblPr>
      <w:tblGrid>
        <w:gridCol w:w="9936"/>
      </w:tblGrid>
      <w:tr>
        <w:tc>
          <w:tcPr>
            <w:tcW w:type="dxa" w:w="9936"/>
            <w:shd w:fill="FEF3C7"/>
            <w:tcMar>
              <w:top w:w="120" w:type="dxa"/>
              <w:bottom w:w="120" w:type="dxa"/>
              <w:left w:w="180" w:type="dxa"/>
              <w:right w:w="180" w:type="dxa"/>
            </w:tcMar>
            <w:tcBorders>
              <w:left w:val="single" w:sz="24" w:space="0" w:color="D97706"/>
              <w:top w:val="none"/>
              <w:right w:val="none"/>
              <w:bottom w:val="none"/>
            </w:tcBorders>
          </w:tcPr>
          <w:p>
            <w:pPr>
              <w:spacing w:before="0" w:after="40"/>
            </w:pPr>
            <w:r>
              <w:rPr>
                <w:rFonts w:ascii="Arial" w:hAnsi="Arial"/>
                <w:b/>
                <w:color w:val="1A365D"/>
                <w:sz w:val="19"/>
              </w:rPr>
              <w:t xml:space="preserve">📌 KNOWLEDGE CHECK: MITRE MAPPING ACCURACY: </w:t>
            </w:r>
            <w:r>
              <w:rPr>
                <w:rFonts w:ascii="Arial" w:hAnsi="Arial"/>
                <w:color w:val="2D3748"/>
                <w:sz w:val="19"/>
              </w:rPr>
              <w:t>Question: What is the MITRE ATT&amp;CK technique associated with Rule ID 92652?</w:t>
              <w:br/>
              <w:t>Answer: Pass the Hash</w:t>
              <w:br/>
              <w:t>Analyst Assessment: Wazuh maps this rule based on default Windows event signatures (e.g., NTLM authentication anomalies). Even though the attack conducted was an online dictionary attack via RDP, the rule tagged it as Pass the Hash. As an analyst, always cross-reference raw logs to confirm true adversarial behavior rather than relying solely on default signatures.</w:t>
            </w:r>
          </w:p>
        </w:tc>
      </w:tr>
    </w:tbl>
    <w:p>
      <w:pPr>
        <w:spacing w:after="40"/>
      </w:pPr>
    </w:p>
    <w:p>
      <w:pPr>
        <w:spacing w:before="120" w:after="40"/>
      </w:pPr>
      <w:r>
        <w:rPr>
          <w:b/>
          <w:color w:val="2B6CB0"/>
        </w:rPr>
        <w:t xml:space="preserve">Step 9: </w:t>
      </w:r>
      <w:r>
        <w:rPr>
          <w:b/>
          <w:color w:val="1A365D"/>
        </w:rPr>
        <w:t>Analyze Failed Logon Discovery Records (Rule ID 60122)</w:t>
      </w:r>
    </w:p>
    <w:p>
      <w:pPr>
        <w:spacing w:before="0" w:after="60"/>
      </w:pPr>
      <w:r>
        <w:t>Return to the Wazuh Security events page.</w:t>
      </w:r>
    </w:p>
    <w:p>
      <w:pPr>
        <w:spacing w:before="0" w:after="60"/>
      </w:pPr>
      <w:r>
        <w:t>Change the search bar query from 92652 to 60122, then click Update.</w:t>
      </w:r>
    </w:p>
    <w:p>
      <w:pPr>
        <w:spacing w:before="0" w:after="60"/>
      </w:pPr>
      <w:r>
        <w:t>Inspect the resulting rows: Logon failure - Unknown user or bad password.</w:t>
      </w:r>
    </w:p>
    <w:p>
      <w:pPr>
        <w:spacing w:before="0" w:after="60"/>
      </w:pPr>
      <w:r>
        <w:t>Clear the search box and click Update to reset the event view.</w:t>
      </w:r>
    </w:p>
    <w:p>
      <w:pPr>
        <w:spacing w:after="40"/>
      </w:pPr>
      <w:r>
        <w:rPr>
          <w:b/>
        </w:rPr>
        <w:t>Wazuh Rule Components Reference:</w:t>
      </w:r>
    </w:p>
    <w:tbl>
      <w:tblPr>
        <w:tblW w:type="auto" w:w="0"/>
        <w:jc w:val="center"/>
        <w:tblLayout w:type="fixed"/>
        <w:tblLook w:firstColumn="1" w:firstRow="1" w:lastColumn="0" w:lastRow="0" w:noHBand="0" w:noVBand="1" w:val="04A0"/>
      </w:tblPr>
      <w:tblGrid>
        <w:gridCol w:w="4968"/>
        <w:gridCol w:w="4968"/>
      </w:tblGrid>
      <w:tr>
        <w:tc>
          <w:tcPr>
            <w:tcW w:type="dxa" w:w="2592"/>
            <w:shd w:fill="2B6CB0"/>
            <w:tcMar>
              <w:top w:w="80" w:type="dxa"/>
              <w:bottom w:w="80" w:type="dxa"/>
              <w:left w:w="100" w:type="dxa"/>
              <w:right w:w="100" w:type="dxa"/>
            </w:tcMar>
          </w:tcPr>
          <w:p>
            <w:pPr>
              <w:spacing w:after="0"/>
            </w:pPr>
            <w:r>
              <w:rPr>
                <w:b/>
                <w:color w:val="FFFFFF"/>
                <w:sz w:val="18"/>
              </w:rPr>
              <w:t>Rule Component</w:t>
            </w:r>
          </w:p>
        </w:tc>
        <w:tc>
          <w:tcPr>
            <w:tcW w:type="dxa" w:w="7344"/>
            <w:shd w:fill="2B6CB0"/>
            <w:tcMar>
              <w:top w:w="80" w:type="dxa"/>
              <w:bottom w:w="80" w:type="dxa"/>
              <w:left w:w="100" w:type="dxa"/>
              <w:right w:w="100" w:type="dxa"/>
            </w:tcMar>
          </w:tcPr>
          <w:p>
            <w:pPr>
              <w:spacing w:after="0"/>
            </w:pPr>
            <w:r>
              <w:rPr>
                <w:b/>
                <w:color w:val="FFFFFF"/>
                <w:sz w:val="18"/>
              </w:rPr>
              <w:t>Definition &amp; Operational Role</w:t>
            </w:r>
          </w:p>
        </w:tc>
      </w:tr>
      <w:tr>
        <w:tc>
          <w:tcPr>
            <w:tcW w:type="dxa" w:w="2592"/>
            <w:shd w:fill="F7FAFC"/>
            <w:tcMar>
              <w:top w:w="60" w:type="dxa"/>
              <w:bottom w:w="60" w:type="dxa"/>
              <w:left w:w="100" w:type="dxa"/>
              <w:right w:w="100" w:type="dxa"/>
            </w:tcMar>
          </w:tcPr>
          <w:p>
            <w:pPr>
              <w:spacing w:after="0"/>
            </w:pPr>
            <w:r>
              <w:rPr>
                <w:b/>
                <w:color w:val="1A365D"/>
                <w:sz w:val="17"/>
              </w:rPr>
              <w:t>Rule ID</w:t>
            </w:r>
          </w:p>
        </w:tc>
        <w:tc>
          <w:tcPr>
            <w:tcW w:type="dxa" w:w="7344"/>
            <w:shd w:fill="F7FAFC"/>
            <w:tcMar>
              <w:top w:w="60" w:type="dxa"/>
              <w:bottom w:w="60" w:type="dxa"/>
              <w:left w:w="100" w:type="dxa"/>
              <w:right w:w="100" w:type="dxa"/>
            </w:tcMar>
          </w:tcPr>
          <w:p>
            <w:pPr>
              <w:spacing w:after="0"/>
            </w:pPr>
            <w:r>
              <w:rPr>
                <w:sz w:val="17"/>
              </w:rPr>
              <w:t>Unique integer identifier referencing the detection rule in alerts and logic trees.</w:t>
            </w:r>
          </w:p>
        </w:tc>
      </w:tr>
      <w:tr>
        <w:tc>
          <w:tcPr>
            <w:tcW w:type="dxa" w:w="2592"/>
            <w:shd w:fill="FFFFFF"/>
            <w:tcMar>
              <w:top w:w="60" w:type="dxa"/>
              <w:bottom w:w="60" w:type="dxa"/>
              <w:left w:w="100" w:type="dxa"/>
              <w:right w:w="100" w:type="dxa"/>
            </w:tcMar>
          </w:tcPr>
          <w:p>
            <w:pPr>
              <w:spacing w:after="0"/>
            </w:pPr>
            <w:r>
              <w:rPr>
                <w:b/>
                <w:color w:val="1A365D"/>
                <w:sz w:val="17"/>
              </w:rPr>
              <w:t>Alert Level (0-16)</w:t>
            </w:r>
          </w:p>
        </w:tc>
        <w:tc>
          <w:tcPr>
            <w:tcW w:type="dxa" w:w="7344"/>
            <w:shd w:fill="FFFFFF"/>
            <w:tcMar>
              <w:top w:w="60" w:type="dxa"/>
              <w:bottom w:w="60" w:type="dxa"/>
              <w:left w:w="100" w:type="dxa"/>
              <w:right w:w="100" w:type="dxa"/>
            </w:tcMar>
          </w:tcPr>
          <w:p>
            <w:pPr>
              <w:spacing w:after="0"/>
            </w:pPr>
            <w:r>
              <w:rPr>
                <w:sz w:val="17"/>
              </w:rPr>
              <w:t>Severity scale: 0-3 (Informational), 4-7 (Low), 8-11 (Medium), 12-15 (High), 16 (Emergency).</w:t>
            </w:r>
          </w:p>
        </w:tc>
      </w:tr>
      <w:tr>
        <w:tc>
          <w:tcPr>
            <w:tcW w:type="dxa" w:w="2592"/>
            <w:shd w:fill="F7FAFC"/>
            <w:tcMar>
              <w:top w:w="60" w:type="dxa"/>
              <w:bottom w:w="60" w:type="dxa"/>
              <w:left w:w="100" w:type="dxa"/>
              <w:right w:w="100" w:type="dxa"/>
            </w:tcMar>
          </w:tcPr>
          <w:p>
            <w:pPr>
              <w:spacing w:after="0"/>
            </w:pPr>
            <w:r>
              <w:rPr>
                <w:b/>
                <w:color w:val="1A365D"/>
                <w:sz w:val="17"/>
              </w:rPr>
              <w:t>Frequency &amp; Timeframe</w:t>
            </w:r>
          </w:p>
        </w:tc>
        <w:tc>
          <w:tcPr>
            <w:tcW w:type="dxa" w:w="7344"/>
            <w:shd w:fill="F7FAFC"/>
            <w:tcMar>
              <w:top w:w="60" w:type="dxa"/>
              <w:bottom w:w="60" w:type="dxa"/>
              <w:left w:w="100" w:type="dxa"/>
              <w:right w:w="100" w:type="dxa"/>
            </w:tcMar>
          </w:tcPr>
          <w:p>
            <w:pPr>
              <w:spacing w:after="0"/>
            </w:pPr>
            <w:r>
              <w:rPr>
                <w:sz w:val="17"/>
              </w:rPr>
              <w:t>Frequency defines how many matches must occur within 'Timeframe' seconds before triggering.</w:t>
            </w:r>
          </w:p>
        </w:tc>
      </w:tr>
      <w:tr>
        <w:tc>
          <w:tcPr>
            <w:tcW w:type="dxa" w:w="2592"/>
            <w:shd w:fill="FFFFFF"/>
            <w:tcMar>
              <w:top w:w="60" w:type="dxa"/>
              <w:bottom w:w="60" w:type="dxa"/>
              <w:left w:w="100" w:type="dxa"/>
              <w:right w:w="100" w:type="dxa"/>
            </w:tcMar>
          </w:tcPr>
          <w:p>
            <w:pPr>
              <w:spacing w:after="0"/>
            </w:pPr>
            <w:r>
              <w:rPr>
                <w:b/>
                <w:color w:val="1A365D"/>
                <w:sz w:val="17"/>
              </w:rPr>
              <w:t>Match / Regex</w:t>
            </w:r>
          </w:p>
        </w:tc>
        <w:tc>
          <w:tcPr>
            <w:tcW w:type="dxa" w:w="7344"/>
            <w:shd w:fill="FFFFFF"/>
            <w:tcMar>
              <w:top w:w="60" w:type="dxa"/>
              <w:bottom w:w="60" w:type="dxa"/>
              <w:left w:w="100" w:type="dxa"/>
              <w:right w:w="100" w:type="dxa"/>
            </w:tcMar>
          </w:tcPr>
          <w:p>
            <w:pPr>
              <w:spacing w:after="0"/>
            </w:pPr>
            <w:r>
              <w:rPr>
                <w:sz w:val="17"/>
              </w:rPr>
              <w:t>Pattern string or regular expression evaluated against decoded event attributes.</w:t>
            </w:r>
          </w:p>
        </w:tc>
      </w:tr>
      <w:tr>
        <w:tc>
          <w:tcPr>
            <w:tcW w:type="dxa" w:w="2592"/>
            <w:shd w:fill="F7FAFC"/>
            <w:tcMar>
              <w:top w:w="60" w:type="dxa"/>
              <w:bottom w:w="60" w:type="dxa"/>
              <w:left w:w="100" w:type="dxa"/>
              <w:right w:w="100" w:type="dxa"/>
            </w:tcMar>
          </w:tcPr>
          <w:p>
            <w:pPr>
              <w:spacing w:after="0"/>
            </w:pPr>
            <w:r>
              <w:rPr>
                <w:b/>
                <w:color w:val="1A365D"/>
                <w:sz w:val="17"/>
              </w:rPr>
              <w:t>Decoders</w:t>
            </w:r>
          </w:p>
        </w:tc>
        <w:tc>
          <w:tcPr>
            <w:tcW w:type="dxa" w:w="7344"/>
            <w:shd w:fill="F7FAFC"/>
            <w:tcMar>
              <w:top w:w="60" w:type="dxa"/>
              <w:bottom w:w="60" w:type="dxa"/>
              <w:left w:w="100" w:type="dxa"/>
              <w:right w:w="100" w:type="dxa"/>
            </w:tcMar>
          </w:tcPr>
          <w:p>
            <w:pPr>
              <w:spacing w:after="0"/>
            </w:pPr>
            <w:r>
              <w:rPr>
                <w:sz w:val="17"/>
              </w:rPr>
              <w:t>Parsers extracting normalized fields (srcip, user, id) from raw multi-vendor log strings.</w:t>
            </w:r>
          </w:p>
        </w:tc>
      </w:tr>
      <w:tr>
        <w:tc>
          <w:tcPr>
            <w:tcW w:type="dxa" w:w="2592"/>
            <w:shd w:fill="FFFFFF"/>
            <w:tcMar>
              <w:top w:w="60" w:type="dxa"/>
              <w:bottom w:w="60" w:type="dxa"/>
              <w:left w:w="100" w:type="dxa"/>
              <w:right w:w="100" w:type="dxa"/>
            </w:tcMar>
          </w:tcPr>
          <w:p>
            <w:pPr>
              <w:spacing w:after="0"/>
            </w:pPr>
            <w:r>
              <w:rPr>
                <w:b/>
                <w:color w:val="1A365D"/>
                <w:sz w:val="17"/>
              </w:rPr>
              <w:t>MITRE ATT&amp;CK ID</w:t>
            </w:r>
          </w:p>
        </w:tc>
        <w:tc>
          <w:tcPr>
            <w:tcW w:type="dxa" w:w="7344"/>
            <w:shd w:fill="FFFFFF"/>
            <w:tcMar>
              <w:top w:w="60" w:type="dxa"/>
              <w:bottom w:w="60" w:type="dxa"/>
              <w:left w:w="100" w:type="dxa"/>
              <w:right w:w="100" w:type="dxa"/>
            </w:tcMar>
          </w:tcPr>
          <w:p>
            <w:pPr>
              <w:spacing w:after="0"/>
            </w:pPr>
            <w:r>
              <w:rPr>
                <w:sz w:val="17"/>
              </w:rPr>
              <w:t>Mapped tactic (e.g., Initial Access) and technique ID (e.g., T1078, T1550.002).</w:t>
            </w:r>
          </w:p>
        </w:tc>
      </w:tr>
    </w:tbl>
    <w:p>
      <w:pPr>
        <w:spacing w:after="160"/>
      </w:pPr>
    </w:p>
    <w:p>
      <w:pPr>
        <w:spacing w:before="120" w:after="40"/>
      </w:pPr>
      <w:r>
        <w:rPr>
          <w:b/>
          <w:color w:val="2B6CB0"/>
        </w:rPr>
        <w:t xml:space="preserve">Step 10: </w:t>
      </w:r>
      <w:r>
        <w:rPr>
          <w:b/>
          <w:color w:val="1A365D"/>
        </w:rPr>
        <w:t>Simulate Administrative Share Mount Attacks (SMB C$)</w:t>
      </w:r>
    </w:p>
    <w:p>
      <w:pPr>
        <w:spacing w:before="0" w:after="60"/>
      </w:pPr>
      <w:r>
        <w:t>Return to your Kali terminal window.</w:t>
      </w:r>
    </w:p>
    <w:p>
      <w:pPr>
        <w:spacing w:before="0" w:after="60"/>
      </w:pPr>
      <w:r>
        <w:t>Create a local mount point directory on Kali:</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mkdir /mnt/dc10-c</w:t>
            </w:r>
          </w:p>
        </w:tc>
      </w:tr>
    </w:tbl>
    <w:p>
      <w:pPr>
        <w:spacing w:after="40"/>
      </w:pPr>
    </w:p>
    <w:p>
      <w:pPr>
        <w:spacing w:after="40"/>
      </w:pPr>
      <w:r>
        <w:t>Execute an unauthorized mount attempt against the hidden administrative C$ share using the non-privileged user 'jaime':</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mount -o username=jaime //10.1.16.1/c$ /mnt/dc10-c</w:t>
            </w:r>
          </w:p>
        </w:tc>
      </w:tr>
    </w:tbl>
    <w:p>
      <w:pPr>
        <w:spacing w:after="40"/>
      </w:pPr>
    </w:p>
    <w:p>
      <w:pPr>
        <w:spacing w:after="80"/>
      </w:pPr>
      <w:r>
        <w:t>When prompted, enter password Pa$$w0rd. Result: Mount FAILS (Access Denied / Insufficient Privileges).</w:t>
      </w:r>
    </w:p>
    <w:p>
      <w:pPr>
        <w:spacing w:after="40"/>
      </w:pPr>
      <w:r>
        <w:t>Execute an authorized mount attempt using the domain 'administrator' account:</w:t>
      </w:r>
    </w:p>
    <w:tbl>
      <w:tblPr>
        <w:tblW w:type="auto" w:w="0"/>
        <w:jc w:val="center"/>
        <w:tblLayout w:type="fixed"/>
        <w:tblLook w:firstColumn="1" w:firstRow="1" w:lastColumn="0" w:lastRow="0" w:noHBand="0" w:noVBand="1" w:val="04A0"/>
      </w:tblPr>
      <w:tblGrid>
        <w:gridCol w:w="9936"/>
      </w:tblGrid>
      <w:tr>
        <w:tc>
          <w:tcPr>
            <w:tcW w:type="dxa" w:w="9936"/>
            <w:shd w:fill="1E293B"/>
            <w:tcMar>
              <w:top w:w="100" w:type="dxa"/>
              <w:bottom w:w="100" w:type="dxa"/>
              <w:left w:w="150" w:type="dxa"/>
              <w:right w:w="150" w:type="dxa"/>
            </w:tcMar>
            <w:tcBorders>
              <w:left w:val="single" w:sz="16" w:space="0" w:color="38BDF8"/>
              <w:top w:val="none"/>
              <w:right w:val="none"/>
              <w:bottom w:val="none"/>
            </w:tcBorders>
          </w:tcPr>
          <w:p>
            <w:pPr>
              <w:spacing w:before="0" w:after="0"/>
            </w:pPr>
            <w:r>
              <w:rPr>
                <w:rFonts w:ascii="Consolas" w:hAnsi="Consolas"/>
                <w:color w:val="F1F5F9"/>
                <w:sz w:val="19"/>
              </w:rPr>
              <w:t>mount -o username=administrator //10.1.16.1/c$ /mnt/dc10-c</w:t>
            </w:r>
          </w:p>
        </w:tc>
      </w:tr>
    </w:tbl>
    <w:p>
      <w:pPr>
        <w:spacing w:after="40"/>
      </w:pPr>
    </w:p>
    <w:p>
      <w:pPr>
        <w:spacing w:after="80"/>
      </w:pPr>
      <w:r>
        <w:t>When prompted, enter password Pa$$w0rd. Result: Mount SUCCEEDS.</w:t>
      </w:r>
    </w:p>
    <w:p>
      <w:pPr>
        <w:spacing w:before="120" w:after="40"/>
      </w:pPr>
      <w:r>
        <w:rPr>
          <w:b/>
          <w:color w:val="2B6CB0"/>
        </w:rPr>
        <w:t xml:space="preserve">Step 11: </w:t>
      </w:r>
      <w:r>
        <w:rPr>
          <w:b/>
          <w:color w:val="1A365D"/>
        </w:rPr>
        <w:t>Correlate SMB Share Logon Events in Wazuh</w:t>
      </w:r>
    </w:p>
    <w:p>
      <w:pPr>
        <w:spacing w:before="0" w:after="60"/>
      </w:pPr>
      <w:r>
        <w:t>Return to Wazuh web interface and click Refresh.</w:t>
      </w:r>
    </w:p>
    <w:p>
      <w:pPr>
        <w:spacing w:before="0" w:after="60"/>
      </w:pPr>
      <w:r>
        <w:t>Search for failed logon Rule ID 60122 -&gt; click Update. Expand and review the alert details.</w:t>
      </w:r>
    </w:p>
    <w:p>
      <w:pPr>
        <w:spacing w:before="0" w:after="60"/>
      </w:pPr>
      <w:r>
        <w:t>Search for successful logon Rule ID 60106 -&gt; click Update. Expand and review the alert details.</w:t>
      </w:r>
    </w:p>
    <w:p>
      <w:pPr>
        <w:spacing w:before="0" w:after="60"/>
      </w:pPr>
      <w:r>
        <w:t>Clear the search field and click Update.</w:t>
      </w:r>
    </w:p>
    <w:tbl>
      <w:tblPr>
        <w:tblW w:type="auto" w:w="0"/>
        <w:jc w:val="center"/>
        <w:tblLayout w:type="fixed"/>
        <w:tblLook w:firstColumn="1" w:firstRow="1" w:lastColumn="0" w:lastRow="0" w:noHBand="0" w:noVBand="1" w:val="04A0"/>
      </w:tblPr>
      <w:tblGrid>
        <w:gridCol w:w="9936"/>
      </w:tblGrid>
      <w:tr>
        <w:tc>
          <w:tcPr>
            <w:tcW w:type="dxa" w:w="9936"/>
            <w:shd w:fill="E6FFFA"/>
            <w:tcMar>
              <w:top w:w="120" w:type="dxa"/>
              <w:bottom w:w="120" w:type="dxa"/>
              <w:left w:w="180" w:type="dxa"/>
              <w:right w:w="180" w:type="dxa"/>
            </w:tcMar>
            <w:tcBorders>
              <w:left w:val="single" w:sz="24" w:space="0" w:color="319795"/>
              <w:top w:val="none"/>
              <w:right w:val="none"/>
              <w:bottom w:val="none"/>
            </w:tcBorders>
          </w:tcPr>
          <w:p>
            <w:pPr>
              <w:spacing w:before="0" w:after="40"/>
            </w:pPr>
            <w:r>
              <w:rPr>
                <w:rFonts w:ascii="Arial" w:hAnsi="Arial"/>
                <w:b/>
                <w:color w:val="1A365D"/>
                <w:sz w:val="19"/>
              </w:rPr>
              <w:t xml:space="preserve">📌 KNOWLEDGE CHECK: LOGON FAILURE TECHNIQUES: </w:t>
            </w:r>
            <w:r>
              <w:rPr>
                <w:rFonts w:ascii="Arial" w:hAnsi="Arial"/>
                <w:color w:val="2D3748"/>
                <w:sz w:val="19"/>
              </w:rPr>
              <w:t>Question: What are the Technique(s) reference codes for a logon failure event? (Select two)</w:t>
              <w:br/>
              <w:t>Options: [T1078] [T5309] [T1531] [T1507]</w:t>
              <w:br/>
              <w:t>Correct Answers:</w:t>
              <w:br/>
              <w:t xml:space="preserve">  • T1078 (Valid Accounts)</w:t>
              <w:br/>
              <w:t xml:space="preserve">  • T1531 (Account Access Removal / Unauthorized Logon Attempts)</w:t>
            </w:r>
          </w:p>
        </w:tc>
      </w:tr>
    </w:tbl>
    <w:p>
      <w:pPr>
        <w:spacing w:after="40"/>
      </w:pPr>
    </w:p>
    <w:p>
      <w:pPr>
        <w:pStyle w:val="Heading1"/>
        <w:spacing w:before="240" w:after="120"/>
      </w:pPr>
      <w:r>
        <w:rPr>
          <w:color w:val="1A365D"/>
          <w:sz w:val="28"/>
        </w:rPr>
        <w:t>3. Exercise 2: Detecting Anti-Forensics Activity</w:t>
      </w:r>
    </w:p>
    <w:p>
      <w:pPr>
        <w:spacing w:after="120"/>
      </w:pPr>
      <w:r>
        <w:t>Anti-forensics represents tactics and techniques used by threat actors to tamper with, corrupt, or erase digital evidence, thwarting investigators and blinding SIEM platforms. In this exercise, you simulate an attacker wiping Windows Event Logs directly on the Domain Controller.</w:t>
      </w:r>
    </w:p>
    <w:p>
      <w:pPr>
        <w:spacing w:before="120" w:after="40"/>
      </w:pPr>
      <w:r>
        <w:rPr>
          <w:b/>
          <w:color w:val="2B6CB0"/>
        </w:rPr>
        <w:t xml:space="preserve">Step 1: </w:t>
      </w:r>
      <w:r>
        <w:rPr>
          <w:b/>
          <w:color w:val="1A365D"/>
        </w:rPr>
        <w:t>Access Domain Controller DC10</w:t>
      </w:r>
    </w:p>
    <w:p>
      <w:pPr>
        <w:spacing w:before="0" w:after="60"/>
      </w:pPr>
      <w:r>
        <w:t>Connect to the virtual machine console for DC10.</w:t>
      </w:r>
    </w:p>
    <w:p>
      <w:pPr>
        <w:spacing w:before="0" w:after="60"/>
      </w:pPr>
      <w:r>
        <w:t>Send Ctrl+Alt+Delete to unlock the system.</w:t>
      </w:r>
    </w:p>
    <w:p>
      <w:pPr>
        <w:spacing w:before="0" w:after="60"/>
      </w:pPr>
      <w:r>
        <w:t>Log in using the domain administrative credentials -&gt; Username: Structureality\Administrator | Password: Pa$$w0rd</w:t>
      </w:r>
    </w:p>
    <w:p>
      <w:pPr>
        <w:spacing w:before="120" w:after="40"/>
      </w:pPr>
      <w:r>
        <w:rPr>
          <w:b/>
          <w:color w:val="2B6CB0"/>
        </w:rPr>
        <w:t xml:space="preserve">Step 2: </w:t>
      </w:r>
      <w:r>
        <w:rPr>
          <w:b/>
          <w:color w:val="1A365D"/>
        </w:rPr>
        <w:t>Clear the Windows Security Event Log</w:t>
      </w:r>
    </w:p>
    <w:p>
      <w:pPr>
        <w:spacing w:before="0" w:after="60"/>
      </w:pPr>
      <w:r>
        <w:t>Click the Windows search box on the taskbar, type Event, and launch Event Viewer.</w:t>
      </w:r>
    </w:p>
    <w:p>
      <w:pPr>
        <w:spacing w:before="0" w:after="60"/>
      </w:pPr>
      <w:r>
        <w:t>In the left-hand navigation pane, expand Windows Logs.</w:t>
      </w:r>
    </w:p>
    <w:p>
      <w:pPr>
        <w:spacing w:before="0" w:after="60"/>
      </w:pPr>
      <w:r>
        <w:t>Click on Security to view the security audit log stream.</w:t>
      </w:r>
    </w:p>
    <w:p>
      <w:pPr>
        <w:spacing w:before="0" w:after="60"/>
      </w:pPr>
      <w:r>
        <w:t>In the right Actions pane, click Clear Log...</w:t>
      </w:r>
    </w:p>
    <w:p>
      <w:pPr>
        <w:spacing w:before="0" w:after="60"/>
      </w:pPr>
      <w:r>
        <w:t>When the Event Viewer confirmation dialog prompts ('You can save the contents of this log before clearing it'), select Clear (do not save).</w:t>
      </w:r>
    </w:p>
    <w:p>
      <w:pPr>
        <w:spacing w:before="0" w:after="60"/>
      </w:pPr>
      <w:r>
        <w:t>Close Event Viewer.</w:t>
      </w: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2B6CB0"/>
              <w:top w:val="none"/>
              <w:right w:val="none"/>
              <w:bottom w:val="none"/>
            </w:tcBorders>
          </w:tcPr>
          <w:p>
            <w:pPr>
              <w:spacing w:before="0" w:after="40"/>
            </w:pPr>
            <w:r>
              <w:rPr>
                <w:rFonts w:ascii="Arial" w:hAnsi="Arial"/>
                <w:b/>
                <w:color w:val="1A365D"/>
                <w:sz w:val="19"/>
              </w:rPr>
              <w:t xml:space="preserve">📌 Windows Audit Event Note: </w:t>
            </w:r>
            <w:r>
              <w:rPr>
                <w:rFonts w:ascii="Arial" w:hAnsi="Arial"/>
                <w:color w:val="2D3748"/>
                <w:sz w:val="19"/>
              </w:rPr>
              <w:t>Windows automatically records Event ID 1102 in the Security log whenever the security audit log is intentionally wiped by an administrator or intruder.</w:t>
            </w:r>
          </w:p>
        </w:tc>
      </w:tr>
    </w:tbl>
    <w:p>
      <w:pPr>
        <w:spacing w:after="40"/>
      </w:pPr>
    </w:p>
    <w:p>
      <w:pPr>
        <w:spacing w:before="120" w:after="40"/>
      </w:pPr>
      <w:r>
        <w:rPr>
          <w:b/>
          <w:color w:val="2B6CB0"/>
        </w:rPr>
        <w:t xml:space="preserve">Step 3: </w:t>
      </w:r>
      <w:r>
        <w:rPr>
          <w:b/>
          <w:color w:val="1A365D"/>
        </w:rPr>
        <w:t>Detect Anti-Forensic Tampering in Wazuh (Rule ID 63103)</w:t>
      </w:r>
    </w:p>
    <w:p>
      <w:pPr>
        <w:spacing w:before="0" w:after="60"/>
      </w:pPr>
      <w:r>
        <w:t>Switch back to the KALI virtual machine console and return to Firefox running the Wazuh dashboard.</w:t>
      </w:r>
    </w:p>
    <w:p>
      <w:pPr>
        <w:spacing w:before="0" w:after="60"/>
      </w:pPr>
      <w:r>
        <w:t>Ensure you are still filtered on agent DC10 (001).</w:t>
      </w:r>
    </w:p>
    <w:p>
      <w:pPr>
        <w:spacing w:before="0" w:after="60"/>
      </w:pPr>
      <w:r>
        <w:t>In the search field, enter Rule ID: 63103 and click Update.</w:t>
      </w:r>
    </w:p>
    <w:p>
      <w:pPr>
        <w:spacing w:before="0" w:after="60"/>
      </w:pPr>
      <w:r>
        <w:t>Locate the alert generated by the log-clearing event and click the row to expand the technical details.</w:t>
      </w:r>
    </w:p>
    <w:tbl>
      <w:tblPr>
        <w:tblW w:type="auto" w:w="0"/>
        <w:jc w:val="center"/>
        <w:tblLayout w:type="fixed"/>
        <w:tblLook w:firstColumn="1" w:firstRow="1" w:lastColumn="0" w:lastRow="0" w:noHBand="0" w:noVBand="1" w:val="04A0"/>
      </w:tblPr>
      <w:tblGrid>
        <w:gridCol w:w="9936"/>
      </w:tblGrid>
      <w:tr>
        <w:tc>
          <w:tcPr>
            <w:tcW w:type="dxa" w:w="9936"/>
            <w:shd w:fill="FEE2E2"/>
            <w:tcMar>
              <w:top w:w="120" w:type="dxa"/>
              <w:bottom w:w="120" w:type="dxa"/>
              <w:left w:w="180" w:type="dxa"/>
              <w:right w:w="180" w:type="dxa"/>
            </w:tcMar>
            <w:tcBorders>
              <w:left w:val="single" w:sz="24" w:space="0" w:color="E53E3E"/>
              <w:top w:val="none"/>
              <w:right w:val="none"/>
              <w:bottom w:val="none"/>
            </w:tcBorders>
          </w:tcPr>
          <w:p>
            <w:pPr>
              <w:spacing w:before="0" w:after="40"/>
            </w:pPr>
            <w:r>
              <w:rPr>
                <w:rFonts w:ascii="Arial" w:hAnsi="Arial"/>
                <w:b/>
                <w:color w:val="1A365D"/>
                <w:sz w:val="19"/>
              </w:rPr>
              <w:t xml:space="preserve">📌 KNOWLEDGE CHECK: AUDIT LOG TAMPERING: </w:t>
            </w:r>
            <w:r>
              <w:rPr>
                <w:rFonts w:ascii="Arial" w:hAnsi="Arial"/>
                <w:color w:val="2D3748"/>
                <w:sz w:val="19"/>
              </w:rPr>
              <w:t>Question: What is the description for the security alert for the clearing of the Application and System logs / audit logs?</w:t>
              <w:br/>
              <w:t>Options: [Event viewer logs were cleared] [A Windows log file was cleared] [The audit log was cleared] [A log file was cleared]</w:t>
              <w:br/>
              <w:t>Correct Answer: The audit log was cleared (Rule ID 63103 corresponds to high-severity Windows Event Log Tampering / Clearing).</w:t>
            </w:r>
          </w:p>
        </w:tc>
      </w:tr>
    </w:tbl>
    <w:p>
      <w:pPr>
        <w:spacing w:after="40"/>
      </w:pPr>
    </w:p>
    <w:p>
      <w:pPr>
        <w:pStyle w:val="Heading1"/>
        <w:spacing w:before="240" w:after="120"/>
      </w:pPr>
      <w:r>
        <w:rPr>
          <w:color w:val="1A365D"/>
          <w:sz w:val="28"/>
        </w:rPr>
        <w:t>4. Incident Response Detection Reference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440"/>
            <w:shd w:fill="1A365D"/>
            <w:tcMar>
              <w:top w:w="80" w:type="dxa"/>
              <w:bottom w:w="80" w:type="dxa"/>
              <w:left w:w="100" w:type="dxa"/>
              <w:right w:w="100" w:type="dxa"/>
            </w:tcMar>
          </w:tcPr>
          <w:p>
            <w:pPr>
              <w:spacing w:after="0"/>
            </w:pPr>
            <w:r>
              <w:rPr>
                <w:b/>
                <w:color w:val="FFFFFF"/>
                <w:sz w:val="18"/>
              </w:rPr>
              <w:t>Rule ID</w:t>
            </w:r>
          </w:p>
        </w:tc>
        <w:tc>
          <w:tcPr>
            <w:tcW w:type="dxa" w:w="3168"/>
            <w:shd w:fill="1A365D"/>
            <w:tcMar>
              <w:top w:w="80" w:type="dxa"/>
              <w:bottom w:w="80" w:type="dxa"/>
              <w:left w:w="100" w:type="dxa"/>
              <w:right w:w="100" w:type="dxa"/>
            </w:tcMar>
          </w:tcPr>
          <w:p>
            <w:pPr>
              <w:spacing w:after="0"/>
            </w:pPr>
            <w:r>
              <w:rPr>
                <w:b/>
                <w:color w:val="FFFFFF"/>
                <w:sz w:val="18"/>
              </w:rPr>
              <w:t>Alert Description</w:t>
            </w:r>
          </w:p>
        </w:tc>
        <w:tc>
          <w:tcPr>
            <w:tcW w:type="dxa" w:w="3312"/>
            <w:shd w:fill="1A365D"/>
            <w:tcMar>
              <w:top w:w="80" w:type="dxa"/>
              <w:bottom w:w="80" w:type="dxa"/>
              <w:left w:w="100" w:type="dxa"/>
              <w:right w:w="100" w:type="dxa"/>
            </w:tcMar>
          </w:tcPr>
          <w:p>
            <w:pPr>
              <w:spacing w:after="0"/>
            </w:pPr>
            <w:r>
              <w:rPr>
                <w:b/>
                <w:color w:val="FFFFFF"/>
                <w:sz w:val="18"/>
              </w:rPr>
              <w:t>Event Trigger / Simulated Attack</w:t>
            </w:r>
          </w:p>
        </w:tc>
        <w:tc>
          <w:tcPr>
            <w:tcW w:type="dxa" w:w="2016"/>
            <w:shd w:fill="1A365D"/>
            <w:tcMar>
              <w:top w:w="80" w:type="dxa"/>
              <w:bottom w:w="80" w:type="dxa"/>
              <w:left w:w="100" w:type="dxa"/>
              <w:right w:w="100" w:type="dxa"/>
            </w:tcMar>
          </w:tcPr>
          <w:p>
            <w:pPr>
              <w:spacing w:after="0"/>
            </w:pPr>
            <w:r>
              <w:rPr>
                <w:b/>
                <w:color w:val="FFFFFF"/>
                <w:sz w:val="18"/>
              </w:rPr>
              <w:t>MITRE ATT&amp;CK Mapping</w:t>
            </w:r>
          </w:p>
        </w:tc>
      </w:tr>
      <w:tr>
        <w:tc>
          <w:tcPr>
            <w:tcW w:type="dxa" w:w="1440"/>
            <w:shd w:fill="F7FAFC"/>
            <w:tcMar>
              <w:top w:w="60" w:type="dxa"/>
              <w:bottom w:w="60" w:type="dxa"/>
              <w:left w:w="100" w:type="dxa"/>
              <w:right w:w="100" w:type="dxa"/>
            </w:tcMar>
          </w:tcPr>
          <w:p>
            <w:pPr>
              <w:spacing w:after="0"/>
            </w:pPr>
            <w:r>
              <w:rPr>
                <w:b/>
                <w:color w:val="2B6CB0"/>
                <w:sz w:val="17"/>
              </w:rPr>
              <w:t>60122</w:t>
            </w:r>
          </w:p>
        </w:tc>
        <w:tc>
          <w:tcPr>
            <w:tcW w:type="dxa" w:w="3168"/>
            <w:shd w:fill="F7FAFC"/>
            <w:tcMar>
              <w:top w:w="60" w:type="dxa"/>
              <w:bottom w:w="60" w:type="dxa"/>
              <w:left w:w="100" w:type="dxa"/>
              <w:right w:w="100" w:type="dxa"/>
            </w:tcMar>
          </w:tcPr>
          <w:p>
            <w:pPr>
              <w:spacing w:after="0"/>
            </w:pPr>
            <w:r>
              <w:rPr>
                <w:sz w:val="17"/>
              </w:rPr>
              <w:t>Logon failure - Unknown user or bad password</w:t>
            </w:r>
          </w:p>
        </w:tc>
        <w:tc>
          <w:tcPr>
            <w:tcW w:type="dxa" w:w="3312"/>
            <w:shd w:fill="F7FAFC"/>
            <w:tcMar>
              <w:top w:w="60" w:type="dxa"/>
              <w:bottom w:w="60" w:type="dxa"/>
              <w:left w:w="100" w:type="dxa"/>
              <w:right w:w="100" w:type="dxa"/>
            </w:tcMar>
          </w:tcPr>
          <w:p>
            <w:pPr>
              <w:spacing w:after="0"/>
            </w:pPr>
            <w:r>
              <w:rPr>
                <w:sz w:val="17"/>
              </w:rPr>
              <w:t>Hydra RDP brute force attempts &amp; failed SMB share mount</w:t>
            </w:r>
          </w:p>
        </w:tc>
        <w:tc>
          <w:tcPr>
            <w:tcW w:type="dxa" w:w="2016"/>
            <w:shd w:fill="F7FAFC"/>
            <w:tcMar>
              <w:top w:w="60" w:type="dxa"/>
              <w:bottom w:w="60" w:type="dxa"/>
              <w:left w:w="100" w:type="dxa"/>
              <w:right w:w="100" w:type="dxa"/>
            </w:tcMar>
          </w:tcPr>
          <w:p>
            <w:pPr>
              <w:spacing w:after="0"/>
            </w:pPr>
            <w:r>
              <w:rPr>
                <w:sz w:val="17"/>
              </w:rPr>
              <w:t>T1078, T1531</w:t>
            </w:r>
          </w:p>
        </w:tc>
      </w:tr>
      <w:tr>
        <w:tc>
          <w:tcPr>
            <w:tcW w:type="dxa" w:w="1440"/>
            <w:shd w:fill="FFFFFF"/>
            <w:tcMar>
              <w:top w:w="60" w:type="dxa"/>
              <w:bottom w:w="60" w:type="dxa"/>
              <w:left w:w="100" w:type="dxa"/>
              <w:right w:w="100" w:type="dxa"/>
            </w:tcMar>
          </w:tcPr>
          <w:p>
            <w:pPr>
              <w:spacing w:after="0"/>
            </w:pPr>
            <w:r>
              <w:rPr>
                <w:b/>
                <w:color w:val="2B6CB0"/>
                <w:sz w:val="17"/>
              </w:rPr>
              <w:t>92652</w:t>
            </w:r>
          </w:p>
        </w:tc>
        <w:tc>
          <w:tcPr>
            <w:tcW w:type="dxa" w:w="3168"/>
            <w:shd w:fill="FFFFFF"/>
            <w:tcMar>
              <w:top w:w="60" w:type="dxa"/>
              <w:bottom w:w="60" w:type="dxa"/>
              <w:left w:w="100" w:type="dxa"/>
              <w:right w:w="100" w:type="dxa"/>
            </w:tcMar>
          </w:tcPr>
          <w:p>
            <w:pPr>
              <w:spacing w:after="0"/>
            </w:pPr>
            <w:r>
              <w:rPr>
                <w:sz w:val="17"/>
              </w:rPr>
              <w:t>Logon success / credential discovery</w:t>
            </w:r>
          </w:p>
        </w:tc>
        <w:tc>
          <w:tcPr>
            <w:tcW w:type="dxa" w:w="3312"/>
            <w:shd w:fill="FFFFFF"/>
            <w:tcMar>
              <w:top w:w="60" w:type="dxa"/>
              <w:bottom w:w="60" w:type="dxa"/>
              <w:left w:w="100" w:type="dxa"/>
              <w:right w:w="100" w:type="dxa"/>
            </w:tcMar>
          </w:tcPr>
          <w:p>
            <w:pPr>
              <w:spacing w:after="0"/>
            </w:pPr>
            <w:r>
              <w:rPr>
                <w:sz w:val="17"/>
              </w:rPr>
              <w:t>Hydra dictionary match (57th attempt via RDP)</w:t>
            </w:r>
          </w:p>
        </w:tc>
        <w:tc>
          <w:tcPr>
            <w:tcW w:type="dxa" w:w="2016"/>
            <w:shd w:fill="FFFFFF"/>
            <w:tcMar>
              <w:top w:w="60" w:type="dxa"/>
              <w:bottom w:w="60" w:type="dxa"/>
              <w:left w:w="100" w:type="dxa"/>
              <w:right w:w="100" w:type="dxa"/>
            </w:tcMar>
          </w:tcPr>
          <w:p>
            <w:pPr>
              <w:spacing w:after="0"/>
            </w:pPr>
            <w:r>
              <w:rPr>
                <w:sz w:val="17"/>
              </w:rPr>
              <w:t>T1550.002 (PtH)</w:t>
            </w:r>
          </w:p>
        </w:tc>
      </w:tr>
      <w:tr>
        <w:tc>
          <w:tcPr>
            <w:tcW w:type="dxa" w:w="1440"/>
            <w:shd w:fill="F7FAFC"/>
            <w:tcMar>
              <w:top w:w="60" w:type="dxa"/>
              <w:bottom w:w="60" w:type="dxa"/>
              <w:left w:w="100" w:type="dxa"/>
              <w:right w:w="100" w:type="dxa"/>
            </w:tcMar>
          </w:tcPr>
          <w:p>
            <w:pPr>
              <w:spacing w:after="0"/>
            </w:pPr>
            <w:r>
              <w:rPr>
                <w:b/>
                <w:color w:val="2B6CB0"/>
                <w:sz w:val="17"/>
              </w:rPr>
              <w:t>60106</w:t>
            </w:r>
          </w:p>
        </w:tc>
        <w:tc>
          <w:tcPr>
            <w:tcW w:type="dxa" w:w="3168"/>
            <w:shd w:fill="F7FAFC"/>
            <w:tcMar>
              <w:top w:w="60" w:type="dxa"/>
              <w:bottom w:w="60" w:type="dxa"/>
              <w:left w:w="100" w:type="dxa"/>
              <w:right w:w="100" w:type="dxa"/>
            </w:tcMar>
          </w:tcPr>
          <w:p>
            <w:pPr>
              <w:spacing w:after="0"/>
            </w:pPr>
            <w:r>
              <w:rPr>
                <w:sz w:val="17"/>
              </w:rPr>
              <w:t>Windows Logon Success</w:t>
            </w:r>
          </w:p>
        </w:tc>
        <w:tc>
          <w:tcPr>
            <w:tcW w:type="dxa" w:w="3312"/>
            <w:shd w:fill="F7FAFC"/>
            <w:tcMar>
              <w:top w:w="60" w:type="dxa"/>
              <w:bottom w:w="60" w:type="dxa"/>
              <w:left w:w="100" w:type="dxa"/>
              <w:right w:w="100" w:type="dxa"/>
            </w:tcMar>
          </w:tcPr>
          <w:p>
            <w:pPr>
              <w:spacing w:after="0"/>
            </w:pPr>
            <w:r>
              <w:rPr>
                <w:sz w:val="17"/>
              </w:rPr>
              <w:t>Valid SMB C$ administrative share mount by administrator</w:t>
            </w:r>
          </w:p>
        </w:tc>
        <w:tc>
          <w:tcPr>
            <w:tcW w:type="dxa" w:w="2016"/>
            <w:shd w:fill="F7FAFC"/>
            <w:tcMar>
              <w:top w:w="60" w:type="dxa"/>
              <w:bottom w:w="60" w:type="dxa"/>
              <w:left w:w="100" w:type="dxa"/>
              <w:right w:w="100" w:type="dxa"/>
            </w:tcMar>
          </w:tcPr>
          <w:p>
            <w:pPr>
              <w:spacing w:after="0"/>
            </w:pPr>
            <w:r>
              <w:rPr>
                <w:sz w:val="17"/>
              </w:rPr>
              <w:t>T1078</w:t>
            </w:r>
          </w:p>
        </w:tc>
      </w:tr>
      <w:tr>
        <w:tc>
          <w:tcPr>
            <w:tcW w:type="dxa" w:w="1440"/>
            <w:shd w:fill="FFFFFF"/>
            <w:tcMar>
              <w:top w:w="60" w:type="dxa"/>
              <w:bottom w:w="60" w:type="dxa"/>
              <w:left w:w="100" w:type="dxa"/>
              <w:right w:w="100" w:type="dxa"/>
            </w:tcMar>
          </w:tcPr>
          <w:p>
            <w:pPr>
              <w:spacing w:after="0"/>
            </w:pPr>
            <w:r>
              <w:rPr>
                <w:b/>
                <w:color w:val="2B6CB0"/>
                <w:sz w:val="17"/>
              </w:rPr>
              <w:t>63103</w:t>
            </w:r>
          </w:p>
        </w:tc>
        <w:tc>
          <w:tcPr>
            <w:tcW w:type="dxa" w:w="3168"/>
            <w:shd w:fill="FFFFFF"/>
            <w:tcMar>
              <w:top w:w="60" w:type="dxa"/>
              <w:bottom w:w="60" w:type="dxa"/>
              <w:left w:w="100" w:type="dxa"/>
              <w:right w:w="100" w:type="dxa"/>
            </w:tcMar>
          </w:tcPr>
          <w:p>
            <w:pPr>
              <w:spacing w:after="0"/>
            </w:pPr>
            <w:r>
              <w:rPr>
                <w:sz w:val="17"/>
              </w:rPr>
              <w:t>The audit log was cleared</w:t>
            </w:r>
          </w:p>
        </w:tc>
        <w:tc>
          <w:tcPr>
            <w:tcW w:type="dxa" w:w="3312"/>
            <w:shd w:fill="FFFFFF"/>
            <w:tcMar>
              <w:top w:w="60" w:type="dxa"/>
              <w:bottom w:w="60" w:type="dxa"/>
              <w:left w:w="100" w:type="dxa"/>
              <w:right w:w="100" w:type="dxa"/>
            </w:tcMar>
          </w:tcPr>
          <w:p>
            <w:pPr>
              <w:spacing w:after="0"/>
            </w:pPr>
            <w:r>
              <w:rPr>
                <w:sz w:val="17"/>
              </w:rPr>
              <w:t>Manual purge of Windows Security Event Log (Event ID 1102)</w:t>
            </w:r>
          </w:p>
        </w:tc>
        <w:tc>
          <w:tcPr>
            <w:tcW w:type="dxa" w:w="2016"/>
            <w:shd w:fill="FFFFFF"/>
            <w:tcMar>
              <w:top w:w="60" w:type="dxa"/>
              <w:bottom w:w="60" w:type="dxa"/>
              <w:left w:w="100" w:type="dxa"/>
              <w:right w:w="100" w:type="dxa"/>
            </w:tcMar>
          </w:tcPr>
          <w:p>
            <w:pPr>
              <w:spacing w:after="0"/>
            </w:pPr>
            <w:r>
              <w:rPr>
                <w:sz w:val="17"/>
              </w:rPr>
              <w:t>T1070 (Indicator Removal)</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936"/>
            <w:shd w:fill="EDF2F7"/>
            <w:tcMar>
              <w:top w:w="120" w:type="dxa"/>
              <w:bottom w:w="120" w:type="dxa"/>
              <w:left w:w="180" w:type="dxa"/>
              <w:right w:w="180" w:type="dxa"/>
            </w:tcMar>
            <w:tcBorders>
              <w:left w:val="single" w:sz="24" w:space="0" w:color="1A365D"/>
              <w:top w:val="none"/>
              <w:right w:val="none"/>
              <w:bottom w:val="none"/>
            </w:tcBorders>
          </w:tcPr>
          <w:p>
            <w:pPr>
              <w:spacing w:before="0" w:after="40"/>
            </w:pPr>
            <w:r>
              <w:rPr>
                <w:rFonts w:ascii="Arial" w:hAnsi="Arial"/>
                <w:b/>
                <w:color w:val="1A365D"/>
                <w:sz w:val="19"/>
              </w:rPr>
              <w:t xml:space="preserve">📌 KEY INCIDENT RESPONSE TAKEAWAYS: </w:t>
            </w:r>
            <w:r>
              <w:rPr>
                <w:rFonts w:ascii="Arial" w:hAnsi="Arial"/>
                <w:color w:val="2D3748"/>
                <w:sz w:val="19"/>
              </w:rPr>
              <w:t>1. Detection Feeds Response: SIEM tools aggregate multi-source telemetry; without automated log ingestion and correlation rules, incident response teams cannot establish situational awareness.</w:t>
              <w:br/>
              <w:t>2. Verification of Default Signatures: Automated alert tags (like MITRE techniques) reflect rule definitions, not infallible ground truth. Analysts must validate raw log payloads.</w:t>
              <w:br/>
              <w:t>3. High-Priority IoCs: Clearing security audit logs (Rule 63103 / Event ID 1102) is a critical indicator of unauthorized lateral movement, defense evasion, or active compromise.</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