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19795"/>
          <w:sz w:val="20"/>
        </w:rPr>
        <w:t>APPLIED NETWORK DEFENSE &amp; RECONNAISSANCE GUIDE</w:t>
      </w:r>
    </w:p>
    <w:p>
      <w:pPr>
        <w:spacing w:before="0" w:after="80"/>
      </w:pPr>
      <w:r>
        <w:rPr>
          <w:b/>
          <w:color w:val="1A365D"/>
          <w:sz w:val="40"/>
        </w:rPr>
        <w:t>Performing DNS Filtering, Threat Hunting &amp; Reconnaissance</w:t>
      </w:r>
    </w:p>
    <w:p>
      <w:pPr>
        <w:spacing w:after="240"/>
      </w:pPr>
      <w:r>
        <w:rPr>
          <w:color w:val="718096"/>
          <w:sz w:val="22"/>
        </w:rPr>
        <w:t>CompTIA Security+ (SY0-701) Hands-On Lab | DNS Query Telemetry, Blackholing &amp; Tooling Manual</w:t>
      </w:r>
    </w:p>
    <w:p>
      <w:pPr>
        <w:spacing w:after="200"/>
        <w:pBdr>
          <w:bottom w:val="single" w:sz="12" w:space="1" w:color="2B6CB0"/>
        </w:pBdr>
      </w:pPr>
    </w:p>
    <w:p>
      <w:pPr>
        <w:pStyle w:val="Heading1"/>
        <w:spacing w:before="160" w:after="80"/>
      </w:pPr>
      <w:r>
        <w:rPr>
          <w:color w:val="1A365D"/>
          <w:sz w:val="28"/>
        </w:rPr>
        <w:t>1. Scenario, Architecture &amp; Learning Objectives</w:t>
      </w:r>
    </w:p>
    <w:p>
      <w:pPr>
        <w:spacing w:after="120"/>
      </w:pPr>
      <w:r>
        <w:t>Domain Name System (DNS) is one of the most critical network services and a frequent vector for command-and-control (C2) beaconing, data exfiltration, and domain generation algorithms (DGAs). In this lab, you act as a security engineer for Structureality Inc. You will investigate suspicious outbound DNS traffic reported by your ISP, identify a malicious C2 beaconing domain in Windows Event Logs, automate automated local DNS blackholing (DNS sinkholing) using threat intelligence feeds on Linux, and conduct external DNS reconnaissance using both nslookup and dig.</w:t>
      </w:r>
    </w:p>
    <w:p>
      <w:r>
        <w:rPr>
          <w:b/>
          <w:color w:val="2B6CB0"/>
        </w:rPr>
        <w:t>CompTIA Security+ Domain Objectives Covered:</w:t>
      </w:r>
    </w:p>
    <w:p>
      <w:pPr>
        <w:pStyle w:val="ListBullet"/>
        <w:spacing w:after="40"/>
      </w:pPr>
      <w:r>
        <w:rPr>
          <w:b/>
        </w:rPr>
        <w:t xml:space="preserve">Objective 2.4: </w:t>
      </w:r>
      <w:r>
        <w:t>Analyze indicators of malicious activity (DNS queries, beaconing frequency, C2 channels).</w:t>
      </w:r>
    </w:p>
    <w:p>
      <w:pPr>
        <w:pStyle w:val="ListBullet"/>
        <w:spacing w:after="40"/>
      </w:pPr>
      <w:r>
        <w:rPr>
          <w:b/>
        </w:rPr>
        <w:t xml:space="preserve">Objective 4.4: </w:t>
      </w:r>
      <w:r>
        <w:t>Explain security alerting and monitoring concepts and tools (Windows DNS Client Operational logs).</w:t>
      </w:r>
    </w:p>
    <w:p>
      <w:pPr>
        <w:pStyle w:val="ListBullet"/>
        <w:spacing w:after="40"/>
      </w:pPr>
      <w:r>
        <w:rPr>
          <w:b/>
        </w:rPr>
        <w:t xml:space="preserve">Objective 4.5: </w:t>
      </w:r>
      <w:r>
        <w:t>Modify enterprise capabilities to enhance security (DNS filtering, sinkholing via hosts file).</w:t>
      </w:r>
    </w:p>
    <w:p>
      <w:pPr>
        <w:pStyle w:val="ListBullet"/>
        <w:spacing w:after="40"/>
      </w:pPr>
      <w:r>
        <w:rPr>
          <w:b/>
        </w:rPr>
        <w:t xml:space="preserve">Objective 4.7: </w:t>
      </w:r>
      <w:r>
        <w:t>Explain the importance of automation and orchestration related to secure operations (cron jobs, bash ingestion scripts).</w:t>
      </w:r>
    </w:p>
    <w:p>
      <w:pPr>
        <w:pStyle w:val="ListBullet"/>
        <w:spacing w:after="40"/>
      </w:pPr>
      <w:r>
        <w:rPr>
          <w:b/>
        </w:rPr>
        <w:t xml:space="preserve">Objective 4.9: </w:t>
      </w:r>
      <w:r>
        <w:t>Given a scenario, use data sources to support an investigation (nslookup, dig, DNS resource records).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fill="1A365D"/>
            <w:tcMar>
              <w:top w:w="80" w:type="dxa"/>
              <w:bottom w:w="80" w:type="dxa"/>
              <w:left w:w="100" w:type="dxa"/>
              <w:right w:w="100" w:type="dxa"/>
            </w:tcMar>
          </w:tcPr>
          <w:p>
            <w:pPr>
              <w:spacing w:after="0"/>
            </w:pPr>
            <w:r>
              <w:rPr>
                <w:b/>
                <w:color w:val="FFFFFF"/>
                <w:sz w:val="18"/>
              </w:rPr>
              <w:t>System / Host</w:t>
            </w:r>
          </w:p>
        </w:tc>
        <w:tc>
          <w:tcPr>
            <w:tcW w:type="dxa" w:w="2592"/>
            <w:shd w:fill="1A365D"/>
            <w:tcMar>
              <w:top w:w="80" w:type="dxa"/>
              <w:bottom w:w="80" w:type="dxa"/>
              <w:left w:w="100" w:type="dxa"/>
              <w:right w:w="100" w:type="dxa"/>
            </w:tcMar>
          </w:tcPr>
          <w:p>
            <w:pPr>
              <w:spacing w:after="0"/>
            </w:pPr>
            <w:r>
              <w:rPr>
                <w:b/>
                <w:color w:val="FFFFFF"/>
                <w:sz w:val="18"/>
              </w:rPr>
              <w:t>Operating System</w:t>
            </w:r>
          </w:p>
        </w:tc>
        <w:tc>
          <w:tcPr>
            <w:tcW w:type="dxa" w:w="2160"/>
            <w:shd w:fill="1A365D"/>
            <w:tcMar>
              <w:top w:w="80" w:type="dxa"/>
              <w:bottom w:w="80" w:type="dxa"/>
              <w:left w:w="100" w:type="dxa"/>
              <w:right w:w="100" w:type="dxa"/>
            </w:tcMar>
          </w:tcPr>
          <w:p>
            <w:pPr>
              <w:spacing w:after="0"/>
            </w:pPr>
            <w:r>
              <w:rPr>
                <w:b/>
                <w:color w:val="FFFFFF"/>
                <w:sz w:val="18"/>
              </w:rPr>
              <w:t>Network Access</w:t>
            </w:r>
          </w:p>
        </w:tc>
        <w:tc>
          <w:tcPr>
            <w:tcW w:type="dxa" w:w="3168"/>
            <w:shd w:fill="1A365D"/>
            <w:tcMar>
              <w:top w:w="80" w:type="dxa"/>
              <w:bottom w:w="80" w:type="dxa"/>
              <w:left w:w="100" w:type="dxa"/>
              <w:right w:w="100" w:type="dxa"/>
            </w:tcMar>
          </w:tcPr>
          <w:p>
            <w:pPr>
              <w:spacing w:after="0"/>
            </w:pPr>
            <w:r>
              <w:rPr>
                <w:b/>
                <w:color w:val="FFFFFF"/>
                <w:sz w:val="18"/>
              </w:rPr>
              <w:t>Role / Function</w:t>
            </w:r>
          </w:p>
        </w:tc>
      </w:tr>
      <w:tr>
        <w:tc>
          <w:tcPr>
            <w:tcW w:type="dxa" w:w="2016"/>
            <w:shd w:fill="F7FAFC"/>
            <w:tcMar>
              <w:top w:w="60" w:type="dxa"/>
              <w:bottom w:w="60" w:type="dxa"/>
              <w:left w:w="100" w:type="dxa"/>
              <w:right w:w="100" w:type="dxa"/>
            </w:tcMar>
          </w:tcPr>
          <w:p>
            <w:pPr>
              <w:spacing w:after="0"/>
            </w:pPr>
            <w:r>
              <w:rPr>
                <w:b/>
                <w:sz w:val="17"/>
              </w:rPr>
              <w:t>PC10</w:t>
            </w:r>
          </w:p>
        </w:tc>
        <w:tc>
          <w:tcPr>
            <w:tcW w:type="dxa" w:w="2592"/>
            <w:shd w:fill="F7FAFC"/>
            <w:tcMar>
              <w:top w:w="60" w:type="dxa"/>
              <w:bottom w:w="60" w:type="dxa"/>
              <w:left w:w="100" w:type="dxa"/>
              <w:right w:w="100" w:type="dxa"/>
            </w:tcMar>
          </w:tcPr>
          <w:p>
            <w:pPr>
              <w:spacing w:after="0"/>
            </w:pPr>
            <w:r>
              <w:rPr>
                <w:sz w:val="17"/>
              </w:rPr>
              <w:t>Windows Server 2019 (Client)</w:t>
            </w:r>
          </w:p>
        </w:tc>
        <w:tc>
          <w:tcPr>
            <w:tcW w:type="dxa" w:w="2160"/>
            <w:shd w:fill="F7FAFC"/>
            <w:tcMar>
              <w:top w:w="60" w:type="dxa"/>
              <w:bottom w:w="60" w:type="dxa"/>
              <w:left w:w="100" w:type="dxa"/>
              <w:right w:w="100" w:type="dxa"/>
            </w:tcMar>
          </w:tcPr>
          <w:p>
            <w:pPr>
              <w:spacing w:after="0"/>
            </w:pPr>
            <w:r>
              <w:rPr>
                <w:sz w:val="17"/>
              </w:rPr>
              <w:t>Internal (Structureality LAN)</w:t>
            </w:r>
          </w:p>
        </w:tc>
        <w:tc>
          <w:tcPr>
            <w:tcW w:type="dxa" w:w="3168"/>
            <w:shd w:fill="F7FAFC"/>
            <w:tcMar>
              <w:top w:w="60" w:type="dxa"/>
              <w:bottom w:w="60" w:type="dxa"/>
              <w:left w:w="100" w:type="dxa"/>
              <w:right w:w="100" w:type="dxa"/>
            </w:tcMar>
          </w:tcPr>
          <w:p>
            <w:pPr>
              <w:spacing w:after="0"/>
            </w:pPr>
            <w:r>
              <w:rPr>
                <w:sz w:val="17"/>
              </w:rPr>
              <w:t>Compromised workstation hosting beaconing malware (Jaime / Pa$$w0rd)</w:t>
            </w:r>
          </w:p>
        </w:tc>
      </w:tr>
      <w:tr>
        <w:tc>
          <w:tcPr>
            <w:tcW w:type="dxa" w:w="2016"/>
            <w:shd w:fill="FFFFFF"/>
            <w:tcMar>
              <w:top w:w="60" w:type="dxa"/>
              <w:bottom w:w="60" w:type="dxa"/>
              <w:left w:w="100" w:type="dxa"/>
              <w:right w:w="100" w:type="dxa"/>
            </w:tcMar>
          </w:tcPr>
          <w:p>
            <w:pPr>
              <w:spacing w:after="0"/>
            </w:pPr>
            <w:r>
              <w:rPr>
                <w:b/>
                <w:sz w:val="17"/>
              </w:rPr>
              <w:t>KALI</w:t>
            </w:r>
          </w:p>
        </w:tc>
        <w:tc>
          <w:tcPr>
            <w:tcW w:type="dxa" w:w="2592"/>
            <w:shd w:fill="FFFFFF"/>
            <w:tcMar>
              <w:top w:w="60" w:type="dxa"/>
              <w:bottom w:w="60" w:type="dxa"/>
              <w:left w:w="100" w:type="dxa"/>
              <w:right w:w="100" w:type="dxa"/>
            </w:tcMar>
          </w:tcPr>
          <w:p>
            <w:pPr>
              <w:spacing w:after="0"/>
            </w:pPr>
            <w:r>
              <w:rPr>
                <w:sz w:val="17"/>
              </w:rPr>
              <w:t>Kali Linux (Debian pen-test)</w:t>
            </w:r>
          </w:p>
        </w:tc>
        <w:tc>
          <w:tcPr>
            <w:tcW w:type="dxa" w:w="2160"/>
            <w:shd w:fill="FFFFFF"/>
            <w:tcMar>
              <w:top w:w="60" w:type="dxa"/>
              <w:bottom w:w="60" w:type="dxa"/>
              <w:left w:w="100" w:type="dxa"/>
              <w:right w:w="100" w:type="dxa"/>
            </w:tcMar>
          </w:tcPr>
          <w:p>
            <w:pPr>
              <w:spacing w:after="0"/>
            </w:pPr>
            <w:r>
              <w:rPr>
                <w:sz w:val="17"/>
              </w:rPr>
              <w:t>Internal Subnet (Isolated)</w:t>
            </w:r>
          </w:p>
        </w:tc>
        <w:tc>
          <w:tcPr>
            <w:tcW w:type="dxa" w:w="3168"/>
            <w:shd w:fill="FFFFFF"/>
            <w:tcMar>
              <w:top w:w="60" w:type="dxa"/>
              <w:bottom w:w="60" w:type="dxa"/>
              <w:left w:w="100" w:type="dxa"/>
              <w:right w:w="100" w:type="dxa"/>
            </w:tcMar>
          </w:tcPr>
          <w:p>
            <w:pPr>
              <w:spacing w:after="0"/>
            </w:pPr>
            <w:r>
              <w:rPr>
                <w:sz w:val="17"/>
              </w:rPr>
              <w:t>Linux workstation for threat feed ingestion &amp; DNS filtering automation (root / Pa$$w0rd)</w:t>
            </w:r>
          </w:p>
        </w:tc>
      </w:tr>
      <w:tr>
        <w:tc>
          <w:tcPr>
            <w:tcW w:type="dxa" w:w="2016"/>
            <w:shd w:fill="F7FAFC"/>
            <w:tcMar>
              <w:top w:w="60" w:type="dxa"/>
              <w:bottom w:w="60" w:type="dxa"/>
              <w:left w:w="100" w:type="dxa"/>
              <w:right w:w="100" w:type="dxa"/>
            </w:tcMar>
          </w:tcPr>
          <w:p>
            <w:pPr>
              <w:spacing w:after="0"/>
            </w:pPr>
            <w:r>
              <w:rPr>
                <w:b/>
                <w:sz w:val="17"/>
              </w:rPr>
              <w:t>Local Host / CLI</w:t>
            </w:r>
          </w:p>
        </w:tc>
        <w:tc>
          <w:tcPr>
            <w:tcW w:type="dxa" w:w="2592"/>
            <w:shd w:fill="F7FAFC"/>
            <w:tcMar>
              <w:top w:w="60" w:type="dxa"/>
              <w:bottom w:w="60" w:type="dxa"/>
              <w:left w:w="100" w:type="dxa"/>
              <w:right w:w="100" w:type="dxa"/>
            </w:tcMar>
          </w:tcPr>
          <w:p>
            <w:pPr>
              <w:spacing w:after="0"/>
            </w:pPr>
            <w:r>
              <w:rPr>
                <w:sz w:val="17"/>
              </w:rPr>
              <w:t>Analyst Host OS (Windows/Mac/Linux)</w:t>
            </w:r>
          </w:p>
        </w:tc>
        <w:tc>
          <w:tcPr>
            <w:tcW w:type="dxa" w:w="2160"/>
            <w:shd w:fill="F7FAFC"/>
            <w:tcMar>
              <w:top w:w="60" w:type="dxa"/>
              <w:bottom w:w="60" w:type="dxa"/>
              <w:left w:w="100" w:type="dxa"/>
              <w:right w:w="100" w:type="dxa"/>
            </w:tcMar>
          </w:tcPr>
          <w:p>
            <w:pPr>
              <w:spacing w:after="0"/>
            </w:pPr>
            <w:r>
              <w:rPr>
                <w:sz w:val="17"/>
              </w:rPr>
              <w:t>Direct Internet Access</w:t>
            </w:r>
          </w:p>
        </w:tc>
        <w:tc>
          <w:tcPr>
            <w:tcW w:type="dxa" w:w="3168"/>
            <w:shd w:fill="F7FAFC"/>
            <w:tcMar>
              <w:top w:w="60" w:type="dxa"/>
              <w:bottom w:w="60" w:type="dxa"/>
              <w:left w:w="100" w:type="dxa"/>
              <w:right w:w="100" w:type="dxa"/>
            </w:tcMar>
          </w:tcPr>
          <w:p>
            <w:pPr>
              <w:spacing w:after="0"/>
            </w:pPr>
            <w:r>
              <w:rPr>
                <w:sz w:val="17"/>
              </w:rPr>
              <w:t>External host for performing live Internet DNS reconnaissance (nslookup &amp; dig)</w:t>
            </w:r>
          </w:p>
        </w:tc>
      </w:tr>
    </w:tbl>
    <w:p>
      <w:pPr>
        <w:spacing w:after="120"/>
      </w:pPr>
    </w:p>
    <w:p>
      <w:pPr>
        <w:pStyle w:val="Heading1"/>
        <w:spacing w:before="200" w:after="80"/>
      </w:pPr>
      <w:r>
        <w:rPr>
          <w:color w:val="1A365D"/>
          <w:sz w:val="28"/>
        </w:rPr>
        <w:t>2. Exercise 1: Investigating Suspicious DNS Activity on PC10</w:t>
      </w:r>
    </w:p>
    <w:p>
      <w:pPr>
        <w:spacing w:before="120" w:after="40"/>
      </w:pPr>
      <w:r>
        <w:rPr>
          <w:b/>
          <w:color w:val="2B6CB0"/>
        </w:rPr>
        <w:t xml:space="preserve">Step 1: </w:t>
      </w:r>
      <w:r>
        <w:rPr>
          <w:b/>
          <w:color w:val="1A365D"/>
        </w:rPr>
        <w:t>Sign in to PC10 &amp; Launch Event Viewer</w:t>
      </w:r>
    </w:p>
    <w:p>
      <w:pPr>
        <w:spacing w:before="0" w:after="60"/>
      </w:pPr>
      <w:r>
        <w:t>Connect to the PC10 virtual machine console.</w:t>
      </w:r>
    </w:p>
    <w:p>
      <w:pPr>
        <w:spacing w:before="0" w:after="60"/>
      </w:pPr>
      <w:r>
        <w:t>Send Ctrl+Alt+Delete and log in as Jaime with password Pa$$w0rd (Jaime has local Domain Admin rights).</w:t>
      </w:r>
    </w:p>
    <w:p>
      <w:pPr>
        <w:spacing w:before="0" w:after="60"/>
      </w:pPr>
      <w:r>
        <w:t>Click the Windows search box on the taskbar, type event, and launch Event Viewer.</w:t>
      </w:r>
    </w:p>
    <w:p>
      <w:pPr>
        <w:spacing w:before="0" w:after="60"/>
      </w:pPr>
      <w:r>
        <w:t>Maximize the Event Viewer window.</w:t>
      </w:r>
    </w:p>
    <w:p>
      <w:pPr>
        <w:spacing w:before="120" w:after="40"/>
      </w:pPr>
      <w:r>
        <w:rPr>
          <w:b/>
          <w:color w:val="2B6CB0"/>
        </w:rPr>
        <w:t xml:space="preserve">Step 2: </w:t>
      </w:r>
      <w:r>
        <w:rPr>
          <w:b/>
          <w:color w:val="1A365D"/>
        </w:rPr>
        <w:t>Enable DNS Client Operational Telemetry Logging</w:t>
      </w:r>
    </w:p>
    <w:p>
      <w:pPr>
        <w:spacing w:before="0" w:after="60"/>
      </w:pPr>
      <w:r>
        <w:t>In the left navigation tree, expand Applications and Services Logs.</w:t>
      </w:r>
    </w:p>
    <w:p>
      <w:pPr>
        <w:spacing w:before="0" w:after="60"/>
      </w:pPr>
      <w:r>
        <w:t>Expand Microsoft -&gt; expand Windows -&gt; scroll down and expand DNS Client Events.</w:t>
      </w:r>
    </w:p>
    <w:p>
      <w:pPr>
        <w:spacing w:before="0" w:after="60"/>
      </w:pPr>
      <w:r>
        <w:t>Right-click Operational and select Properties.</w:t>
      </w:r>
    </w:p>
    <w:p>
      <w:pPr>
        <w:spacing w:before="0" w:after="60"/>
      </w:pPr>
      <w:r>
        <w:t>Check the box: Enable logging, then click OK.</w:t>
      </w:r>
    </w:p>
    <w:p>
      <w:pPr>
        <w:spacing w:before="0" w:after="60"/>
      </w:pPr>
      <w:r>
        <w:t>Click on Operational in the left tree to view the live log stream.</w:t>
      </w: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Windows DNS Auditing: </w:t>
            </w:r>
            <w:r>
              <w:rPr>
                <w:rFonts w:ascii="Arial" w:hAnsi="Arial"/>
                <w:color w:val="2D3748"/>
                <w:sz w:val="19"/>
              </w:rPr>
              <w:t>By default, Windows disables the Operational DNS client log to minimize disk I/O. Enabling it activates detailed logging of every query sent to resolver caches and recursive DNS servers.</w:t>
            </w:r>
          </w:p>
        </w:tc>
      </w:tr>
    </w:tbl>
    <w:p>
      <w:pPr>
        <w:spacing w:after="40"/>
      </w:pPr>
    </w:p>
    <w:p>
      <w:pPr>
        <w:spacing w:before="120" w:after="40"/>
      </w:pPr>
      <w:r>
        <w:rPr>
          <w:b/>
          <w:color w:val="2B6CB0"/>
        </w:rPr>
        <w:t xml:space="preserve">Step 3: </w:t>
      </w:r>
      <w:r>
        <w:rPr>
          <w:b/>
          <w:color w:val="1A365D"/>
        </w:rPr>
        <w:t>Execute Attack Simulation Script (lab22demo1.ps1)</w:t>
      </w:r>
    </w:p>
    <w:p>
      <w:pPr>
        <w:spacing w:before="0" w:after="60"/>
      </w:pPr>
      <w:r>
        <w:t>Open the Windows search box, type powershell, and launch Windows PowerShell.</w:t>
      </w:r>
    </w:p>
    <w:p>
      <w:pPr>
        <w:spacing w:before="0" w:after="60"/>
      </w:pPr>
      <w:r>
        <w:t>Run the local demonstration script simulating malicious endpoint behavior:</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.\lab22demo1.ps1</w:t>
            </w:r>
          </w:p>
        </w:tc>
      </w:tr>
    </w:tbl>
    <w:p>
      <w:pPr>
        <w:spacing w:after="40"/>
      </w:pPr>
    </w:p>
    <w:p>
      <w:pPr>
        <w:spacing w:after="80"/>
      </w:pPr>
      <w:r>
        <w:t>Observe script output counting from 1 through 5, culminating with: 'Maximum number of attempts reached. Terminating script.' Minimize the PowerShell window.</w:t>
      </w:r>
    </w:p>
    <w:p>
      <w:pPr>
        <w:spacing w:before="120" w:after="40"/>
      </w:pPr>
      <w:r>
        <w:rPr>
          <w:b/>
          <w:color w:val="2B6CB0"/>
        </w:rPr>
        <w:t xml:space="preserve">Step 4: </w:t>
      </w:r>
      <w:r>
        <w:rPr>
          <w:b/>
          <w:color w:val="1A365D"/>
        </w:rPr>
        <w:t>Filter DNS Operational Log for Query Initializations (Event ID 3010)</w:t>
      </w:r>
    </w:p>
    <w:p>
      <w:pPr>
        <w:spacing w:before="0" w:after="60"/>
      </w:pPr>
      <w:r>
        <w:t>Return to Event Viewer, and click Refresh in the right Actions pane.</w:t>
      </w:r>
    </w:p>
    <w:p>
      <w:pPr>
        <w:spacing w:before="0" w:after="60"/>
      </w:pPr>
      <w:r>
        <w:t>In the right Actions pane, select Filter Current Log....</w:t>
      </w:r>
    </w:p>
    <w:p>
      <w:pPr>
        <w:spacing w:before="0" w:after="60"/>
      </w:pPr>
      <w:r>
        <w:t>In the &lt;All Event IDs&gt; field, enter: 3010 (Event ID 3010 represents the initial DNS query set).</w:t>
      </w:r>
    </w:p>
    <w:p>
      <w:pPr>
        <w:spacing w:before="0" w:after="60"/>
      </w:pPr>
      <w:r>
        <w:t>Click OK to apply the filter.</w:t>
      </w:r>
    </w:p>
    <w:p>
      <w:pPr>
        <w:spacing w:before="120" w:after="40"/>
      </w:pPr>
      <w:r>
        <w:rPr>
          <w:b/>
          <w:color w:val="2B6CB0"/>
        </w:rPr>
        <w:t xml:space="preserve">Step 5: </w:t>
      </w:r>
      <w:r>
        <w:rPr>
          <w:b/>
          <w:color w:val="1A365D"/>
        </w:rPr>
        <w:t>Identify the Suspicious Fully Qualified Domain Name (FQDN)</w:t>
      </w:r>
    </w:p>
    <w:p>
      <w:pPr>
        <w:spacing w:before="0" w:after="60"/>
      </w:pPr>
      <w:r>
        <w:t>Select the topmost Event ID 3010 entry and inspect the General tab in the lower pane.</w:t>
      </w:r>
    </w:p>
    <w:p>
      <w:pPr>
        <w:spacing w:before="0" w:after="60"/>
      </w:pPr>
      <w:r>
        <w:t>Notice queries starting with 'DNS Query set to DNS Server...'.</w:t>
      </w:r>
    </w:p>
    <w:p>
      <w:pPr>
        <w:spacing w:before="0" w:after="60"/>
      </w:pPr>
      <w:r>
        <w:t>Disregard all internal corporate names ending in .ad.structureality.com (internal Active Directory queries are benign and never cross the ISP perimeter).</w:t>
      </w:r>
    </w:p>
    <w:p>
      <w:pPr>
        <w:spacing w:before="0" w:after="60"/>
      </w:pPr>
      <w:r>
        <w:t>Scroll through entries until you locate the anomalous foreign/external domain.</w:t>
      </w:r>
    </w:p>
    <w:tbl>
      <w:tblPr>
        <w:tblW w:type="auto" w:w="0"/>
        <w:jc w:val="center"/>
        <w:tblLayout w:type="fixed"/>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Borders>
              <w:left w:val="single" w:sz="24" w:space="0" w:color="D97706"/>
              <w:top w:val="none"/>
              <w:right w:val="none"/>
              <w:bottom w:val="none"/>
            </w:tcBorders>
          </w:tcPr>
          <w:p>
            <w:pPr>
              <w:spacing w:before="0" w:after="40"/>
            </w:pPr>
            <w:r>
              <w:rPr>
                <w:rFonts w:ascii="Arial" w:hAnsi="Arial"/>
                <w:b/>
                <w:color w:val="1A365D"/>
                <w:sz w:val="19"/>
              </w:rPr>
              <w:t xml:space="preserve">📌 KNOWLEDGE CHECK: THREAT FQDN DISCOVERY: </w:t>
            </w:r>
            <w:r>
              <w:rPr>
                <w:rFonts w:ascii="Arial" w:hAnsi="Arial"/>
                <w:color w:val="2D3748"/>
                <w:sz w:val="19"/>
              </w:rPr>
              <w:t>Investigation Finding: Malicious DNS FQDN</w:t>
              <w:br/>
              <w:t>Threat FQDN: badsite.ru</w:t>
              <w:br/>
              <w:t>Analyst Evaluation: Queries to badsite.ru represent external anomalous traffic originating from PC10, corroborating the ISP's flash warning.</w:t>
            </w:r>
          </w:p>
        </w:tc>
      </w:tr>
    </w:tbl>
    <w:p>
      <w:pPr>
        <w:spacing w:after="40"/>
      </w:pPr>
    </w:p>
    <w:p>
      <w:pPr>
        <w:spacing w:before="120" w:after="40"/>
      </w:pPr>
      <w:r>
        <w:rPr>
          <w:b/>
          <w:color w:val="2B6CB0"/>
        </w:rPr>
        <w:t xml:space="preserve">Step 6: </w:t>
      </w:r>
      <w:r>
        <w:rPr>
          <w:b/>
          <w:color w:val="1A365D"/>
        </w:rPr>
        <w:t>Analyze Beaconing Frequency &amp; Query Types</w:t>
      </w:r>
    </w:p>
    <w:p>
      <w:pPr>
        <w:spacing w:before="0" w:after="60"/>
      </w:pPr>
      <w:r>
        <w:t>Select the first Event ID 3010 record at the top of the log.</w:t>
      </w:r>
    </w:p>
    <w:p>
      <w:pPr>
        <w:spacing w:before="0" w:after="60"/>
      </w:pPr>
      <w:r>
        <w:t>In the right pane, select Find... -&gt; enter badsite.ru -&gt; click Find Next.</w:t>
      </w:r>
    </w:p>
    <w:p>
      <w:pPr>
        <w:spacing w:before="0" w:after="60"/>
      </w:pPr>
      <w:r>
        <w:t>Observe the record details: Notice queries specify 'type 1' (DNS A record for IPv4) or 'type 28' (DNS AAAA record for IPv6).</w:t>
      </w:r>
    </w:p>
    <w:p>
      <w:pPr>
        <w:spacing w:before="0" w:after="60"/>
      </w:pPr>
      <w:r>
        <w:t>Click Find Next repeatedly to inspect the sequential timestamps of all type 1 queries.</w:t>
      </w:r>
    </w:p>
    <w:tbl>
      <w:tblPr>
        <w:tblW w:type="auto" w:w="0"/>
        <w:jc w:val="center"/>
        <w:tblLayout w:type="fixed"/>
        <w:tblLook w:firstColumn="1" w:firstRow="1" w:lastColumn="0" w:lastRow="0" w:noHBand="0" w:noVBand="1" w:val="04A0"/>
      </w:tblPr>
      <w:tblGrid>
        <w:gridCol w:w="9936"/>
      </w:tblGrid>
      <w:tr>
        <w:tc>
          <w:tcPr>
            <w:tcW w:type="dxa" w:w="9936"/>
            <w:shd w:fill="E6FFFA"/>
            <w:tcMar>
              <w:top w:w="120" w:type="dxa"/>
              <w:bottom w:w="120" w:type="dxa"/>
              <w:left w:w="180" w:type="dxa"/>
              <w:right w:w="180" w:type="dxa"/>
            </w:tcMar>
            <w:tcBorders>
              <w:left w:val="single" w:sz="24" w:space="0" w:color="319795"/>
              <w:top w:val="none"/>
              <w:right w:val="none"/>
              <w:bottom w:val="none"/>
            </w:tcBorders>
          </w:tcPr>
          <w:p>
            <w:pPr>
              <w:spacing w:before="0" w:after="40"/>
            </w:pPr>
            <w:r>
              <w:rPr>
                <w:rFonts w:ascii="Arial" w:hAnsi="Arial"/>
                <w:b/>
                <w:color w:val="1A365D"/>
                <w:sz w:val="19"/>
              </w:rPr>
              <w:t xml:space="preserve">📌 KNOWLEDGE CHECK: BEACONING INTERVAL: </w:t>
            </w:r>
            <w:r>
              <w:rPr>
                <w:rFonts w:ascii="Arial" w:hAnsi="Arial"/>
                <w:color w:val="2D3748"/>
                <w:sz w:val="19"/>
              </w:rPr>
              <w:t>Question: What is the approximate time interval between type 1 queries to badsite.ru?</w:t>
              <w:br/>
              <w:t>Options: [1 second] [20 seconds] [1 minute] [5 seconds]</w:t>
              <w:br/>
              <w:t>Correct Answer: 5 seconds</w:t>
              <w:br/>
              <w:br/>
              <w:t>Threat Analysis (C2 Beaconing): Consistent, regular query intervals (every 5 seconds) indicate automated malware beaconing to establish or maintain persistent Command &amp; Control (C2) communication.</w:t>
            </w:r>
          </w:p>
        </w:tc>
      </w:tr>
    </w:tbl>
    <w:p>
      <w:pPr>
        <w:spacing w:after="40"/>
      </w:pPr>
    </w:p>
    <w:p>
      <w:pPr>
        <w:spacing w:before="120" w:after="40"/>
      </w:pPr>
      <w:r>
        <w:rPr>
          <w:b/>
          <w:color w:val="2B6CB0"/>
        </w:rPr>
        <w:t xml:space="preserve">Step 7: </w:t>
      </w:r>
      <w:r>
        <w:rPr>
          <w:b/>
          <w:color w:val="1A365D"/>
        </w:rPr>
        <w:t>Extract Malicious Process ID (PID) from Log Metadata</w:t>
      </w:r>
    </w:p>
    <w:p>
      <w:pPr>
        <w:spacing w:before="0" w:after="60"/>
      </w:pPr>
      <w:r>
        <w:t>With a badsite.ru record selected, click the Details tab in the lower pane.</w:t>
      </w:r>
    </w:p>
    <w:p>
      <w:pPr>
        <w:spacing w:before="0" w:after="60"/>
      </w:pPr>
      <w:r>
        <w:t>Expand + System and scroll to Execution | [ProcessID].</w:t>
      </w:r>
    </w:p>
    <w:p>
      <w:pPr>
        <w:spacing w:before="0" w:after="60"/>
      </w:pPr>
      <w:r>
        <w:t>Note the PID: In a live investigation where malware runs continuously, this PID maps directly via tasklist or Get-Process to terminate the offending executable and isolate the endpoint.</w:t>
      </w:r>
    </w:p>
    <w:p>
      <w:pPr>
        <w:pStyle w:val="Heading1"/>
        <w:spacing w:before="200" w:after="80"/>
      </w:pPr>
      <w:r>
        <w:rPr>
          <w:color w:val="1A365D"/>
          <w:sz w:val="28"/>
        </w:rPr>
        <w:t>3. Exercise 2: Automating DNS Sinkholing / Filtering on Kali</w:t>
      </w:r>
    </w:p>
    <w:p>
      <w:pPr>
        <w:spacing w:before="120" w:after="40"/>
      </w:pPr>
      <w:r>
        <w:rPr>
          <w:b/>
          <w:color w:val="2B6CB0"/>
        </w:rPr>
        <w:t xml:space="preserve">Step 1: </w:t>
      </w:r>
      <w:r>
        <w:rPr>
          <w:b/>
          <w:color w:val="1A365D"/>
        </w:rPr>
        <w:t>Sign in to Kali &amp; Ingest Malicious DNS Threat Feed</w:t>
      </w:r>
    </w:p>
    <w:p>
      <w:pPr>
        <w:spacing w:before="0" w:after="60"/>
      </w:pPr>
      <w:r>
        <w:t>Switch to the KALI virtual machine console (root / Pa$$w0rd).</w:t>
      </w:r>
    </w:p>
    <w:p>
      <w:pPr>
        <w:spacing w:before="0" w:after="60"/>
      </w:pPr>
      <w:r>
        <w:t>Open the Kali Terminal Emulator.</w:t>
      </w:r>
    </w:p>
    <w:p>
      <w:pPr>
        <w:spacing w:before="0" w:after="60"/>
      </w:pPr>
      <w:r>
        <w:t>Ingest and inspect the simulated threat intelligence feed of malicious FQDNs:</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curl 127.0.0.1/bad_DNS.feed</w:t>
            </w:r>
          </w:p>
        </w:tc>
      </w:tr>
    </w:tbl>
    <w:p>
      <w:pPr>
        <w:spacing w:after="40"/>
      </w:pPr>
    </w:p>
    <w:p>
      <w:pPr>
        <w:spacing w:after="80"/>
      </w:pPr>
      <w:r>
        <w:t>Observation: The feed outputs malicious FQDNs including badsite.ru and reallybadsite.com.</w:t>
      </w:r>
    </w:p>
    <w:p>
      <w:pPr>
        <w:spacing w:before="120" w:after="40"/>
      </w:pPr>
      <w:r>
        <w:rPr>
          <w:b/>
          <w:color w:val="2B6CB0"/>
        </w:rPr>
        <w:t xml:space="preserve">Step 2: </w:t>
      </w:r>
      <w:r>
        <w:rPr>
          <w:b/>
          <w:color w:val="1A365D"/>
        </w:rPr>
        <w:t>Author Automated Ingestion &amp; Sinkhole Script (block-DNS.sh)</w:t>
      </w:r>
    </w:p>
    <w:p>
      <w:pPr>
        <w:spacing w:before="0" w:after="60"/>
      </w:pPr>
      <w:r>
        <w:t>Open vim to create the automated ingestion script:</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vim block-DNS.sh</w:t>
            </w:r>
          </w:p>
        </w:tc>
      </w:tr>
    </w:tbl>
    <w:p>
      <w:pPr>
        <w:spacing w:after="40"/>
      </w:pPr>
    </w:p>
    <w:p>
      <w:pPr>
        <w:spacing w:after="40"/>
      </w:pPr>
      <w:r>
        <w:t>Type i to enter Insert mode, then input the following bash script:</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#!/bin/bash</w:t>
              <w:br/>
              <w:t>echo '  ' &gt;&gt; /etc/hosts</w:t>
              <w:br/>
              <w:t>echo '## Bad DNS' &gt;&gt; /etc/hosts</w:t>
              <w:br/>
              <w:t>curl -s 127.0.0.1/bad_DNS.feed | while read fqdn; do</w:t>
              <w:br/>
              <w:t xml:space="preserve">    echo "127.0.0.1 $fqdn" &gt;&gt; /etc/hosts</w:t>
              <w:br/>
              <w:t>done</w:t>
              <w:br/>
              <w:t>awk '!x[$0]++' /etc/hosts &gt; /tmp/hosts</w:t>
              <w:br/>
              <w:t>mv /tmp/hosts /etc/hosts</w:t>
            </w:r>
          </w:p>
        </w:tc>
      </w:tr>
    </w:tbl>
    <w:p>
      <w:pPr>
        <w:spacing w:after="40"/>
      </w:pPr>
    </w:p>
    <w:p>
      <w:pPr>
        <w:spacing w:after="40"/>
      </w:pPr>
      <w:r>
        <w:t>Press ESC, then type :wq and press Enter to save and exit.</w:t>
      </w: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Automation Breakdown: </w:t>
            </w:r>
            <w:r>
              <w:rPr>
                <w:rFonts w:ascii="Arial" w:hAnsi="Arial"/>
                <w:color w:val="2D3748"/>
                <w:sz w:val="19"/>
              </w:rPr>
              <w:t>Script Mechanics: Maps each malicious domain to the local loopback (127.0.0.1), preventing outbound network egress. The awk command automatically deduplicates /etc/hosts entries on each run.</w:t>
            </w:r>
          </w:p>
        </w:tc>
      </w:tr>
    </w:tbl>
    <w:p>
      <w:pPr>
        <w:spacing w:after="40"/>
      </w:pPr>
    </w:p>
    <w:p>
      <w:pPr>
        <w:spacing w:before="120" w:after="40"/>
      </w:pPr>
      <w:r>
        <w:rPr>
          <w:b/>
          <w:color w:val="2B6CB0"/>
        </w:rPr>
        <w:t xml:space="preserve">Step 3: </w:t>
      </w:r>
      <w:r>
        <w:rPr>
          <w:b/>
          <w:color w:val="1A365D"/>
        </w:rPr>
        <w:t>Make Executable, Run Script &amp; Verify Host File</w:t>
      </w:r>
    </w:p>
    <w:p>
      <w:pPr>
        <w:spacing w:before="0" w:after="60"/>
      </w:pPr>
      <w:r>
        <w:t>Grant execute permissions and run the script:</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chmod +x block-DNS.sh</w:t>
              <w:br/>
              <w:t>./block-DNS.sh</w:t>
              <w:br/>
              <w:t>cat /etc/hosts</w:t>
            </w:r>
          </w:p>
        </w:tc>
      </w:tr>
    </w:tbl>
    <w:p>
      <w:pPr>
        <w:spacing w:after="40"/>
      </w:pPr>
    </w:p>
    <w:p>
      <w:pPr>
        <w:spacing w:before="120" w:after="40"/>
      </w:pPr>
      <w:r>
        <w:rPr>
          <w:b/>
          <w:color w:val="2B6CB0"/>
        </w:rPr>
        <w:t xml:space="preserve">Step 4: </w:t>
      </w:r>
      <w:r>
        <w:rPr>
          <w:b/>
          <w:color w:val="1A365D"/>
        </w:rPr>
        <w:t>Validate DNS Sinkhole Blocking with Ping</w:t>
      </w:r>
    </w:p>
    <w:p>
      <w:pPr>
        <w:spacing w:before="0" w:after="60"/>
      </w:pPr>
      <w:r>
        <w:t>Test that name resolution redirects to loopback and suppresses outbound connections:</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ping reallybadsite.com -c 4</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Borders>
              <w:left w:val="single" w:sz="24" w:space="0" w:color="D97706"/>
              <w:top w:val="none"/>
              <w:right w:val="none"/>
              <w:bottom w:val="none"/>
            </w:tcBorders>
          </w:tcPr>
          <w:p>
            <w:pPr>
              <w:spacing w:before="0" w:after="40"/>
            </w:pPr>
            <w:r>
              <w:rPr>
                <w:rFonts w:ascii="Arial" w:hAnsi="Arial"/>
                <w:b/>
                <w:color w:val="1A365D"/>
                <w:sz w:val="19"/>
              </w:rPr>
              <w:t xml:space="preserve">📌 KNOWLEDGE CHECK: SINKHOLE VERIFICATION: </w:t>
            </w:r>
            <w:r>
              <w:rPr>
                <w:rFonts w:ascii="Arial" w:hAnsi="Arial"/>
                <w:color w:val="2D3748"/>
                <w:sz w:val="19"/>
              </w:rPr>
              <w:t>Question: Which of the following statements are true in regards to the output from the ping command just entered?</w:t>
              <w:br/>
              <w:t>Options:</w:t>
              <w:br/>
              <w:t xml:space="preserve">  • The domain name resolves to the loopback address (TRUE: Resolves to 127.0.0.1)</w:t>
              <w:br/>
              <w:t xml:space="preserve">  • The query operations are being filtered</w:t>
              <w:br/>
              <w:t xml:space="preserve">  • The FQDN resolves to a public IP address</w:t>
              <w:br/>
              <w:t xml:space="preserve">  • No ECHO_REPLIES are received (TRUE: Loopback does not listen on ICMP for external hosts)</w:t>
              <w:br/>
              <w:br/>
              <w:t>Correct Answers:</w:t>
              <w:br/>
              <w:t xml:space="preserve">  1. The domain name resolves to the loopback address</w:t>
              <w:br/>
              <w:t xml:space="preserve">  2. No ECHO_REPLIES are received</w:t>
            </w:r>
          </w:p>
        </w:tc>
      </w:tr>
    </w:tbl>
    <w:p>
      <w:pPr>
        <w:spacing w:after="40"/>
      </w:pPr>
    </w:p>
    <w:p>
      <w:pPr>
        <w:spacing w:before="120" w:after="40"/>
      </w:pPr>
      <w:r>
        <w:rPr>
          <w:b/>
          <w:color w:val="2B6CB0"/>
        </w:rPr>
        <w:t xml:space="preserve">Step 5: </w:t>
      </w:r>
      <w:r>
        <w:rPr>
          <w:b/>
          <w:color w:val="1A365D"/>
        </w:rPr>
        <w:t>Automate Daily Feed Ingestion via Crontab</w:t>
      </w:r>
    </w:p>
    <w:p>
      <w:pPr>
        <w:spacing w:before="0" w:after="60"/>
      </w:pPr>
      <w:r>
        <w:t>Schedule the script to execute automatically every day at 03:00 AM:</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echo "0 3 * * * /bin/bash /root/block-DNS.sh" | crontab -</w:t>
              <w:br/>
              <w:t>crontab -l</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Cron Scheduling: </w:t>
            </w:r>
            <w:r>
              <w:rPr>
                <w:rFonts w:ascii="Arial" w:hAnsi="Arial"/>
                <w:color w:val="2D3748"/>
                <w:sz w:val="19"/>
              </w:rPr>
              <w:t>Crontab Syntax Breakdown: 0 (minute 0), 3 (hour 03:00 / 3 AM), * * * (every day of month, every month, every day of week).</w:t>
            </w:r>
          </w:p>
        </w:tc>
      </w:tr>
    </w:tbl>
    <w:p>
      <w:pPr>
        <w:spacing w:after="40"/>
      </w:pPr>
    </w:p>
    <w:p>
      <w:pPr>
        <w:pStyle w:val="Heading1"/>
        <w:spacing w:before="200" w:after="80"/>
      </w:pPr>
      <w:r>
        <w:rPr>
          <w:color w:val="1A365D"/>
          <w:sz w:val="28"/>
        </w:rPr>
        <w:t>4. Exercise 3: DNS Reconnaissance using nslookup</w:t>
      </w:r>
    </w:p>
    <w:p>
      <w:pPr>
        <w:spacing w:after="80"/>
      </w:pPr>
      <w:r>
        <w:t>Security analysts must be proficient in extracting DNS resource records (A, AAAA, SOA, NS, MX, CNAME, PTR) to trace adversarial infrastructure, detect phishing domains, and determine authoritative points of contact. Execute these steps on your local host terminal with active Internet access.</w:t>
      </w:r>
    </w:p>
    <w:p>
      <w:pPr>
        <w:spacing w:before="120" w:after="40"/>
      </w:pPr>
      <w:r>
        <w:rPr>
          <w:b/>
          <w:color w:val="2B6CB0"/>
        </w:rPr>
        <w:t xml:space="preserve">Step 1: </w:t>
      </w:r>
      <w:r>
        <w:rPr>
          <w:b/>
          <w:color w:val="1A365D"/>
        </w:rPr>
        <w:t>Enter Interactive Mode &amp; Check Default Resolver</w:t>
      </w:r>
    </w:p>
    <w:p>
      <w:pPr>
        <w:spacing w:before="0" w:after="60"/>
      </w:pPr>
      <w:r>
        <w:t>Open a terminal/command prompt on your local computer.</w:t>
      </w:r>
    </w:p>
    <w:p>
      <w:pPr>
        <w:spacing w:before="0" w:after="60"/>
      </w:pPr>
      <w:r>
        <w:t>Launch nslookup in interactive mode and check your default resolver:</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nslookup</w:t>
              <w:br/>
              <w:t>server</w:t>
            </w:r>
          </w:p>
        </w:tc>
      </w:tr>
    </w:tbl>
    <w:p>
      <w:pPr>
        <w:spacing w:after="40"/>
      </w:pPr>
    </w:p>
    <w:p>
      <w:pPr>
        <w:spacing w:before="120" w:after="40"/>
      </w:pPr>
      <w:r>
        <w:rPr>
          <w:b/>
          <w:color w:val="2B6CB0"/>
        </w:rPr>
        <w:t xml:space="preserve">Step 2: </w:t>
      </w:r>
      <w:r>
        <w:rPr>
          <w:b/>
          <w:color w:val="1A365D"/>
        </w:rPr>
        <w:t>Query Target Domain &amp; Observe Non-Authoritative Caching</w:t>
      </w:r>
    </w:p>
    <w:p>
      <w:pPr>
        <w:spacing w:before="0" w:after="60"/>
      </w:pPr>
      <w:r>
        <w:t>Query the target domain www.comptia.org:</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www.comptia.org</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DNS Caching Caveat: </w:t>
            </w:r>
            <w:r>
              <w:rPr>
                <w:rFonts w:ascii="Arial" w:hAnsi="Arial"/>
                <w:color w:val="2D3748"/>
                <w:sz w:val="19"/>
              </w:rPr>
              <w:t>Non-Authoritative Answer: This caveat indicates the result was retrieved from a local recursive caching server (such as your ISP or local router) rather than directly from the domain's authoritative nameserver.</w:t>
            </w:r>
          </w:p>
        </w:tc>
      </w:tr>
    </w:tbl>
    <w:p>
      <w:pPr>
        <w:spacing w:after="40"/>
      </w:pPr>
    </w:p>
    <w:p>
      <w:pPr>
        <w:spacing w:before="120" w:after="40"/>
      </w:pPr>
      <w:r>
        <w:rPr>
          <w:b/>
          <w:color w:val="2B6CB0"/>
        </w:rPr>
        <w:t xml:space="preserve">Step 3: </w:t>
      </w:r>
      <w:r>
        <w:rPr>
          <w:b/>
          <w:color w:val="1A365D"/>
        </w:rPr>
        <w:t>Extract Start of Authority (SOA) Record</w:t>
      </w:r>
    </w:p>
    <w:p>
      <w:pPr>
        <w:spacing w:before="0" w:after="60"/>
      </w:pPr>
      <w:r>
        <w:t>Switch record type to SOA to locate the master zone authority and administration details:</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set type=SOA</w:t>
              <w:br/>
              <w:t>comptia.org</w:t>
            </w:r>
          </w:p>
        </w:tc>
      </w:tr>
    </w:tbl>
    <w:p>
      <w:pPr>
        <w:spacing w:after="40"/>
      </w:pPr>
    </w:p>
    <w:p>
      <w:pPr>
        <w:spacing w:after="40"/>
      </w:pPr>
      <w:r>
        <w:t>Review SOA attributes returned:</w:t>
      </w:r>
    </w:p>
    <w:p>
      <w:pPr>
        <w:pStyle w:val="ListBullet"/>
        <w:spacing w:after="40"/>
      </w:pPr>
      <w:r>
        <w:rPr>
          <w:b/>
        </w:rPr>
        <w:t xml:space="preserve">origin: </w:t>
      </w:r>
      <w:r>
        <w:t>Primary master authoritative DNS nameserver for the zone (e.g., armando.ns.cloudflare.com).</w:t>
      </w:r>
    </w:p>
    <w:p>
      <w:pPr>
        <w:pStyle w:val="ListBullet"/>
        <w:spacing w:after="40"/>
      </w:pPr>
      <w:r>
        <w:rPr>
          <w:b/>
        </w:rPr>
        <w:t xml:space="preserve">mail addr: </w:t>
      </w:r>
      <w:r>
        <w:t>Responsible administrator contact (e.g., dns.cloudflare.com -&gt; dns@cloudflare.com; the first period represents the @ sign).</w:t>
      </w:r>
    </w:p>
    <w:p>
      <w:pPr>
        <w:pStyle w:val="ListBullet"/>
        <w:spacing w:after="40"/>
      </w:pPr>
      <w:r>
        <w:rPr>
          <w:b/>
        </w:rPr>
        <w:t xml:space="preserve">serial: </w:t>
      </w:r>
      <w:r>
        <w:t>Zone file revision tracking number; increments on every record modification.</w:t>
      </w:r>
    </w:p>
    <w:p>
      <w:pPr>
        <w:pStyle w:val="ListBullet"/>
        <w:spacing w:after="40"/>
      </w:pPr>
      <w:r>
        <w:rPr>
          <w:b/>
        </w:rPr>
        <w:t xml:space="preserve">refresh / retry / expire: </w:t>
      </w:r>
      <w:r>
        <w:t>Timers in seconds governing secondary slave nameserver synchronization (e.g., 604800s = 7 days).</w:t>
      </w:r>
    </w:p>
    <w:tbl>
      <w:tblPr>
        <w:tblW w:type="auto" w:w="0"/>
        <w:jc w:val="center"/>
        <w:tblLayout w:type="fixed"/>
        <w:tblLook w:firstColumn="1" w:firstRow="1" w:lastColumn="0" w:lastRow="0" w:noHBand="0" w:noVBand="1" w:val="04A0"/>
      </w:tblPr>
      <w:tblGrid>
        <w:gridCol w:w="9936"/>
      </w:tblGrid>
      <w:tr>
        <w:tc>
          <w:tcPr>
            <w:tcW w:type="dxa" w:w="9936"/>
            <w:shd w:fill="E6FFFA"/>
            <w:tcMar>
              <w:top w:w="120" w:type="dxa"/>
              <w:bottom w:w="120" w:type="dxa"/>
              <w:left w:w="180" w:type="dxa"/>
              <w:right w:w="180" w:type="dxa"/>
            </w:tcMar>
            <w:tcBorders>
              <w:left w:val="single" w:sz="24" w:space="0" w:color="319795"/>
              <w:top w:val="none"/>
              <w:right w:val="none"/>
              <w:bottom w:val="none"/>
            </w:tcBorders>
          </w:tcPr>
          <w:p>
            <w:pPr>
              <w:spacing w:before="0" w:after="40"/>
            </w:pPr>
            <w:r>
              <w:rPr>
                <w:rFonts w:ascii="Arial" w:hAnsi="Arial"/>
                <w:b/>
                <w:color w:val="1A365D"/>
                <w:sz w:val="19"/>
              </w:rPr>
              <w:t xml:space="preserve">📌 KNOWLEDGE CHECK: SOA CONTACT RESOLUTION: </w:t>
            </w:r>
            <w:r>
              <w:rPr>
                <w:rFonts w:ascii="Arial" w:hAnsi="Arial"/>
                <w:color w:val="2D3748"/>
                <w:sz w:val="19"/>
              </w:rPr>
              <w:t>Question: If there is an abuse or a problem related to the domain name comptia.org, what contact point should be used to report the issue?</w:t>
              <w:br/>
              <w:t>Options: [abuse@dns.cloudflare.com] [armando.ns.cloudflare.com] [abuse@dns.cloudflare.com] [dns@cloudflare.com]</w:t>
              <w:br/>
              <w:t>Correct Answer: dns@cloudflare.com (DNS SOA convention converts the first dot in mail addr to an '@' sign).</w:t>
            </w:r>
          </w:p>
        </w:tc>
      </w:tr>
    </w:tbl>
    <w:p>
      <w:pPr>
        <w:spacing w:after="40"/>
      </w:pPr>
    </w:p>
    <w:p>
      <w:pPr>
        <w:spacing w:before="120" w:after="40"/>
      </w:pPr>
      <w:r>
        <w:rPr>
          <w:b/>
          <w:color w:val="2B6CB0"/>
        </w:rPr>
        <w:t xml:space="preserve">Step 4: </w:t>
      </w:r>
      <w:r>
        <w:rPr>
          <w:b/>
          <w:color w:val="1A365D"/>
        </w:rPr>
        <w:t>Resolve Primary Nameserver IP &amp; Query Authoritatively</w:t>
      </w:r>
    </w:p>
    <w:p>
      <w:pPr>
        <w:spacing w:before="0" w:after="60"/>
      </w:pPr>
      <w:r>
        <w:t>Resolve the IP of the authoritative origin server and set it as your query target:</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set type=a</w:t>
              <w:br/>
              <w:t>armando.ns.cloudflare.com</w:t>
              <w:br/>
              <w:t>server &lt;IP_OF_ARMANDO&gt;   # e.g., server 172.64.32.79 or server 8.8.8.8</w:t>
              <w:br/>
              <w:t>www.comptia.org</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Authoritative Validation: </w:t>
            </w:r>
            <w:r>
              <w:rPr>
                <w:rFonts w:ascii="Arial" w:hAnsi="Arial"/>
                <w:color w:val="2D3748"/>
                <w:sz w:val="19"/>
              </w:rPr>
              <w:t>Notice that the 'Non-authoritative answer' warning disappears because you are querying the authoritative nameserver directly.</w:t>
            </w:r>
          </w:p>
        </w:tc>
      </w:tr>
    </w:tbl>
    <w:p>
      <w:pPr>
        <w:spacing w:after="40"/>
      </w:pPr>
    </w:p>
    <w:p>
      <w:pPr>
        <w:spacing w:before="120" w:after="40"/>
      </w:pPr>
      <w:r>
        <w:rPr>
          <w:b/>
          <w:color w:val="2B6CB0"/>
        </w:rPr>
        <w:t xml:space="preserve">Step 5: </w:t>
      </w:r>
      <w:r>
        <w:rPr>
          <w:b/>
          <w:color w:val="1A365D"/>
        </w:rPr>
        <w:t>Enumerate NS, MX, and CNAME Records</w:t>
      </w:r>
    </w:p>
    <w:p>
      <w:pPr>
        <w:spacing w:before="0" w:after="60"/>
      </w:pPr>
      <w:r>
        <w:t>Extract the complete infrastructure map for comptia.org:</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set type=ns</w:t>
              <w:br/>
              <w:t>comptia.org              # Displays all authoritative nameservers (Cloudflare NS)</w:t>
              <w:br/>
              <w:t>set type=mx</w:t>
              <w:br/>
              <w:t>comptia.org              # Displays Mail Exchanger servers handling SMTP traffic</w:t>
              <w:br/>
              <w:t>set type=cname</w:t>
              <w:br/>
              <w:t>store.comptia.org        # Displays canonical alias (e.g., store-comptia-org.kibocloud.com)</w:t>
              <w:br/>
              <w:t>exit                     # Exit nslookup interactive mode</w:t>
            </w:r>
          </w:p>
        </w:tc>
      </w:tr>
    </w:tbl>
    <w:p>
      <w:pPr>
        <w:spacing w:after="40"/>
      </w:pPr>
    </w:p>
    <w:p>
      <w:pPr>
        <w:pStyle w:val="Heading1"/>
        <w:spacing w:before="200" w:after="80"/>
      </w:pPr>
      <w:r>
        <w:rPr>
          <w:color w:val="1A365D"/>
          <w:sz w:val="28"/>
        </w:rPr>
        <w:t>5. Exercise 4: DNS Reconnaissance using dig</w:t>
      </w:r>
    </w:p>
    <w:p>
      <w:pPr>
        <w:spacing w:after="80"/>
      </w:pPr>
      <w:r>
        <w:t>The Domain Information Groper (dig) is a flexible command-line tool standard on Linux and macOS (available on Windows via BIND tools). Unlike nslookup, dig produces detailed, scriptable output ideal for capturing evidence during incident response and threat investigations.</w:t>
      </w:r>
    </w:p>
    <w:p>
      <w:pPr>
        <w:spacing w:before="120" w:after="40"/>
      </w:pPr>
      <w:r>
        <w:rPr>
          <w:b/>
          <w:color w:val="2B6CB0"/>
        </w:rPr>
        <w:t xml:space="preserve">Step 1: </w:t>
      </w:r>
      <w:r>
        <w:rPr>
          <w:b/>
          <w:color w:val="1A365D"/>
        </w:rPr>
        <w:t>Query SOA &amp; Resolve Authoritative Nameserver IP</w:t>
      </w:r>
    </w:p>
    <w:p>
      <w:pPr>
        <w:spacing w:before="0" w:after="60"/>
      </w:pPr>
      <w:r>
        <w:t>Execute targeted single-command queries directly from your terminal:</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dig -t SOA comptia.org</w:t>
              <w:br/>
              <w:t>dig -t A armando.ns.cloudflare.com</w:t>
            </w:r>
          </w:p>
        </w:tc>
      </w:tr>
    </w:tbl>
    <w:p>
      <w:pPr>
        <w:spacing w:after="40"/>
      </w:pPr>
    </w:p>
    <w:p>
      <w:pPr>
        <w:spacing w:before="120" w:after="40"/>
      </w:pPr>
      <w:r>
        <w:rPr>
          <w:b/>
          <w:color w:val="2B6CB0"/>
        </w:rPr>
        <w:t xml:space="preserve">Step 2: </w:t>
      </w:r>
      <w:r>
        <w:rPr>
          <w:b/>
          <w:color w:val="1A365D"/>
        </w:rPr>
        <w:t>Perform Explicit Authoritative Lookups with dig</w:t>
      </w:r>
    </w:p>
    <w:p>
      <w:pPr>
        <w:spacing w:before="0" w:after="60"/>
      </w:pPr>
      <w:r>
        <w:t>Target the specific authoritative nameserver using the @&lt;server&gt; syntax to query A, MX, NS, and CNAME records:</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 Query A record directly against authoritative nameserver</w:t>
              <w:br/>
              <w:t>dig @armando.ns.cloudflare.com -t A www.comptia.org</w:t>
              <w:br/>
              <w:br/>
              <w:t># Query Mail Exchanger (MX) records</w:t>
              <w:br/>
              <w:t>dig @armando.ns.cloudflare.com -t MX comptia.org</w:t>
              <w:br/>
              <w:br/>
              <w:t># Query Name Server (NS) records</w:t>
              <w:br/>
              <w:t>dig @armando.ns.cloudflare.com -t NS comptia.org</w:t>
              <w:br/>
              <w:br/>
              <w:t># Query Canonical Name (CNAME) alias records</w:t>
              <w:br/>
              <w:t>dig @armando.ns.cloudflare.com -t CNAME store.comptia.org</w:t>
            </w:r>
          </w:p>
        </w:tc>
      </w:tr>
    </w:tbl>
    <w:p>
      <w:pPr>
        <w:spacing w:after="40"/>
      </w:pPr>
    </w:p>
    <w:p>
      <w:pPr>
        <w:pStyle w:val="Heading1"/>
        <w:spacing w:before="200" w:after="80"/>
      </w:pPr>
      <w:r>
        <w:rPr>
          <w:color w:val="1A365D"/>
          <w:sz w:val="28"/>
        </w:rPr>
        <w:t>6. DNS Resource Record &amp; Tool Reference Matrix</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1A365D"/>
            <w:tcMar>
              <w:top w:w="80" w:type="dxa"/>
              <w:bottom w:w="80" w:type="dxa"/>
              <w:left w:w="100" w:type="dxa"/>
              <w:right w:w="100" w:type="dxa"/>
            </w:tcMar>
          </w:tcPr>
          <w:p>
            <w:pPr>
              <w:spacing w:after="0"/>
            </w:pPr>
            <w:r>
              <w:rPr>
                <w:b/>
                <w:color w:val="FFFFFF"/>
                <w:sz w:val="18"/>
              </w:rPr>
              <w:t>Record Type</w:t>
            </w:r>
          </w:p>
        </w:tc>
        <w:tc>
          <w:tcPr>
            <w:tcW w:type="dxa" w:w="2880"/>
            <w:shd w:fill="1A365D"/>
            <w:tcMar>
              <w:top w:w="80" w:type="dxa"/>
              <w:bottom w:w="80" w:type="dxa"/>
              <w:left w:w="100" w:type="dxa"/>
              <w:right w:w="100" w:type="dxa"/>
            </w:tcMar>
          </w:tcPr>
          <w:p>
            <w:pPr>
              <w:spacing w:after="0"/>
            </w:pPr>
            <w:r>
              <w:rPr>
                <w:b/>
                <w:color w:val="FFFFFF"/>
                <w:sz w:val="18"/>
              </w:rPr>
              <w:t>Full Protocol Name</w:t>
            </w:r>
          </w:p>
        </w:tc>
        <w:tc>
          <w:tcPr>
            <w:tcW w:type="dxa" w:w="5328"/>
            <w:shd w:fill="1A365D"/>
            <w:tcMar>
              <w:top w:w="80" w:type="dxa"/>
              <w:bottom w:w="80" w:type="dxa"/>
              <w:left w:w="100" w:type="dxa"/>
              <w:right w:w="100" w:type="dxa"/>
            </w:tcMar>
          </w:tcPr>
          <w:p>
            <w:pPr>
              <w:spacing w:after="0"/>
            </w:pPr>
            <w:r>
              <w:rPr>
                <w:b/>
                <w:color w:val="FFFFFF"/>
                <w:sz w:val="18"/>
              </w:rPr>
              <w:t>Forensic &amp; Operational Purpose</w:t>
            </w:r>
          </w:p>
        </w:tc>
      </w:tr>
      <w:tr>
        <w:tc>
          <w:tcPr>
            <w:tcW w:type="dxa" w:w="1728"/>
            <w:shd w:fill="F7FAFC"/>
            <w:tcMar>
              <w:top w:w="60" w:type="dxa"/>
              <w:bottom w:w="60" w:type="dxa"/>
              <w:left w:w="100" w:type="dxa"/>
              <w:right w:w="100" w:type="dxa"/>
            </w:tcMar>
          </w:tcPr>
          <w:p>
            <w:pPr>
              <w:spacing w:after="0"/>
            </w:pPr>
            <w:r>
              <w:rPr>
                <w:b/>
                <w:color w:val="2B6CB0"/>
                <w:sz w:val="17"/>
              </w:rPr>
              <w:t>A</w:t>
            </w:r>
          </w:p>
        </w:tc>
        <w:tc>
          <w:tcPr>
            <w:tcW w:type="dxa" w:w="2880"/>
            <w:shd w:fill="F7FAFC"/>
            <w:tcMar>
              <w:top w:w="60" w:type="dxa"/>
              <w:bottom w:w="60" w:type="dxa"/>
              <w:left w:w="100" w:type="dxa"/>
              <w:right w:w="100" w:type="dxa"/>
            </w:tcMar>
          </w:tcPr>
          <w:p>
            <w:pPr>
              <w:spacing w:after="0"/>
            </w:pPr>
            <w:r>
              <w:rPr>
                <w:sz w:val="17"/>
              </w:rPr>
              <w:t>Address Record (IPv4)</w:t>
            </w:r>
          </w:p>
        </w:tc>
        <w:tc>
          <w:tcPr>
            <w:tcW w:type="dxa" w:w="5328"/>
            <w:shd w:fill="F7FAFC"/>
            <w:tcMar>
              <w:top w:w="60" w:type="dxa"/>
              <w:bottom w:w="60" w:type="dxa"/>
              <w:left w:w="100" w:type="dxa"/>
              <w:right w:w="100" w:type="dxa"/>
            </w:tcMar>
          </w:tcPr>
          <w:p>
            <w:pPr>
              <w:spacing w:after="0"/>
            </w:pPr>
            <w:r>
              <w:rPr>
                <w:sz w:val="17"/>
              </w:rPr>
              <w:t>Maps FQDN to a 32-bit IPv4 address (Type 1 in Windows logs).</w:t>
            </w:r>
          </w:p>
        </w:tc>
      </w:tr>
      <w:tr>
        <w:tc>
          <w:tcPr>
            <w:tcW w:type="dxa" w:w="1728"/>
            <w:shd w:fill="FFFFFF"/>
            <w:tcMar>
              <w:top w:w="60" w:type="dxa"/>
              <w:bottom w:w="60" w:type="dxa"/>
              <w:left w:w="100" w:type="dxa"/>
              <w:right w:w="100" w:type="dxa"/>
            </w:tcMar>
          </w:tcPr>
          <w:p>
            <w:pPr>
              <w:spacing w:after="0"/>
            </w:pPr>
            <w:r>
              <w:rPr>
                <w:b/>
                <w:color w:val="2B6CB0"/>
                <w:sz w:val="17"/>
              </w:rPr>
              <w:t>AAAA</w:t>
            </w:r>
          </w:p>
        </w:tc>
        <w:tc>
          <w:tcPr>
            <w:tcW w:type="dxa" w:w="2880"/>
            <w:shd w:fill="FFFFFF"/>
            <w:tcMar>
              <w:top w:w="60" w:type="dxa"/>
              <w:bottom w:w="60" w:type="dxa"/>
              <w:left w:w="100" w:type="dxa"/>
              <w:right w:w="100" w:type="dxa"/>
            </w:tcMar>
          </w:tcPr>
          <w:p>
            <w:pPr>
              <w:spacing w:after="0"/>
            </w:pPr>
            <w:r>
              <w:rPr>
                <w:sz w:val="17"/>
              </w:rPr>
              <w:t>IPv6 Address Record</w:t>
            </w:r>
          </w:p>
        </w:tc>
        <w:tc>
          <w:tcPr>
            <w:tcW w:type="dxa" w:w="5328"/>
            <w:shd w:fill="FFFFFF"/>
            <w:tcMar>
              <w:top w:w="60" w:type="dxa"/>
              <w:bottom w:w="60" w:type="dxa"/>
              <w:left w:w="100" w:type="dxa"/>
              <w:right w:w="100" w:type="dxa"/>
            </w:tcMar>
          </w:tcPr>
          <w:p>
            <w:pPr>
              <w:spacing w:after="0"/>
            </w:pPr>
            <w:r>
              <w:rPr>
                <w:sz w:val="17"/>
              </w:rPr>
              <w:t>Maps FQDN to a 128-bit IPv6 address (Type 28 in Windows logs).</w:t>
            </w:r>
          </w:p>
        </w:tc>
      </w:tr>
      <w:tr>
        <w:tc>
          <w:tcPr>
            <w:tcW w:type="dxa" w:w="1728"/>
            <w:shd w:fill="F7FAFC"/>
            <w:tcMar>
              <w:top w:w="60" w:type="dxa"/>
              <w:bottom w:w="60" w:type="dxa"/>
              <w:left w:w="100" w:type="dxa"/>
              <w:right w:w="100" w:type="dxa"/>
            </w:tcMar>
          </w:tcPr>
          <w:p>
            <w:pPr>
              <w:spacing w:after="0"/>
            </w:pPr>
            <w:r>
              <w:rPr>
                <w:b/>
                <w:color w:val="2B6CB0"/>
                <w:sz w:val="17"/>
              </w:rPr>
              <w:t>SOA</w:t>
            </w:r>
          </w:p>
        </w:tc>
        <w:tc>
          <w:tcPr>
            <w:tcW w:type="dxa" w:w="2880"/>
            <w:shd w:fill="F7FAFC"/>
            <w:tcMar>
              <w:top w:w="60" w:type="dxa"/>
              <w:bottom w:w="60" w:type="dxa"/>
              <w:left w:w="100" w:type="dxa"/>
              <w:right w:w="100" w:type="dxa"/>
            </w:tcMar>
          </w:tcPr>
          <w:p>
            <w:pPr>
              <w:spacing w:after="0"/>
            </w:pPr>
            <w:r>
              <w:rPr>
                <w:sz w:val="17"/>
              </w:rPr>
              <w:t>Start of Authority</w:t>
            </w:r>
          </w:p>
        </w:tc>
        <w:tc>
          <w:tcPr>
            <w:tcW w:type="dxa" w:w="5328"/>
            <w:shd w:fill="F7FAFC"/>
            <w:tcMar>
              <w:top w:w="60" w:type="dxa"/>
              <w:bottom w:w="60" w:type="dxa"/>
              <w:left w:w="100" w:type="dxa"/>
              <w:right w:w="100" w:type="dxa"/>
            </w:tcMar>
          </w:tcPr>
          <w:p>
            <w:pPr>
              <w:spacing w:after="0"/>
            </w:pPr>
            <w:r>
              <w:rPr>
                <w:sz w:val="17"/>
              </w:rPr>
              <w:t>Identifies master zone server, admin email contact, and zone refresh timers.</w:t>
            </w:r>
          </w:p>
        </w:tc>
      </w:tr>
      <w:tr>
        <w:tc>
          <w:tcPr>
            <w:tcW w:type="dxa" w:w="1728"/>
            <w:shd w:fill="FFFFFF"/>
            <w:tcMar>
              <w:top w:w="60" w:type="dxa"/>
              <w:bottom w:w="60" w:type="dxa"/>
              <w:left w:w="100" w:type="dxa"/>
              <w:right w:w="100" w:type="dxa"/>
            </w:tcMar>
          </w:tcPr>
          <w:p>
            <w:pPr>
              <w:spacing w:after="0"/>
            </w:pPr>
            <w:r>
              <w:rPr>
                <w:b/>
                <w:color w:val="2B6CB0"/>
                <w:sz w:val="17"/>
              </w:rPr>
              <w:t>NS</w:t>
            </w:r>
          </w:p>
        </w:tc>
        <w:tc>
          <w:tcPr>
            <w:tcW w:type="dxa" w:w="2880"/>
            <w:shd w:fill="FFFFFF"/>
            <w:tcMar>
              <w:top w:w="60" w:type="dxa"/>
              <w:bottom w:w="60" w:type="dxa"/>
              <w:left w:w="100" w:type="dxa"/>
              <w:right w:w="100" w:type="dxa"/>
            </w:tcMar>
          </w:tcPr>
          <w:p>
            <w:pPr>
              <w:spacing w:after="0"/>
            </w:pPr>
            <w:r>
              <w:rPr>
                <w:sz w:val="17"/>
              </w:rPr>
              <w:t>Name Server</w:t>
            </w:r>
          </w:p>
        </w:tc>
        <w:tc>
          <w:tcPr>
            <w:tcW w:type="dxa" w:w="5328"/>
            <w:shd w:fill="FFFFFF"/>
            <w:tcMar>
              <w:top w:w="60" w:type="dxa"/>
              <w:bottom w:w="60" w:type="dxa"/>
              <w:left w:w="100" w:type="dxa"/>
              <w:right w:w="100" w:type="dxa"/>
            </w:tcMar>
          </w:tcPr>
          <w:p>
            <w:pPr>
              <w:spacing w:after="0"/>
            </w:pPr>
            <w:r>
              <w:rPr>
                <w:sz w:val="17"/>
              </w:rPr>
              <w:t>Identifies all authoritative DNS servers delegated to resolve queries for the domain.</w:t>
            </w:r>
          </w:p>
        </w:tc>
      </w:tr>
      <w:tr>
        <w:tc>
          <w:tcPr>
            <w:tcW w:type="dxa" w:w="1728"/>
            <w:shd w:fill="F7FAFC"/>
            <w:tcMar>
              <w:top w:w="60" w:type="dxa"/>
              <w:bottom w:w="60" w:type="dxa"/>
              <w:left w:w="100" w:type="dxa"/>
              <w:right w:w="100" w:type="dxa"/>
            </w:tcMar>
          </w:tcPr>
          <w:p>
            <w:pPr>
              <w:spacing w:after="0"/>
            </w:pPr>
            <w:r>
              <w:rPr>
                <w:b/>
                <w:color w:val="2B6CB0"/>
                <w:sz w:val="17"/>
              </w:rPr>
              <w:t>MX</w:t>
            </w:r>
          </w:p>
        </w:tc>
        <w:tc>
          <w:tcPr>
            <w:tcW w:type="dxa" w:w="2880"/>
            <w:shd w:fill="F7FAFC"/>
            <w:tcMar>
              <w:top w:w="60" w:type="dxa"/>
              <w:bottom w:w="60" w:type="dxa"/>
              <w:left w:w="100" w:type="dxa"/>
              <w:right w:w="100" w:type="dxa"/>
            </w:tcMar>
          </w:tcPr>
          <w:p>
            <w:pPr>
              <w:spacing w:after="0"/>
            </w:pPr>
            <w:r>
              <w:rPr>
                <w:sz w:val="17"/>
              </w:rPr>
              <w:t>Mail Exchanger</w:t>
            </w:r>
          </w:p>
        </w:tc>
        <w:tc>
          <w:tcPr>
            <w:tcW w:type="dxa" w:w="5328"/>
            <w:shd w:fill="F7FAFC"/>
            <w:tcMar>
              <w:top w:w="60" w:type="dxa"/>
              <w:bottom w:w="60" w:type="dxa"/>
              <w:left w:w="100" w:type="dxa"/>
              <w:right w:w="100" w:type="dxa"/>
            </w:tcMar>
          </w:tcPr>
          <w:p>
            <w:pPr>
              <w:spacing w:after="0"/>
            </w:pPr>
            <w:r>
              <w:rPr>
                <w:sz w:val="17"/>
              </w:rPr>
              <w:t>Directs email delivery by prioritizing SMTP mail gateways handling domain mail.</w:t>
            </w:r>
          </w:p>
        </w:tc>
      </w:tr>
      <w:tr>
        <w:tc>
          <w:tcPr>
            <w:tcW w:type="dxa" w:w="1728"/>
            <w:shd w:fill="FFFFFF"/>
            <w:tcMar>
              <w:top w:w="60" w:type="dxa"/>
              <w:bottom w:w="60" w:type="dxa"/>
              <w:left w:w="100" w:type="dxa"/>
              <w:right w:w="100" w:type="dxa"/>
            </w:tcMar>
          </w:tcPr>
          <w:p>
            <w:pPr>
              <w:spacing w:after="0"/>
            </w:pPr>
            <w:r>
              <w:rPr>
                <w:b/>
                <w:color w:val="2B6CB0"/>
                <w:sz w:val="17"/>
              </w:rPr>
              <w:t>CNAME</w:t>
            </w:r>
          </w:p>
        </w:tc>
        <w:tc>
          <w:tcPr>
            <w:tcW w:type="dxa" w:w="2880"/>
            <w:shd w:fill="FFFFFF"/>
            <w:tcMar>
              <w:top w:w="60" w:type="dxa"/>
              <w:bottom w:w="60" w:type="dxa"/>
              <w:left w:w="100" w:type="dxa"/>
              <w:right w:w="100" w:type="dxa"/>
            </w:tcMar>
          </w:tcPr>
          <w:p>
            <w:pPr>
              <w:spacing w:after="0"/>
            </w:pPr>
            <w:r>
              <w:rPr>
                <w:sz w:val="17"/>
              </w:rPr>
              <w:t>Canonical Name</w:t>
            </w:r>
          </w:p>
        </w:tc>
        <w:tc>
          <w:tcPr>
            <w:tcW w:type="dxa" w:w="5328"/>
            <w:shd w:fill="FFFFFF"/>
            <w:tcMar>
              <w:top w:w="60" w:type="dxa"/>
              <w:bottom w:w="60" w:type="dxa"/>
              <w:left w:w="100" w:type="dxa"/>
              <w:right w:w="100" w:type="dxa"/>
            </w:tcMar>
          </w:tcPr>
          <w:p>
            <w:pPr>
              <w:spacing w:after="0"/>
            </w:pPr>
            <w:r>
              <w:rPr>
                <w:sz w:val="17"/>
              </w:rPr>
              <w:t>Aliases one domain or subdomain to another external canonical domain name.</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1A365D"/>
              <w:top w:val="none"/>
              <w:right w:val="none"/>
              <w:bottom w:val="none"/>
            </w:tcBorders>
          </w:tcPr>
          <w:p>
            <w:pPr>
              <w:spacing w:before="0" w:after="40"/>
            </w:pPr>
            <w:r>
              <w:rPr>
                <w:rFonts w:ascii="Arial" w:hAnsi="Arial"/>
                <w:b/>
                <w:color w:val="1A365D"/>
                <w:sz w:val="19"/>
              </w:rPr>
              <w:t xml:space="preserve">📌 INCIDENT RESPONSE &amp; DNS INVESTIGATION TAKEAWAYS: </w:t>
            </w:r>
            <w:r>
              <w:rPr>
                <w:rFonts w:ascii="Arial" w:hAnsi="Arial"/>
                <w:color w:val="2D3748"/>
                <w:sz w:val="19"/>
              </w:rPr>
              <w:t>1. DNS Telemetry as an Early Warning Indicator: C2 channels rely on regular beaconing intervals (e.g. every 5 seconds) to maintain persistence. Auditing Windows Event ID 3010 exposes beaconing prior to large-scale data staging or exfiltration.</w:t>
              <w:br/>
              <w:t>2. Defense-in-Depth DNS Filtering: Local /etc/hosts sinkholing works for isolated proof-of-concept testing; enterprise defense requires upstream DNS firewalls (e.g. Pi-hole, Cisco Umbrella, Bind RPZ) to block malicious FQDNs centrally.</w:t>
              <w:br/>
              <w:t>3. Reconnaissance Tooling: While nslookup is universally pre-installed on Windows/Linux, dig offers superior batch scripting, explicit nameserver querying (@server), and automated forensic evidence recording.</w:t>
            </w:r>
          </w:p>
        </w:tc>
      </w:tr>
    </w:tbl>
    <w:p>
      <w:pPr>
        <w:spacing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