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82B49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AED6F1"/>
                <w:sz w:val="19"/>
              </w:rPr>
              <w:t>STANDARD OPERATING PROCEDURE &amp; LAB EXECUTION GUIDE</w:t>
            </w:r>
          </w:p>
          <w:p>
            <w:pPr>
              <w:spacing w:before="40" w:after="160"/>
            </w:pPr>
            <w:r>
              <w:rPr>
                <w:rFonts w:ascii="Calibri" w:hAnsi="Calibri"/>
                <w:b/>
                <w:color w:val="FFFFFF"/>
                <w:sz w:val="40"/>
              </w:rPr>
              <w:t>Assisted Lab: Performing Reconnaissance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D0D3D4"/>
                <w:sz w:val="19"/>
              </w:rPr>
              <w:t>Target Organization: Structureality Inc | Target Domain: structureality.com | Lab VM: Kali Linux</w:t>
            </w:r>
          </w:p>
        </w:tc>
      </w:tr>
    </w:tbl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1. Lab Scenario &amp; Objectives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Alignment with CompTIA Security+ &amp; Penetration Testing Frameworks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980B9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82B49"/>
                <w:sz w:val="21"/>
              </w:rPr>
              <w:t>Overview &amp; Compliance Scope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Scenario: As a security analyst on the Structureality Inc team, you conduct early-phase OSINT, passive information gathering, and active reconnaissance to map organizational exposure.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Primary Goal: Execute host discovery, WHOIS database enumeration, interactive and scripted DNS querying, Google Dorking, Netcraft infrastructure profiling, and public records analysis.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Security+ Alignment: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 xml:space="preserve">  • 4.3 Explain various activities associated with vulnerability management.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 xml:space="preserve">  • 5.3 Explain the processes associated with third-party risk assessment and management.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 xml:space="preserve">  • 5.5 Explain types and purposes of audits and assessments.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82B49"/>
          <w:sz w:val="22"/>
        </w:rPr>
        <w:t>Key Environment Parameters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168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Value / Target</w:t>
            </w:r>
          </w:p>
        </w:tc>
        <w:tc>
          <w:tcPr>
            <w:tcW w:type="dxa" w:w="4032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Role / Context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Lab Kali VM Credentials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root / kali (Pa$$w0rd)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Interactive assessment platform</w:t>
            </w:r>
          </w:p>
        </w:tc>
      </w:tr>
      <w:tr>
        <w:tc>
          <w:tcPr>
            <w:tcW w:type="dxa" w:w="2880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Simulated Internet Subnet</w:t>
            </w:r>
          </w:p>
        </w:tc>
        <w:tc>
          <w:tcPr>
            <w:tcW w:type="dxa" w:w="316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203.0.113.0/24</w:t>
            </w:r>
          </w:p>
        </w:tc>
        <w:tc>
          <w:tcPr>
            <w:tcW w:type="dxa" w:w="403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Isolated lab perimeter range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Target FQDN / Web Server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www.structureality.com (203.0.113.1)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Primary target web presence</w:t>
            </w:r>
          </w:p>
        </w:tc>
      </w:tr>
      <w:tr>
        <w:tc>
          <w:tcPr>
            <w:tcW w:type="dxa" w:w="2880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Internal WHOIS Database Host</w:t>
            </w:r>
          </w:p>
        </w:tc>
        <w:tc>
          <w:tcPr>
            <w:tcW w:type="dxa" w:w="316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192.0.2.10</w:t>
            </w:r>
          </w:p>
        </w:tc>
        <w:tc>
          <w:tcPr>
            <w:tcW w:type="dxa" w:w="403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Simulated domain registrar database</w:t>
            </w:r>
          </w:p>
        </w:tc>
      </w:tr>
      <w:tr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Default Caching DNS Server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203.0.113.226:53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Recursive non-authoritative resolver</w:t>
            </w:r>
          </w:p>
        </w:tc>
      </w:tr>
      <w:tr>
        <w:tc>
          <w:tcPr>
            <w:tcW w:type="dxa" w:w="2880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Authoritative Name Server</w:t>
            </w:r>
          </w:p>
        </w:tc>
        <w:tc>
          <w:tcPr>
            <w:tcW w:type="dxa" w:w="3168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ns.structureality.com (203.0.113.225)</w:t>
            </w:r>
          </w:p>
        </w:tc>
        <w:tc>
          <w:tcPr>
            <w:tcW w:type="dxa" w:w="403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Authoritative DNS record host</w:t>
            </w:r>
          </w:p>
        </w:tc>
      </w:tr>
    </w:tbl>
    <w:p>
      <w:pPr>
        <w:spacing w:after="160"/>
      </w:pPr>
    </w:p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2. Phase 1: Host Verification &amp; Target Web Discovery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Determining logical network placement and testing host availability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1.1: </w:t>
            </w:r>
            <w:r>
              <w:rPr>
                <w:rFonts w:ascii="Calibri" w:hAnsi="Calibri"/>
                <w:b/>
                <w:color w:val="182B49"/>
                <w:sz w:val="20"/>
              </w:rPr>
              <w:t>Authenticate to Kali Linux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su - root   # (Or login on GUI as root with Pa$$w0rd)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Access the terminal emulator from the Kali top taskbar. Root privileges ensure seamless file writes to administrative working paths.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Prompt displays root@kali:~#.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1.2: </w:t>
            </w:r>
            <w:r>
              <w:rPr>
                <w:rFonts w:ascii="Calibri" w:hAnsi="Calibri"/>
                <w:b/>
                <w:color w:val="182B49"/>
                <w:sz w:val="20"/>
              </w:rPr>
              <w:t>Inspect Network Interface IP Address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ip a s eth0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Displays IP addressing, subnet masking, and link-state flags for primary Ethernet interface eth0.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Reveals Kali host IP within the local lab subnet (e.g., 203.0.113.x/24).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1.3: </w:t>
            </w:r>
            <w:r>
              <w:rPr>
                <w:rFonts w:ascii="Calibri" w:hAnsi="Calibri"/>
                <w:b/>
                <w:color w:val="182B49"/>
                <w:sz w:val="20"/>
              </w:rPr>
              <w:t>Probe Target Connectivity with Output Redirection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ping www.structureality.com -c 4 &gt; target_info.txt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Sends exactly 4 ICMP Echo-Requests (-c 4) to prevent indefinite execution, piping stdout into an audit record.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Resolves FQDN to 203.0.113.1. 4 packets transmitted, 0 packets received (100% loss due to ICMP firewall filtering).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1.4: </w:t>
            </w:r>
            <w:r>
              <w:rPr>
                <w:rFonts w:ascii="Calibri" w:hAnsi="Calibri"/>
                <w:b/>
                <w:color w:val="182B49"/>
                <w:sz w:val="20"/>
              </w:rPr>
              <w:t>Verify and Inspect Captured Output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ls -l target_info.txt &amp;&amp; cat target_info.txt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Confirms artifact creation and reviews the ICMP diagnostic logs for documentation.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File size &gt; 100 bytes containing ping metrics and 203.0.113.1 resolution.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1.5: </w:t>
            </w:r>
            <w:r>
              <w:rPr>
                <w:rFonts w:ascii="Calibri" w:hAnsi="Calibri"/>
                <w:b/>
                <w:color w:val="182B49"/>
                <w:sz w:val="20"/>
              </w:rPr>
              <w:t>Passive Web Application Discovery via Browser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firefox http://www.structureality.com &amp;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Navigate to http://www.structureality.com. Extract corporate identifiers, listed office addresses, contact telephone numbers, and staff email conventions.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Web application renders successfully. Close browser upon recording contact details.</w:t>
            </w:r>
          </w:p>
        </w:tc>
      </w:tr>
    </w:tbl>
    <w:p>
      <w:pPr>
        <w:spacing w:after="80"/>
      </w:pPr>
    </w:p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3. Phase 2: WHOIS Domain Reconnaissance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Interrogating the simulated lab WHOIS registry database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2.1: </w:t>
            </w:r>
            <w:r>
              <w:rPr>
                <w:rFonts w:ascii="Calibri" w:hAnsi="Calibri"/>
                <w:b/>
                <w:color w:val="182B49"/>
                <w:sz w:val="20"/>
              </w:rPr>
              <w:t>Query Specific WHOIS Database Host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whois -h 192.0.2.10 structureality.com &gt; target_whois.txt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Queries the simulated registrar server at 192.0.2.10 (-h) for domain ownership records and outputs to audit file.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File created with administrative, technical, and registrar details.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2.2: </w:t>
            </w:r>
            <w:r>
              <w:rPr>
                <w:rFonts w:ascii="Calibri" w:hAnsi="Calibri"/>
                <w:b/>
                <w:color w:val="182B49"/>
                <w:sz w:val="20"/>
              </w:rPr>
              <w:t>Analyze Registered Ownership &amp; Registrar Details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cat target_whois.txt | grep -i 'Registrar'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Inspect the captured text file to locate registrar naming and primary name servers.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Registrar confirmed as '515support' (Lab validation question verified).</w:t>
            </w:r>
          </w:p>
        </w:tc>
      </w:tr>
    </w:tbl>
    <w:p>
      <w:pPr>
        <w:spacing w:after="80"/>
      </w:pPr>
    </w:p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4. Phase 3: In-Depth DNS Reconnaissance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Enumerating Name Servers, Mail Exchangers, CNAMEs, and SOA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DE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C0392B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82B49"/>
                <w:sz w:val="21"/>
              </w:rPr>
              <w:t>Lab Scoring Troubleshooting &amp; Fix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CRITICAL LAB SCORING FIX FOR STEP 31: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The automated lab scoring engine looks strictly for the file at: /root/target_dns.txt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If logged in as the 'kali' user, outputting to 'target_dns.txt' places it in /home/kali/target_dns.txt, which triggers the score failure: '/root/target_dns.txt not found Task incomplete'.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Fix: Always redirect directly to /root/target_dns.txt or copy: sudo cp target_dns.txt /root/target_dns.txt.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3.1: </w:t>
            </w:r>
            <w:r>
              <w:rPr>
                <w:rFonts w:ascii="Calibri" w:hAnsi="Calibri"/>
                <w:b/>
                <w:color w:val="182B49"/>
                <w:sz w:val="20"/>
              </w:rPr>
              <w:t>Interactive nslookup Exploration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nslookup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Enter interactive mode to inspect resolvers and manually query records.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Default Server: 203.0.113.226 (Caching Resolver).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3.2: </w:t>
            </w:r>
            <w:r>
              <w:rPr>
                <w:rFonts w:ascii="Calibri" w:hAnsi="Calibri"/>
                <w:b/>
                <w:color w:val="182B49"/>
                <w:sz w:val="20"/>
              </w:rPr>
              <w:t>Query Authoritative Name Server IP in nslookup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ns.structureality.com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Discover the IP address of the primary name server. Enter into interactive prompt.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ns.structureality.com resolves to 203.0.113.225.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3.3: </w:t>
            </w:r>
            <w:r>
              <w:rPr>
                <w:rFonts w:ascii="Calibri" w:hAnsi="Calibri"/>
                <w:b/>
                <w:color w:val="182B49"/>
                <w:sz w:val="20"/>
              </w:rPr>
              <w:t>Switch Resolver to Authoritative Server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server 203.0.113.225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Forces nslookup to directly query the authoritative name server, bypassing caching artifacts.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Default Server set to ns.structureality.com (203.0.113.225).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3.4: </w:t>
            </w:r>
            <w:r>
              <w:rPr>
                <w:rFonts w:ascii="Calibri" w:hAnsi="Calibri"/>
                <w:b/>
                <w:color w:val="182B49"/>
                <w:sz w:val="20"/>
              </w:rPr>
              <w:t>Enumerate Specific Resource Record Types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set type=ns; structureality.com</w:t>
              <w:br/>
              <w:t>set type=mx; structureality.com</w:t>
              <w:br/>
              <w:t>set type=a; mail.structureality.com</w:t>
              <w:br/>
              <w:t>set type=cname; website.structureality.com</w:t>
              <w:br/>
              <w:t>set type=soa; structureality.com</w:t>
              <w:br/>
              <w:t>exit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Extracts NS, MX (mail.structureality.com), A record (203.0.113.1), CNAME (points to www.structureality.com), and Start of Authority (hostmaster.structureality.com).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Complete zone map gathered. Type 'exit' to return to Bash prompt.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3.5: </w:t>
            </w:r>
            <w:r>
              <w:rPr>
                <w:rFonts w:ascii="Calibri" w:hAnsi="Calibri"/>
                <w:b/>
                <w:color w:val="182B49"/>
                <w:sz w:val="20"/>
              </w:rPr>
              <w:t>Automated Record Harvesting via dig (Scored Output File)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dig @203.0.113.225 structureality.com &gt; /root/target_dns.txt &amp;&amp; \</w:t>
              <w:br/>
              <w:t>dig @203.0.113.225 www.structureality.com &gt;&gt; /root/target_dns.txt &amp;&amp; \</w:t>
              <w:br/>
              <w:t>dig @203.0.113.225 structureality.com -t mx &gt;&gt; /root/target_dns.txt &amp;&amp; \</w:t>
              <w:br/>
              <w:t>dig @203.0.113.225 structureality.com -t ns &gt;&gt; /root/target_dns.txt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Leverages dig with explicit resolver (@203.0.113.225) and append redirection (&gt;&gt;) to build the required /root/target_dns.txt log.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Generates fully populated /root/target_dns.txt containing SOA, A, MX, and NS records.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3.6: </w:t>
            </w:r>
            <w:r>
              <w:rPr>
                <w:rFonts w:ascii="Calibri" w:hAnsi="Calibri"/>
                <w:b/>
                <w:color w:val="182B49"/>
                <w:sz w:val="20"/>
              </w:rPr>
              <w:t>Verify DNS Log &amp; Confirm Task Scoring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cat /root/target_dns.txt | head -n 30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Verify file existence and comprehensive output before clicking Score in Skillable.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File verified. Lab scoring returns 'Task Complete'.</w:t>
            </w:r>
          </w:p>
        </w:tc>
      </w:tr>
    </w:tbl>
    <w:p>
      <w:pPr>
        <w:spacing w:after="80"/>
      </w:pPr>
    </w:p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5. Phase 4: Google Dorking &amp; Search Intelligence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Refining search telemetry using advanced dorking syntax (Execute on Local Browser)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Target Objective</w:t>
            </w:r>
          </w:p>
        </w:tc>
        <w:tc>
          <w:tcPr>
            <w:tcW w:type="dxa" w:w="3744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Dork Query Syntax</w:t>
            </w:r>
          </w:p>
        </w:tc>
        <w:tc>
          <w:tcPr>
            <w:tcW w:type="dxa" w:w="3744"/>
            <w:shd w:fill="182B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Security Finding / Practical Application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Robots Exclusion File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site:twitter.com filetype:txt robots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Discovers robots.txt, exposing disallowed paths, private endpoints, and unindexed internal directories.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Credential Mentions on Social/Professional</w:t>
            </w:r>
          </w:p>
        </w:tc>
        <w:tc>
          <w:tcPr>
            <w:tcW w:type="dxa" w:w="3744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intitle:password site:linkedin.com</w:t>
            </w:r>
          </w:p>
        </w:tc>
        <w:tc>
          <w:tcPr>
            <w:tcW w:type="dxa" w:w="3744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Identifies LinkedIn postings, profile mentions, or indexed pages inadvertently sharing credentials or reset references.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Exposed Cisco Switch Configurations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filetype:cfg "enable password 7"</w:t>
            </w:r>
          </w:p>
        </w:tc>
        <w:tc>
          <w:tcPr>
            <w:tcW w:type="dxa" w:w="374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Finds raw Cisco device backups. Target example: opus1.com revealing Cisco Type 7 hash: 09424F0A170414425D.</w:t>
            </w:r>
          </w:p>
        </w:tc>
      </w:tr>
      <w:tr>
        <w:tc>
          <w:tcPr>
            <w:tcW w:type="dxa" w:w="2592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Exact Match &amp; Exclusion Tuning</w:t>
            </w:r>
          </w:p>
        </w:tc>
        <w:tc>
          <w:tcPr>
            <w:tcW w:type="dxa" w:w="3744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pants shirts "blue suede shoes" -purple -red 10..189</w:t>
            </w:r>
          </w:p>
        </w:tc>
        <w:tc>
          <w:tcPr>
            <w:tcW w:type="dxa" w:w="3744"/>
            <w:shd w:fill="F2F4F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Demonstrates precise Boolean manipulation: exact phrases (quotes), word omission (-), and numerical ranges (..).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left w:val="single" w:sz="24" w:space="0" w:color="2980B9"/>
              <w:bottom w:val="none"/>
              <w:right w:val="none"/>
            </w:tcBorders>
          </w:tcPr>
          <w:p>
            <w:pPr>
              <w:spacing w:before="0" w:after="60"/>
            </w:pPr>
            <w:r>
              <w:rPr>
                <w:rFonts w:ascii="Calibri" w:hAnsi="Calibri"/>
                <w:b/>
                <w:color w:val="182B49"/>
                <w:sz w:val="21"/>
              </w:rPr>
              <w:t>Vulnerability Insight: Cisco Type 7 Passwords</w:t>
              <w:br/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Hash Analysis Takeaway: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• Hash tested: 09424F0A170414425D via https://www.ifm.net.nz/cookbooks/passwordcracker.html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9"/>
              </w:rPr>
              <w:t>• Finding: Cisco Type 7 is a reversible XOR cipher, not a one-way cryptographic hash. It cracks instantaneously (&lt; 1 sec) and must be replaced by secret (Type 5 / Type 8 / Type 9).</w:t>
            </w:r>
          </w:p>
        </w:tc>
      </w:tr>
    </w:tbl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6. Phase 5 &amp; 6: Infrastructure &amp; Identity OSINT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Profiling tech stacks via Netcraft &amp; investigating persons via Public Records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5.1: </w:t>
            </w:r>
            <w:r>
              <w:rPr>
                <w:rFonts w:ascii="Calibri" w:hAnsi="Calibri"/>
                <w:b/>
                <w:color w:val="182B49"/>
                <w:sz w:val="20"/>
              </w:rPr>
              <w:t>Netcraft Site Report Analysis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Target URL: https://sitereport.netcraft.com/ | Search: http://comptia.org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Examines host domain infrastructure, SSL/TLS configuration, web server daemon, operating system, and 'Date First Seen'.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Under Network section, select *.comptia.org to view all discovered corporate subdomains.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BDC3C7"/>
              <w:left w:val="single" w:sz="18" w:space="0" w:color="2980B9"/>
              <w:bottom w:val="single" w:sz="4" w:space="0" w:color="BDC3C7"/>
              <w:right w:val="single" w:sz="4" w:space="0" w:color="BDC3C7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2980B9"/>
                <w:sz w:val="20"/>
              </w:rPr>
              <w:t xml:space="preserve">Step 6.1: </w:t>
            </w:r>
            <w:r>
              <w:rPr>
                <w:rFonts w:ascii="Calibri" w:hAnsi="Calibri"/>
                <w:b/>
                <w:color w:val="182B49"/>
                <w:sz w:val="20"/>
              </w:rPr>
              <w:t>Public Records &amp; Background Search (SearchSystems)</w:t>
            </w:r>
          </w:p>
          <w:p>
            <w:pPr>
              <w:spacing w:before="80" w:after="80"/>
            </w:pPr>
            <w:r>
              <w:rPr>
                <w:rFonts w:ascii="Consolas" w:hAnsi="Consolas"/>
                <w:b/>
                <w:color w:val="C0392B"/>
                <w:sz w:val="19"/>
              </w:rPr>
              <w:t>$ Target URL: https://www.searchsystems.net</w:t>
            </w:r>
          </w:p>
          <w:p>
            <w:pPr>
              <w:spacing w:before="40" w:after="40"/>
            </w:pPr>
            <w:r>
              <w:rPr>
                <w:rFonts w:ascii="Calibri" w:hAnsi="Calibri"/>
                <w:color w:val="2C3E50"/>
                <w:sz w:val="18"/>
              </w:rPr>
              <w:t>Description: Investigate publicly searchable databases categorized by State and Type to gather OSINT on key personnel.</w:t>
            </w:r>
          </w:p>
          <w:p>
            <w:pPr>
              <w:spacing w:before="40" w:after="40"/>
            </w:pPr>
            <w:r>
              <w:rPr>
                <w:rFonts w:ascii="Calibri" w:hAnsi="Calibri"/>
                <w:b/>
                <w:color w:val="2C3E50"/>
                <w:sz w:val="18"/>
              </w:rPr>
              <w:t xml:space="preserve">Expected Result / Note: </w:t>
            </w:r>
            <w:r>
              <w:rPr>
                <w:rFonts w:ascii="Calibri" w:hAnsi="Calibri"/>
                <w:i/>
                <w:color w:val="2C3E50"/>
                <w:sz w:val="18"/>
              </w:rPr>
              <w:t>Accessible public database categories confirmed: Court records, Licenses, Marriages/Divorces, Property ownership, and Tax records.</w:t>
            </w:r>
          </w:p>
        </w:tc>
      </w:tr>
    </w:tbl>
    <w:p>
      <w:pPr>
        <w:spacing w:after="80"/>
      </w:pPr>
    </w:p>
    <w:p>
      <w:pPr>
        <w:keepNext/>
        <w:spacing w:before="320" w:after="60"/>
        <w:pBdr>
          <w:bottom w:val="single" w:sz="12" w:space="4" w:color="2980B9"/>
        </w:pBdr>
      </w:pPr>
      <w:r>
        <w:rPr>
          <w:rFonts w:ascii="Calibri" w:hAnsi="Calibri"/>
          <w:b/>
          <w:color w:val="182B49"/>
          <w:sz w:val="28"/>
        </w:rPr>
        <w:t>7. Lab Completion Verification Checklist</w:t>
      </w:r>
    </w:p>
    <w:p>
      <w:pPr>
        <w:spacing w:before="40" w:after="120"/>
      </w:pPr>
      <w:r>
        <w:rPr>
          <w:rFonts w:ascii="Calibri" w:hAnsi="Calibri"/>
          <w:i/>
          <w:color w:val="7F8C8D"/>
          <w:sz w:val="19"/>
        </w:rPr>
        <w:t>Audit checklist before final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304"/>
      </w:tblGrid>
      <w:tr>
        <w:tc>
          <w:tcPr>
            <w:tcW w:type="dxa" w:w="5040"/>
            <w:shd w:fill="182B4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Audit Item / Objective Validation</w:t>
            </w:r>
          </w:p>
        </w:tc>
        <w:tc>
          <w:tcPr>
            <w:tcW w:type="dxa" w:w="5040"/>
            <w:shd w:fill="182B4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Verified eth0 IP configuration in Kali Linux (ip a s eth0)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  <w:tr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Captured ping telemetry to target_info.txt (203.0.113.1 confirmed, 100% loss logged)</w:t>
            </w:r>
          </w:p>
        </w:tc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Identified domain registrar from whois -h 192.0.2.10 (Registrar: 515support)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  <w:tr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Resolved authoritative nameserver ns.structureality.com -&gt; 203.0.113.225</w:t>
            </w:r>
          </w:p>
        </w:tc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Created and populated /root/target_dns.txt using dig append syntax (&gt;&gt;)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Scored / Passed</w:t>
            </w:r>
          </w:p>
        </w:tc>
      </w:tr>
      <w:tr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Executed Google Dorks for robots.txt, credential leaks, and Cisco config files</w:t>
            </w:r>
          </w:p>
        </w:tc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  <w:tr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Cracked sample Cisco Type 7 hash (09424F0A170414425D) to demonstrate cipher weakness</w:t>
            </w:r>
          </w:p>
        </w:tc>
        <w:tc>
          <w:tcPr>
            <w:tcW w:type="dxa" w:w="5040"/>
            <w:shd w:fill="FFFF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  <w:tr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2C3E50"/>
                <w:sz w:val="18"/>
              </w:rPr>
              <w:t>[X]  Enumerated Netcraft subdomains for comptia.org &amp; cataloged public database records</w:t>
            </w:r>
          </w:p>
        </w:tc>
        <w:tc>
          <w:tcPr>
            <w:tcW w:type="dxa" w:w="5040"/>
            <w:shd w:fill="F8F9FA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2980B9"/>
                <w:sz w:val="18"/>
              </w:rPr>
              <w:t>Complete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