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04C5C"/>
          <w:sz w:val="48"/>
        </w:rPr>
        <w:t>Assisted Lab: Working with Threat Feeds &amp; Exploit Intelligence</w:t>
      </w:r>
    </w:p>
    <w:p>
      <w:pPr>
        <w:spacing w:before="0" w:after="280"/>
      </w:pPr>
      <w:r>
        <w:rPr>
          <w:rFonts w:ascii="Calibri Light" w:hAnsi="Calibri Light"/>
          <w:color w:val="22708A"/>
          <w:sz w:val="24"/>
        </w:rPr>
        <w:t>Threat Intelligence Gathering, IoC Analysis &amp; Exploit Database SOP | Structureality Inc.</w:t>
      </w:r>
    </w:p>
    <w:tbl>
      <w:tblPr>
        <w:tblW w:type="auto" w:w="0"/>
        <w:jc w:val="center"/>
        <w:tblLayout w:type="fixed"/>
        <w:tblLook w:firstColumn="1" w:firstRow="1" w:lastColumn="0" w:lastRow="0" w:noHBand="0" w:noVBand="1" w:val="04A0"/>
      </w:tblPr>
      <w:tblGrid>
        <w:gridCol w:w="4680"/>
        <w:gridCol w:w="4680"/>
      </w:tblGrid>
      <w:tr>
        <w:tc>
          <w:tcPr>
            <w:tcW w:type="dxa" w:w="3024"/>
            <w:shd w:fill="F4F7F8"/>
            <w:tcMar>
              <w:top w:w="60" w:type="dxa"/>
              <w:bottom w:w="60" w:type="dxa"/>
              <w:left w:w="100" w:type="dxa"/>
              <w:right w:w="100" w:type="dxa"/>
            </w:tcMar>
            <w:tcBorders>
              <w:top w:val="single" w:sz="4" w:color="D1D5DB"/>
              <w:left w:val="none"/>
              <w:bottom w:val="single" w:sz="4" w:color="D1D5DB"/>
              <w:right w:val="none"/>
            </w:tcBorders>
          </w:tcPr>
          <w:p>
            <w:pPr>
              <w:spacing w:after="0"/>
            </w:pPr>
            <w:r>
              <w:rPr>
                <w:b/>
                <w:color w:val="104C5C"/>
                <w:sz w:val="19"/>
              </w:rPr>
              <w:t>Execution Environment</w:t>
            </w:r>
          </w:p>
        </w:tc>
        <w:tc>
          <w:tcPr>
            <w:tcW w:type="dxa" w:w="6336"/>
            <w:tcMar>
              <w:top w:w="60" w:type="dxa"/>
              <w:bottom w:w="60" w:type="dxa"/>
              <w:left w:w="100" w:type="dxa"/>
              <w:right w:w="100" w:type="dxa"/>
            </w:tcMar>
            <w:tcBorders>
              <w:top w:val="single" w:sz="4" w:color="D1D5DB"/>
              <w:left w:val="none"/>
              <w:bottom w:val="single" w:sz="4" w:color="D1D5DB"/>
              <w:right w:val="none"/>
            </w:tcBorders>
          </w:tcPr>
          <w:p>
            <w:pPr>
              <w:spacing w:after="0"/>
            </w:pPr>
            <w:r>
              <w:rPr>
                <w:sz w:val="19"/>
              </w:rPr>
              <w:t>Local Host Web Browser (Skillable virtual lab isolation requires external browser).</w:t>
            </w:r>
          </w:p>
        </w:tc>
      </w:tr>
      <w:tr>
        <w:tc>
          <w:tcPr>
            <w:tcW w:type="dxa" w:w="3024"/>
            <w:shd w:fill="F4F7F8"/>
            <w:tcMar>
              <w:top w:w="60" w:type="dxa"/>
              <w:bottom w:w="60" w:type="dxa"/>
              <w:left w:w="100" w:type="dxa"/>
              <w:right w:w="100" w:type="dxa"/>
            </w:tcMar>
            <w:tcBorders>
              <w:top w:val="single" w:sz="4" w:color="D1D5DB"/>
              <w:left w:val="none"/>
              <w:bottom w:val="single" w:sz="4" w:color="D1D5DB"/>
              <w:right w:val="none"/>
            </w:tcBorders>
          </w:tcPr>
          <w:p>
            <w:pPr>
              <w:spacing w:after="0"/>
            </w:pPr>
            <w:r>
              <w:rPr>
                <w:b/>
                <w:color w:val="104C5C"/>
                <w:sz w:val="19"/>
              </w:rPr>
              <w:t>CompTIA Security+ Objective</w:t>
            </w:r>
          </w:p>
        </w:tc>
        <w:tc>
          <w:tcPr>
            <w:tcW w:type="dxa" w:w="6336"/>
            <w:tcMar>
              <w:top w:w="60" w:type="dxa"/>
              <w:bottom w:w="60" w:type="dxa"/>
              <w:left w:w="100" w:type="dxa"/>
              <w:right w:w="100" w:type="dxa"/>
            </w:tcMar>
            <w:tcBorders>
              <w:top w:val="single" w:sz="4" w:color="D1D5DB"/>
              <w:left w:val="none"/>
              <w:bottom w:val="single" w:sz="4" w:color="D1D5DB"/>
              <w:right w:val="none"/>
            </w:tcBorders>
          </w:tcPr>
          <w:p>
            <w:pPr>
              <w:spacing w:after="0"/>
            </w:pPr>
            <w:r>
              <w:rPr>
                <w:sz w:val="19"/>
              </w:rPr>
              <w:t>4.3 Explain various activities associated with vulnerability management.</w:t>
            </w:r>
          </w:p>
        </w:tc>
      </w:tr>
      <w:tr>
        <w:tc>
          <w:tcPr>
            <w:tcW w:type="dxa" w:w="3024"/>
            <w:shd w:fill="F4F7F8"/>
            <w:tcMar>
              <w:top w:w="60" w:type="dxa"/>
              <w:bottom w:w="60" w:type="dxa"/>
              <w:left w:w="100" w:type="dxa"/>
              <w:right w:w="100" w:type="dxa"/>
            </w:tcMar>
            <w:tcBorders>
              <w:top w:val="single" w:sz="4" w:color="D1D5DB"/>
              <w:left w:val="none"/>
              <w:bottom w:val="single" w:sz="4" w:color="D1D5DB"/>
              <w:right w:val="none"/>
            </w:tcBorders>
          </w:tcPr>
          <w:p>
            <w:pPr>
              <w:spacing w:after="0"/>
            </w:pPr>
            <w:r>
              <w:rPr>
                <w:b/>
                <w:color w:val="104C5C"/>
                <w:sz w:val="19"/>
              </w:rPr>
              <w:t>Core Platforms Explored</w:t>
            </w:r>
          </w:p>
        </w:tc>
        <w:tc>
          <w:tcPr>
            <w:tcW w:type="dxa" w:w="6336"/>
            <w:tcMar>
              <w:top w:w="60" w:type="dxa"/>
              <w:bottom w:w="60" w:type="dxa"/>
              <w:left w:w="100" w:type="dxa"/>
              <w:right w:w="100" w:type="dxa"/>
            </w:tcMar>
            <w:tcBorders>
              <w:top w:val="single" w:sz="4" w:color="D1D5DB"/>
              <w:left w:val="none"/>
              <w:bottom w:val="single" w:sz="4" w:color="D1D5DB"/>
              <w:right w:val="none"/>
            </w:tcBorders>
          </w:tcPr>
          <w:p>
            <w:pPr>
              <w:spacing w:after="0"/>
            </w:pPr>
            <w:r>
              <w:rPr>
                <w:sz w:val="19"/>
              </w:rPr>
              <w:t>1. CIS MS-ISAC Real-Time Threat Indicator Feeds</w:t>
              <w:br/>
              <w:t>2. AT&amp;T AlienVault Open Threat Exchange (OTX Pulses)</w:t>
              <w:br/>
              <w:t>3. Offensive Security Exploit Database (Exploit-DB &amp; GHDB)</w:t>
            </w:r>
          </w:p>
        </w:tc>
      </w:tr>
      <w:tr>
        <w:tc>
          <w:tcPr>
            <w:tcW w:type="dxa" w:w="3024"/>
            <w:shd w:fill="F4F7F8"/>
            <w:tcMar>
              <w:top w:w="60" w:type="dxa"/>
              <w:bottom w:w="60" w:type="dxa"/>
              <w:left w:w="100" w:type="dxa"/>
              <w:right w:w="100" w:type="dxa"/>
            </w:tcMar>
            <w:tcBorders>
              <w:top w:val="single" w:sz="4" w:color="D1D5DB"/>
              <w:left w:val="none"/>
              <w:bottom w:val="single" w:sz="4" w:color="D1D5DB"/>
              <w:right w:val="none"/>
            </w:tcBorders>
          </w:tcPr>
          <w:p>
            <w:pPr>
              <w:spacing w:after="0"/>
            </w:pPr>
            <w:r>
              <w:rPr>
                <w:b/>
                <w:color w:val="104C5C"/>
                <w:sz w:val="19"/>
              </w:rPr>
              <w:t>Primary Deliverables</w:t>
            </w:r>
          </w:p>
        </w:tc>
        <w:tc>
          <w:tcPr>
            <w:tcW w:type="dxa" w:w="6336"/>
            <w:tcMar>
              <w:top w:w="60" w:type="dxa"/>
              <w:bottom w:w="60" w:type="dxa"/>
              <w:left w:w="100" w:type="dxa"/>
              <w:right w:w="100" w:type="dxa"/>
            </w:tcMar>
            <w:tcBorders>
              <w:top w:val="single" w:sz="4" w:color="D1D5DB"/>
              <w:left w:val="none"/>
              <w:bottom w:val="single" w:sz="4" w:color="D1D5DB"/>
              <w:right w:val="none"/>
            </w:tcBorders>
          </w:tcPr>
          <w:p>
            <w:pPr>
              <w:spacing w:after="0"/>
            </w:pPr>
            <w:r>
              <w:rPr>
                <w:sz w:val="19"/>
              </w:rPr>
              <w:t>• Identify open-source &amp; commercial threat intelligence (CTI) architectures.</w:t>
              <w:br/>
              <w:t>• Navigate and parse Indicator of Compromise (IoC) types.</w:t>
              <w:br/>
              <w:t>• Research Proof-of-Concept (PoC) code and Google Hacking Database (GHDB) dorks.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7F8"/>
            <w:tcMar>
              <w:top w:w="120" w:type="dxa"/>
              <w:bottom w:w="120" w:type="dxa"/>
              <w:left w:w="180" w:type="dxa"/>
              <w:right w:w="180" w:type="dxa"/>
            </w:tcMar>
            <w:tcBorders>
              <w:top w:val="none"/>
              <w:left w:val="single" w:sz="24" w:space="0" w:color="104C5C"/>
              <w:bottom w:val="none"/>
              <w:right w:val="none"/>
            </w:tcBorders>
          </w:tcPr>
          <w:p>
            <w:pPr>
              <w:spacing w:before="40" w:after="40" w:line="276" w:lineRule="auto"/>
            </w:pPr>
            <w:r>
              <w:rPr>
                <w:rFonts w:ascii="Calibri" w:hAnsi="Calibri"/>
                <w:b/>
                <w:color w:val="104C5C"/>
                <w:sz w:val="20"/>
              </w:rPr>
              <w:t xml:space="preserve">THREAT INTEL CONTEXT: </w:t>
            </w:r>
            <w:r>
              <w:rPr>
                <w:rFonts w:ascii="Calibri" w:hAnsi="Calibri"/>
                <w:color w:val="282828"/>
                <w:sz w:val="20"/>
              </w:rPr>
              <w:t>Cyber Threat Intelligence (CTI) provides actionable indicators (IoCs) to prevent impending attacks or hunt for active intrusions. Because malicious actors often attempt to abuse feeds to discover what security analysts monitor, high-fidelity threat streams commonly require vetting, API authentication, or vetted organization membership (e.g., ISACs).</w:t>
            </w:r>
          </w:p>
        </w:tc>
      </w:tr>
    </w:tbl>
    <w:p>
      <w:pPr>
        <w:spacing w:before="0" w:after="80"/>
      </w:pPr>
    </w:p>
    <w:p>
      <w:pPr>
        <w:keepNext/>
        <w:spacing w:before="320" w:after="80"/>
        <w:pBdr>
          <w:bottom w:val="single" w:sz="12" w:space="4" w:color="104C5C"/>
        </w:pBdr>
      </w:pPr>
      <w:r>
        <w:rPr>
          <w:rFonts w:ascii="Calibri" w:hAnsi="Calibri"/>
          <w:b/>
          <w:color w:val="104C5C"/>
          <w:sz w:val="30"/>
        </w:rPr>
        <w:t>Part 1: Institutional &amp; Open Threat Feeds (CIS &amp; AlienVault OTX)</w:t>
      </w:r>
    </w:p>
    <w:p>
      <w:r>
        <w:t>Examine institutional cyber defense feeds and explore community-curated Indicator of Compromise (IoC) pulses.</w:t>
      </w:r>
    </w:p>
    <w:p>
      <w:pPr>
        <w:keepNext/>
        <w:spacing w:before="120" w:after="40"/>
      </w:pPr>
      <w:r>
        <w:rPr>
          <w:rFonts w:ascii="Calibri" w:hAnsi="Calibri"/>
          <w:b/>
          <w:color w:val="104C5C"/>
          <w:sz w:val="22"/>
        </w:rPr>
        <w:t xml:space="preserve">Step 1: </w:t>
      </w:r>
      <w:r>
        <w:rPr>
          <w:rFonts w:ascii="Calibri" w:hAnsi="Calibri"/>
          <w:b/>
          <w:color w:val="282828"/>
          <w:sz w:val="22"/>
        </w:rPr>
        <w:t>Open Local Browser</w:t>
      </w:r>
    </w:p>
    <w:p>
      <w:pPr>
        <w:spacing w:before="0" w:after="80"/>
        <w:ind w:left="288"/>
      </w:pPr>
      <w:r>
        <w:rPr>
          <w:sz w:val="21"/>
        </w:rPr>
        <w:t>Open a new browser tab or separate browser window on your host computer. Keep the Skillable lab instructions tab open concurrently to track checkpoints.</w:t>
      </w:r>
    </w:p>
    <w:p>
      <w:pPr>
        <w:keepNext/>
        <w:spacing w:before="120" w:after="40"/>
      </w:pPr>
      <w:r>
        <w:rPr>
          <w:rFonts w:ascii="Calibri" w:hAnsi="Calibri"/>
          <w:b/>
          <w:color w:val="104C5C"/>
          <w:sz w:val="22"/>
        </w:rPr>
        <w:t xml:space="preserve">Step 2: </w:t>
      </w:r>
      <w:r>
        <w:rPr>
          <w:rFonts w:ascii="Calibri" w:hAnsi="Calibri"/>
          <w:b/>
          <w:color w:val="282828"/>
          <w:sz w:val="22"/>
        </w:rPr>
        <w:t>Explore CIS MS-ISAC Indicator Feeds</w:t>
      </w:r>
    </w:p>
    <w:p>
      <w:pPr>
        <w:spacing w:before="0" w:after="80"/>
        <w:ind w:left="288"/>
      </w:pPr>
      <w:r>
        <w:rPr>
          <w:sz w:val="21"/>
        </w:rPr>
        <w:t>Navigate to the Center for Internet Security (CIS) Multi-State Information Sharing and Analysis Center (MS-ISAC) threat intelligence feed portal:</w:t>
        <w:br/>
        <w:t>• Review how CIS distributes real-time indicators at no cost to U.S. State, Local, Tribal, and Territorial (SLTT) governments.</w:t>
        <w:br/>
        <w:t>• Take note of automated ingestion formats (STIX/TAXII protocols).</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495057"/>
              <w:left w:val="single" w:sz="18" w:color="104C5C"/>
              <w:bottom w:val="single" w:sz="4" w:color="495057"/>
              <w:right w:val="single" w:sz="4" w:color="495057"/>
            </w:tcBorders>
          </w:tcPr>
          <w:p>
            <w:pPr>
              <w:spacing w:before="40" w:after="40" w:line="252" w:lineRule="auto"/>
            </w:pPr>
            <w:r>
              <w:rPr>
                <w:rFonts w:ascii="Consolas" w:hAnsi="Consolas"/>
                <w:b/>
                <w:color w:val="64C8C8"/>
                <w:sz w:val="19"/>
              </w:rPr>
              <w:t xml:space="preserve">NAVIGATE &gt; </w:t>
            </w:r>
            <w:r>
              <w:rPr>
                <w:rFonts w:ascii="Consolas" w:hAnsi="Consolas"/>
                <w:b/>
                <w:color w:val="F8F9FA"/>
                <w:sz w:val="19"/>
              </w:rPr>
              <w:t>https://www.cisecurity.org/ms-isac/services/real-time-indicator-feeds</w:t>
            </w:r>
          </w:p>
        </w:tc>
      </w:tr>
    </w:tbl>
    <w:p>
      <w:pPr>
        <w:spacing w:before="0" w:after="80"/>
      </w:pPr>
    </w:p>
    <w:p>
      <w:pPr>
        <w:keepNext/>
        <w:spacing w:before="120" w:after="40"/>
      </w:pPr>
      <w:r>
        <w:rPr>
          <w:rFonts w:ascii="Calibri" w:hAnsi="Calibri"/>
          <w:b/>
          <w:color w:val="104C5C"/>
          <w:sz w:val="22"/>
        </w:rPr>
        <w:t xml:space="preserve">Step 3: </w:t>
      </w:r>
      <w:r>
        <w:rPr>
          <w:rFonts w:ascii="Calibri" w:hAnsi="Calibri"/>
          <w:b/>
          <w:color w:val="282828"/>
          <w:sz w:val="22"/>
        </w:rPr>
        <w:t>Access AlienVault Open Threat Exchange (OTX)</w:t>
      </w:r>
    </w:p>
    <w:p>
      <w:pPr>
        <w:spacing w:before="0" w:after="80"/>
        <w:ind w:left="288"/>
      </w:pPr>
      <w:r>
        <w:rPr>
          <w:sz w:val="21"/>
        </w:rPr>
        <w:t>Navigate to the AlienVault OTX global pulse feed directory:</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495057"/>
              <w:left w:val="single" w:sz="18" w:color="104C5C"/>
              <w:bottom w:val="single" w:sz="4" w:color="495057"/>
              <w:right w:val="single" w:sz="4" w:color="495057"/>
            </w:tcBorders>
          </w:tcPr>
          <w:p>
            <w:pPr>
              <w:spacing w:before="40" w:after="40" w:line="252" w:lineRule="auto"/>
            </w:pPr>
            <w:r>
              <w:rPr>
                <w:rFonts w:ascii="Consolas" w:hAnsi="Consolas"/>
                <w:b/>
                <w:color w:val="64C8C8"/>
                <w:sz w:val="19"/>
              </w:rPr>
              <w:t xml:space="preserve">NAVIGATE &gt; </w:t>
            </w:r>
            <w:r>
              <w:rPr>
                <w:rFonts w:ascii="Consolas" w:hAnsi="Consolas"/>
                <w:b/>
                <w:color w:val="F8F9FA"/>
                <w:sz w:val="19"/>
              </w:rPr>
              <w:t>https://otx.alienvault.com/browse/global/pulses</w:t>
            </w:r>
          </w:p>
        </w:tc>
      </w:tr>
    </w:tbl>
    <w:p>
      <w:pPr>
        <w:spacing w:before="0" w:after="80"/>
      </w:pPr>
    </w:p>
    <w:p>
      <w:pPr>
        <w:keepNext/>
        <w:spacing w:before="120" w:after="40"/>
      </w:pPr>
      <w:r>
        <w:rPr>
          <w:rFonts w:ascii="Calibri" w:hAnsi="Calibri"/>
          <w:b/>
          <w:color w:val="104C5C"/>
          <w:sz w:val="22"/>
        </w:rPr>
        <w:t xml:space="preserve">Step 4: </w:t>
      </w:r>
      <w:r>
        <w:rPr>
          <w:rFonts w:ascii="Calibri" w:hAnsi="Calibri"/>
          <w:b/>
          <w:color w:val="282828"/>
          <w:sz w:val="22"/>
        </w:rPr>
        <w:t>Search for Threat Pulse (Mirai Botnet)</w:t>
      </w:r>
    </w:p>
    <w:p>
      <w:pPr>
        <w:spacing w:before="0" w:after="80"/>
        <w:ind w:left="288"/>
      </w:pPr>
      <w:r>
        <w:rPr>
          <w:sz w:val="21"/>
        </w:rPr>
        <w:t>In the 'Search OTX' search bar located at the top of the interface, enter 'mirai' and press Enter. Select any active community pulse related to the botnet (e.g., 'Mirai Botnet IOCs').</w:t>
      </w:r>
    </w:p>
    <w:p>
      <w:pPr>
        <w:keepNext/>
        <w:spacing w:before="120" w:after="40"/>
      </w:pPr>
      <w:r>
        <w:rPr>
          <w:rFonts w:ascii="Calibri" w:hAnsi="Calibri"/>
          <w:b/>
          <w:color w:val="104C5C"/>
          <w:sz w:val="22"/>
        </w:rPr>
        <w:t xml:space="preserve">Step 5: </w:t>
      </w:r>
      <w:r>
        <w:rPr>
          <w:rFonts w:ascii="Calibri" w:hAnsi="Calibri"/>
          <w:b/>
          <w:color w:val="282828"/>
          <w:sz w:val="22"/>
        </w:rPr>
        <w:t>Analyze Indicator Types &amp; Taxonomy</w:t>
      </w:r>
    </w:p>
    <w:p>
      <w:pPr>
        <w:spacing w:before="0" w:after="80"/>
        <w:ind w:left="288"/>
      </w:pPr>
      <w:r>
        <w:rPr>
          <w:sz w:val="21"/>
        </w:rPr>
        <w:t>Inspect the colored indicator bar summarizing data types associated with this threat campaign.</w:t>
      </w:r>
    </w:p>
    <w:p>
      <w:pPr>
        <w:spacing w:before="0" w:after="120"/>
        <w:ind w:left="288"/>
      </w:pPr>
      <w:r>
        <w:rPr>
          <w:b/>
          <w:color w:val="278246"/>
          <w:sz w:val="19"/>
        </w:rPr>
        <w:t xml:space="preserve">✓ Checkpoint / Exam Answer: </w:t>
      </w:r>
      <w:r>
        <w:rPr>
          <w:color w:val="282828"/>
          <w:sz w:val="19"/>
        </w:rPr>
        <w:t>Knowledge Check: On the selected AlienVault Pulse page related to Mirai, what is one of the types of indicators?</w:t>
        <w:br/>
        <w:t>• Options: Victim ID, FileHash, Registrar, Host system</w:t>
        <w:br/>
        <w:t>• Correct Answer: FileHash (along with IPv4, Domain, URL, and Hostname).</w:t>
      </w:r>
    </w:p>
    <w:p>
      <w:pPr>
        <w:keepNext/>
        <w:spacing w:before="120" w:after="40"/>
      </w:pPr>
      <w:r>
        <w:rPr>
          <w:rFonts w:ascii="Calibri" w:hAnsi="Calibri"/>
          <w:b/>
          <w:color w:val="104C5C"/>
          <w:sz w:val="22"/>
        </w:rPr>
        <w:t xml:space="preserve">Step 6: </w:t>
      </w:r>
      <w:r>
        <w:rPr>
          <w:rFonts w:ascii="Calibri" w:hAnsi="Calibri"/>
          <w:b/>
          <w:color w:val="282828"/>
          <w:sz w:val="22"/>
        </w:rPr>
        <w:t>Pivot on Specific Indicator &amp; Correlate Pulses</w:t>
      </w:r>
    </w:p>
    <w:p>
      <w:pPr>
        <w:spacing w:before="0" w:after="80"/>
        <w:ind w:left="288"/>
      </w:pPr>
      <w:r>
        <w:rPr>
          <w:sz w:val="21"/>
        </w:rPr>
        <w:t>• Select any entry listed under the 'INDICATOR' column to view its Analysis Overview page.</w:t>
        <w:br/>
        <w:t>• Inspect the 'Analysis' tab to view automated malware sandboxing, ASN metadata, and passive DNS records.</w:t>
        <w:br/>
        <w:t>• Select the 'Related Pulses' tab to discover other campaign clusters sharing overlapping infrastructure.</w:t>
        <w:br/>
        <w:t>• Click the browser Back button to return to the pulse summary.</w:t>
      </w:r>
    </w:p>
    <w:p>
      <w:pPr>
        <w:keepNext/>
        <w:spacing w:before="120" w:after="40"/>
      </w:pPr>
      <w:r>
        <w:rPr>
          <w:rFonts w:ascii="Calibri" w:hAnsi="Calibri"/>
          <w:b/>
          <w:color w:val="104C5C"/>
          <w:sz w:val="22"/>
        </w:rPr>
        <w:t xml:space="preserve">Step 7: </w:t>
      </w:r>
      <w:r>
        <w:rPr>
          <w:rFonts w:ascii="Calibri" w:hAnsi="Calibri"/>
          <w:b/>
          <w:color w:val="282828"/>
          <w:sz w:val="22"/>
        </w:rPr>
        <w:t>Filter Indicators by Type</w:t>
      </w:r>
    </w:p>
    <w:p>
      <w:pPr>
        <w:spacing w:before="0" w:after="80"/>
        <w:ind w:left="288"/>
      </w:pPr>
      <w:r>
        <w:rPr>
          <w:sz w:val="21"/>
        </w:rPr>
        <w:t>In the 'Search:' field directly above the indicator table, enter filter keywords:</w:t>
        <w:br/>
        <w:t>• 'domain' - Filters to fully qualified domain names (FQDNs) used for C2.</w:t>
        <w:br/>
        <w:t>• 'IPv4' / 'IPv6' - Isolates IP addresses of staging servers and compromised reflectors.</w:t>
        <w:br/>
        <w:t>• 'hash' / 'FileHash' - Identifies cryptographic hashes (MD5, SHA-1, SHA-256) of malicious binary payloads.</w:t>
        <w:br/>
        <w:t>Close the AlienVault OTX browser tab once exploration is complete.</w:t>
      </w:r>
    </w:p>
    <w:p>
      <w:pPr>
        <w:keepNext/>
        <w:spacing w:before="320" w:after="80"/>
        <w:pBdr>
          <w:bottom w:val="single" w:sz="12" w:space="4" w:color="104C5C"/>
        </w:pBdr>
      </w:pPr>
      <w:r>
        <w:rPr>
          <w:rFonts w:ascii="Calibri" w:hAnsi="Calibri"/>
          <w:b/>
          <w:color w:val="104C5C"/>
          <w:sz w:val="30"/>
        </w:rPr>
        <w:t>Part 2: Essential Cyber Threat Intelligence (CTI) Repositories</w:t>
      </w:r>
    </w:p>
    <w:p>
      <w:r>
        <w:t>Reference guide of leading community, commercial, and governmental threat intelligence sources: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04C5C"/>
            <w:tcMar>
              <w:top w:w="100" w:type="dxa"/>
              <w:bottom w:w="100" w:type="dxa"/>
              <w:left w:w="100" w:type="dxa"/>
              <w:right w:w="100" w:type="dxa"/>
            </w:tcMar>
            <w:tcBorders>
              <w:top w:val="single" w:sz="4" w:color="D1D5DB"/>
              <w:left w:val="single" w:sz="4" w:color="D1D5DB"/>
              <w:bottom w:val="single" w:sz="4" w:color="D1D5DB"/>
              <w:right w:val="single" w:sz="4" w:color="D1D5DB"/>
            </w:tcBorders>
          </w:tcPr>
          <w:p>
            <w:pPr>
              <w:spacing w:after="0"/>
            </w:pPr>
            <w:r>
              <w:rPr>
                <w:rFonts w:ascii="Calibri" w:hAnsi="Calibri"/>
                <w:b/>
                <w:color w:val="FFFFFF"/>
                <w:sz w:val="18"/>
              </w:rPr>
              <w:t>Provider / Feed Name</w:t>
            </w:r>
          </w:p>
        </w:tc>
        <w:tc>
          <w:tcPr>
            <w:tcW w:type="dxa" w:w="2592"/>
            <w:shd w:fill="104C5C"/>
            <w:tcMar>
              <w:top w:w="100" w:type="dxa"/>
              <w:bottom w:w="100" w:type="dxa"/>
              <w:left w:w="100" w:type="dxa"/>
              <w:right w:w="100" w:type="dxa"/>
            </w:tcMar>
            <w:tcBorders>
              <w:top w:val="single" w:sz="4" w:color="D1D5DB"/>
              <w:left w:val="single" w:sz="4" w:color="D1D5DB"/>
              <w:bottom w:val="single" w:sz="4" w:color="D1D5DB"/>
              <w:right w:val="single" w:sz="4" w:color="D1D5DB"/>
            </w:tcBorders>
          </w:tcPr>
          <w:p>
            <w:pPr>
              <w:spacing w:after="0"/>
            </w:pPr>
            <w:r>
              <w:rPr>
                <w:rFonts w:ascii="Calibri" w:hAnsi="Calibri"/>
                <w:b/>
                <w:color w:val="FFFFFF"/>
                <w:sz w:val="18"/>
              </w:rPr>
              <w:t>Classification / Type</w:t>
            </w:r>
          </w:p>
        </w:tc>
        <w:tc>
          <w:tcPr>
            <w:tcW w:type="dxa" w:w="3888"/>
            <w:shd w:fill="104C5C"/>
            <w:tcMar>
              <w:top w:w="100" w:type="dxa"/>
              <w:bottom w:w="100" w:type="dxa"/>
              <w:left w:w="100" w:type="dxa"/>
              <w:right w:w="100" w:type="dxa"/>
            </w:tcMar>
            <w:tcBorders>
              <w:top w:val="single" w:sz="4" w:color="D1D5DB"/>
              <w:left w:val="single" w:sz="4" w:color="D1D5DB"/>
              <w:bottom w:val="single" w:sz="4" w:color="D1D5DB"/>
              <w:right w:val="single" w:sz="4" w:color="D1D5DB"/>
            </w:tcBorders>
          </w:tcPr>
          <w:p>
            <w:pPr>
              <w:spacing w:after="0"/>
            </w:pPr>
            <w:r>
              <w:rPr>
                <w:rFonts w:ascii="Calibri" w:hAnsi="Calibri"/>
                <w:b/>
                <w:color w:val="FFFFFF"/>
                <w:sz w:val="18"/>
              </w:rPr>
              <w:t>Primary Focus &amp; Use Case</w:t>
            </w:r>
          </w:p>
        </w:tc>
      </w:tr>
      <w:tr>
        <w:tc>
          <w:tcPr>
            <w:tcW w:type="dxa" w:w="2880"/>
            <w:shd w:fill="F4F7F8"/>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b/>
                <w:color w:val="22708A"/>
                <w:sz w:val="17"/>
              </w:rPr>
              <w:t>CISA (cisa.gov)</w:t>
            </w:r>
          </w:p>
        </w:tc>
        <w:tc>
          <w:tcPr>
            <w:tcW w:type="dxa" w:w="2592"/>
            <w:shd w:fill="F4F7F8"/>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U.S. Federal Government</w:t>
            </w:r>
          </w:p>
        </w:tc>
        <w:tc>
          <w:tcPr>
            <w:tcW w:type="dxa" w:w="3888"/>
            <w:shd w:fill="F4F7F8"/>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Known Exploited Vulnerabilities (KEV) catalog and national cyber alerts.</w:t>
            </w:r>
          </w:p>
        </w:tc>
      </w:tr>
      <w:tr>
        <w:tc>
          <w:tcPr>
            <w:tcW w:type="dxa" w:w="2880"/>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b/>
                <w:color w:val="22708A"/>
                <w:sz w:val="17"/>
              </w:rPr>
              <w:t>NIST CSRC (csrc.nist.gov)</w:t>
            </w:r>
          </w:p>
        </w:tc>
        <w:tc>
          <w:tcPr>
            <w:tcW w:type="dxa" w:w="2592"/>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Standard / Government</w:t>
            </w:r>
          </w:p>
        </w:tc>
        <w:tc>
          <w:tcPr>
            <w:tcW w:type="dxa" w:w="3888"/>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National Vulnerability Database (NVD), CVSS metrics, and SP 800 guidance.</w:t>
            </w:r>
          </w:p>
        </w:tc>
      </w:tr>
      <w:tr>
        <w:tc>
          <w:tcPr>
            <w:tcW w:type="dxa" w:w="2880"/>
            <w:shd w:fill="F4F7F8"/>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b/>
                <w:color w:val="22708A"/>
                <w:sz w:val="17"/>
              </w:rPr>
              <w:t>SANS Internet Storm Center</w:t>
            </w:r>
          </w:p>
        </w:tc>
        <w:tc>
          <w:tcPr>
            <w:tcW w:type="dxa" w:w="2592"/>
            <w:shd w:fill="F4F7F8"/>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Open Community / Academic</w:t>
            </w:r>
          </w:p>
        </w:tc>
        <w:tc>
          <w:tcPr>
            <w:tcW w:type="dxa" w:w="3888"/>
            <w:shd w:fill="F4F7F8"/>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Global firewall and honeypot telemetry monitoring Internet 'weather' and port attacks.</w:t>
            </w:r>
          </w:p>
        </w:tc>
      </w:tr>
      <w:tr>
        <w:tc>
          <w:tcPr>
            <w:tcW w:type="dxa" w:w="2880"/>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b/>
                <w:color w:val="22708A"/>
                <w:sz w:val="17"/>
              </w:rPr>
              <w:t>AlienVault OTX (otx.alienvault.com)</w:t>
            </w:r>
          </w:p>
        </w:tc>
        <w:tc>
          <w:tcPr>
            <w:tcW w:type="dxa" w:w="2592"/>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Crowdsourced Community</w:t>
            </w:r>
          </w:p>
        </w:tc>
        <w:tc>
          <w:tcPr>
            <w:tcW w:type="dxa" w:w="3888"/>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Community-generated Pulses sharing multi-vector IoCs (IP, hash, domain).</w:t>
            </w:r>
          </w:p>
        </w:tc>
      </w:tr>
      <w:tr>
        <w:tc>
          <w:tcPr>
            <w:tcW w:type="dxa" w:w="2880"/>
            <w:shd w:fill="F4F7F8"/>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b/>
                <w:color w:val="22708A"/>
                <w:sz w:val="17"/>
              </w:rPr>
              <w:t>Abuse.ch (abuse.ch)</w:t>
            </w:r>
          </w:p>
        </w:tc>
        <w:tc>
          <w:tcPr>
            <w:tcW w:type="dxa" w:w="2592"/>
            <w:shd w:fill="F4F7F8"/>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Open Research Feeds</w:t>
            </w:r>
          </w:p>
        </w:tc>
        <w:tc>
          <w:tcPr>
            <w:tcW w:type="dxa" w:w="3888"/>
            <w:shd w:fill="F4F7F8"/>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Specialized feeds: URLhaus (malware URLs), MalwareBazaar, and ThreatFox IoCs.</w:t>
            </w:r>
          </w:p>
        </w:tc>
      </w:tr>
      <w:tr>
        <w:tc>
          <w:tcPr>
            <w:tcW w:type="dxa" w:w="2880"/>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b/>
                <w:color w:val="22708A"/>
                <w:sz w:val="17"/>
              </w:rPr>
              <w:t>VirusTotal Intelligence</w:t>
            </w:r>
          </w:p>
        </w:tc>
        <w:tc>
          <w:tcPr>
            <w:tcW w:type="dxa" w:w="2592"/>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Commercial / Multi-AV</w:t>
            </w:r>
          </w:p>
        </w:tc>
        <w:tc>
          <w:tcPr>
            <w:tcW w:type="dxa" w:w="3888"/>
            <w:shd w:fill="FFFFFF"/>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Aggregated multi-engine hash reputation, sandbox telemetry, and graph analysis.</w:t>
            </w:r>
          </w:p>
        </w:tc>
      </w:tr>
      <w:tr>
        <w:tc>
          <w:tcPr>
            <w:tcW w:type="dxa" w:w="2880"/>
            <w:shd w:fill="F4F7F8"/>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b/>
                <w:color w:val="22708A"/>
                <w:sz w:val="17"/>
              </w:rPr>
              <w:t>Cisco Talos / Mandiant / CrowdStrike</w:t>
            </w:r>
          </w:p>
        </w:tc>
        <w:tc>
          <w:tcPr>
            <w:tcW w:type="dxa" w:w="2592"/>
            <w:shd w:fill="F4F7F8"/>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Commercial Tier-1 CTI</w:t>
            </w:r>
          </w:p>
        </w:tc>
        <w:tc>
          <w:tcPr>
            <w:tcW w:type="dxa" w:w="3888"/>
            <w:shd w:fill="F4F7F8"/>
            <w:tcMar>
              <w:top w:w="80" w:type="dxa"/>
              <w:bottom w:w="80" w:type="dxa"/>
              <w:left w:w="100" w:type="dxa"/>
              <w:right w:w="100" w:type="dxa"/>
            </w:tcMar>
            <w:tcBorders>
              <w:top w:val="single" w:sz="4" w:color="D1D5DB"/>
              <w:left w:val="single" w:sz="4" w:color="D1D5DB"/>
              <w:bottom w:val="single" w:sz="4" w:color="D1D5DB"/>
              <w:right w:val="single" w:sz="4" w:color="D1D5DB"/>
            </w:tcBorders>
          </w:tcPr>
          <w:p>
            <w:pPr>
              <w:spacing w:after="0" w:line="252" w:lineRule="auto"/>
            </w:pPr>
            <w:r>
              <w:rPr>
                <w:rFonts w:ascii="Calibri" w:hAnsi="Calibri"/>
                <w:sz w:val="17"/>
              </w:rPr>
              <w:t>Deep threat actor attribution, advanced campaign tracking, and tactical feeds.</w:t>
            </w:r>
          </w:p>
        </w:tc>
      </w:tr>
    </w:tbl>
    <w:p>
      <w:pPr>
        <w:spacing w:after="120"/>
      </w:pPr>
    </w:p>
    <w:p>
      <w:pPr>
        <w:keepNext/>
        <w:spacing w:before="320" w:after="80"/>
        <w:pBdr>
          <w:bottom w:val="single" w:sz="12" w:space="4" w:color="104C5C"/>
        </w:pBdr>
      </w:pPr>
      <w:r>
        <w:rPr>
          <w:rFonts w:ascii="Calibri" w:hAnsi="Calibri"/>
          <w:b/>
          <w:color w:val="104C5C"/>
          <w:sz w:val="30"/>
        </w:rPr>
        <w:t>Part 3: Exploit Intelligence (Offensive Security Exploit-DB)</w:t>
      </w:r>
    </w:p>
    <w:p>
      <w:r>
        <w:t>Investigate proof-of-concept (PoC) exploit code repositories and Google Dork search operators.</w:t>
      </w:r>
    </w:p>
    <w:p>
      <w:pPr>
        <w:keepNext/>
        <w:spacing w:before="120" w:after="40"/>
      </w:pPr>
      <w:r>
        <w:rPr>
          <w:rFonts w:ascii="Calibri" w:hAnsi="Calibri"/>
          <w:b/>
          <w:color w:val="104C5C"/>
          <w:sz w:val="22"/>
        </w:rPr>
        <w:t xml:space="preserve">Step 8: </w:t>
      </w:r>
      <w:r>
        <w:rPr>
          <w:rFonts w:ascii="Calibri" w:hAnsi="Calibri"/>
          <w:b/>
          <w:color w:val="282828"/>
          <w:sz w:val="22"/>
        </w:rPr>
        <w:t>Access The Exploit Database</w:t>
      </w:r>
    </w:p>
    <w:p>
      <w:pPr>
        <w:spacing w:before="0" w:after="80"/>
        <w:ind w:left="288"/>
      </w:pPr>
      <w:r>
        <w:rPr>
          <w:sz w:val="21"/>
        </w:rPr>
        <w:t>In your local browser address bar, navigate to the Exploit Database home page:</w:t>
      </w:r>
    </w:p>
    <w:tbl>
      <w:tblPr>
        <w:tblW w:type="auto" w:w="0"/>
        <w:jc w:val="center"/>
        <w:tblLayout w:type="fixed"/>
        <w:tblLook w:firstColumn="1" w:firstRow="1" w:lastColumn="0" w:lastRow="0" w:noHBand="0" w:noVBand="1" w:val="04A0"/>
      </w:tblPr>
      <w:tblGrid>
        <w:gridCol w:w="9360"/>
      </w:tblGrid>
      <w:tr>
        <w:tc>
          <w:tcPr>
            <w:tcW w:type="dxa" w:w="9360"/>
            <w:shd w:fill="2B303A"/>
            <w:tcMar>
              <w:top w:w="80" w:type="dxa"/>
              <w:bottom w:w="80" w:type="dxa"/>
              <w:left w:w="140" w:type="dxa"/>
              <w:right w:w="140" w:type="dxa"/>
            </w:tcMar>
            <w:tcBorders>
              <w:top w:val="single" w:sz="4" w:color="495057"/>
              <w:left w:val="single" w:sz="18" w:color="104C5C"/>
              <w:bottom w:val="single" w:sz="4" w:color="495057"/>
              <w:right w:val="single" w:sz="4" w:color="495057"/>
            </w:tcBorders>
          </w:tcPr>
          <w:p>
            <w:pPr>
              <w:spacing w:before="40" w:after="40" w:line="252" w:lineRule="auto"/>
            </w:pPr>
            <w:r>
              <w:rPr>
                <w:rFonts w:ascii="Consolas" w:hAnsi="Consolas"/>
                <w:b/>
                <w:color w:val="64C8C8"/>
                <w:sz w:val="19"/>
              </w:rPr>
              <w:t xml:space="preserve">NAVIGATE &gt; </w:t>
            </w:r>
            <w:r>
              <w:rPr>
                <w:rFonts w:ascii="Consolas" w:hAnsi="Consolas"/>
                <w:b/>
                <w:color w:val="F8F9FA"/>
                <w:sz w:val="19"/>
              </w:rPr>
              <w:t>https://www.exploit-db.com/</w:t>
            </w:r>
          </w:p>
        </w:tc>
      </w:tr>
    </w:tbl>
    <w:p>
      <w:pPr>
        <w:spacing w:before="0" w:after="80"/>
      </w:pPr>
    </w:p>
    <w:p>
      <w:pPr>
        <w:keepNext/>
        <w:spacing w:before="120" w:after="40"/>
      </w:pPr>
      <w:r>
        <w:rPr>
          <w:rFonts w:ascii="Calibri" w:hAnsi="Calibri"/>
          <w:b/>
          <w:color w:val="104C5C"/>
          <w:sz w:val="22"/>
        </w:rPr>
        <w:t xml:space="preserve">Step 9: </w:t>
      </w:r>
      <w:r>
        <w:rPr>
          <w:rFonts w:ascii="Calibri" w:hAnsi="Calibri"/>
          <w:b/>
          <w:color w:val="282828"/>
          <w:sz w:val="22"/>
        </w:rPr>
        <w:t>Review Exploit Metadata Columns</w:t>
      </w:r>
    </w:p>
    <w:p>
      <w:pPr>
        <w:spacing w:before="0" w:after="80"/>
        <w:ind w:left="288"/>
      </w:pPr>
      <w:r>
        <w:rPr>
          <w:sz w:val="21"/>
        </w:rPr>
        <w:t>The main page lists published vulnerabilities in reverse chronological order:</w:t>
        <w:br/>
        <w:t>• Date: Posting date (latest on top).</w:t>
        <w:br/>
        <w:t>• D (Download Exploit): Direct raw download link for exploit source code (Python, C, Ruby, etc.).</w:t>
        <w:br/>
        <w:t>• A (Vulnerable Application): Direct link to mirror installer of vulnerable software.</w:t>
        <w:br/>
        <w:t>• V (Verified): Checkmark indicating Offensive Security has confirmed weaponization in lab.</w:t>
        <w:br/>
        <w:t>• Title: Affected product name, version, and vulnerability class.</w:t>
        <w:br/>
        <w:t>• Type: Attack vector scope (e.g., Remote, Local, DoS, WebApp).</w:t>
        <w:br/>
        <w:t>• Platform: Target architecture/language (e.g., Linux, Windows, PHP, Hardware).</w:t>
        <w:br/>
        <w:t>• Author: Researcher or threat actor who published the advisory/code.</w:t>
      </w:r>
    </w:p>
    <w:p>
      <w:pPr>
        <w:keepNext/>
        <w:spacing w:before="120" w:after="40"/>
      </w:pPr>
      <w:r>
        <w:rPr>
          <w:rFonts w:ascii="Calibri" w:hAnsi="Calibri"/>
          <w:b/>
          <w:color w:val="104C5C"/>
          <w:sz w:val="22"/>
        </w:rPr>
        <w:t xml:space="preserve">Step 10: </w:t>
      </w:r>
      <w:r>
        <w:rPr>
          <w:rFonts w:ascii="Calibri" w:hAnsi="Calibri"/>
          <w:b/>
          <w:color w:val="282828"/>
          <w:sz w:val="22"/>
        </w:rPr>
        <w:t>Inspect Query Filters</w:t>
      </w:r>
    </w:p>
    <w:p>
      <w:pPr>
        <w:spacing w:before="0" w:after="80"/>
        <w:ind w:left="288"/>
      </w:pPr>
      <w:r>
        <w:rPr>
          <w:sz w:val="21"/>
        </w:rPr>
        <w:t>Click the 'Filters' button to inspect search categories: Type, Platform, Author, Port, and Tag.</w:t>
      </w:r>
    </w:p>
    <w:p>
      <w:pPr>
        <w:spacing w:before="0" w:after="120"/>
        <w:ind w:left="288"/>
      </w:pPr>
      <w:r>
        <w:rPr>
          <w:b/>
          <w:color w:val="278246"/>
          <w:sz w:val="19"/>
        </w:rPr>
        <w:t xml:space="preserve">✓ Checkpoint / Exam Answer: </w:t>
      </w:r>
      <w:r>
        <w:rPr>
          <w:color w:val="282828"/>
          <w:sz w:val="19"/>
        </w:rPr>
        <w:t>Knowledge Check: Which of the following is NOT an option in the list of Filters for exploits on The Exploit Database?</w:t>
        <w:br/>
        <w:t>• Options: Authentication Bypass, Code Injection, Evil Twin / Rogue Access Point, Deserialization, Heap Overflow</w:t>
        <w:br/>
        <w:t>• Correct Answer: Evil Twin / Rogue Access Point (Wireless attack vector, not a software flaw category).</w:t>
      </w:r>
    </w:p>
    <w:p>
      <w:pPr>
        <w:keepNext/>
        <w:spacing w:before="120" w:after="40"/>
      </w:pPr>
      <w:r>
        <w:rPr>
          <w:rFonts w:ascii="Calibri" w:hAnsi="Calibri"/>
          <w:b/>
          <w:color w:val="104C5C"/>
          <w:sz w:val="22"/>
        </w:rPr>
        <w:t xml:space="preserve">Step 11: </w:t>
      </w:r>
      <w:r>
        <w:rPr>
          <w:rFonts w:ascii="Calibri" w:hAnsi="Calibri"/>
          <w:b/>
          <w:color w:val="282828"/>
          <w:sz w:val="22"/>
        </w:rPr>
        <w:t>Access Google Hacking Database (GHDB)</w:t>
      </w:r>
    </w:p>
    <w:p>
      <w:pPr>
        <w:spacing w:before="0" w:after="80"/>
        <w:ind w:left="288"/>
      </w:pPr>
      <w:r>
        <w:rPr>
          <w:sz w:val="21"/>
        </w:rPr>
        <w:t>Hover over the compressed left sidebar menu to expand it, then select 'GHDB'. The Google Hacking Database is an index of crafted search queries ('Google Dorks') used to uncover exposed servers, misconfigured files, and credentials via search indexing engines.</w:t>
      </w:r>
    </w:p>
    <w:p>
      <w:pPr>
        <w:keepNext/>
        <w:spacing w:before="120" w:after="40"/>
      </w:pPr>
      <w:r>
        <w:rPr>
          <w:rFonts w:ascii="Calibri" w:hAnsi="Calibri"/>
          <w:b/>
          <w:color w:val="104C5C"/>
          <w:sz w:val="22"/>
        </w:rPr>
        <w:t xml:space="preserve">Step 12: </w:t>
      </w:r>
      <w:r>
        <w:rPr>
          <w:rFonts w:ascii="Calibri" w:hAnsi="Calibri"/>
          <w:b/>
          <w:color w:val="282828"/>
          <w:sz w:val="22"/>
        </w:rPr>
        <w:t>Search Password Exposure Dorks</w:t>
      </w:r>
    </w:p>
    <w:p>
      <w:pPr>
        <w:spacing w:before="0" w:after="80"/>
        <w:ind w:left="288"/>
      </w:pPr>
      <w:r>
        <w:rPr>
          <w:sz w:val="21"/>
        </w:rPr>
        <w:t>Click the 'Filters' button on the GHDB page. In the 'Category' dropdown, select 'Files Containing Passwords'. Select any entry to view the raw query syntax.</w:t>
      </w:r>
    </w:p>
    <w:p>
      <w:pPr>
        <w:keepNext/>
        <w:spacing w:before="120" w:after="40"/>
      </w:pPr>
      <w:r>
        <w:rPr>
          <w:rFonts w:ascii="Calibri" w:hAnsi="Calibri"/>
          <w:b/>
          <w:color w:val="104C5C"/>
          <w:sz w:val="22"/>
        </w:rPr>
        <w:t xml:space="preserve">Step 13: </w:t>
      </w:r>
      <w:r>
        <w:rPr>
          <w:rFonts w:ascii="Calibri" w:hAnsi="Calibri"/>
          <w:b/>
          <w:color w:val="282828"/>
          <w:sz w:val="22"/>
        </w:rPr>
        <w:t>Examine Search Dork Behavior &amp; OPSEC Rules</w:t>
      </w:r>
    </w:p>
    <w:p>
      <w:pPr>
        <w:spacing w:before="0" w:after="80"/>
        <w:ind w:left="288"/>
      </w:pPr>
      <w:r>
        <w:rPr>
          <w:sz w:val="21"/>
        </w:rPr>
        <w:t>Click the search term link adjacent to the 'Google Search:' label to observe live query generation.</w:t>
      </w:r>
    </w:p>
    <w:p>
      <w:pPr>
        <w:spacing w:before="0" w:after="120"/>
        <w:ind w:left="288"/>
      </w:pPr>
      <w:r>
        <w:rPr>
          <w:b/>
          <w:color w:val="278246"/>
          <w:sz w:val="19"/>
        </w:rPr>
        <w:t xml:space="preserve">✓ Checkpoint / Exam Answer: </w:t>
      </w:r>
      <w:r>
        <w:rPr>
          <w:color w:val="282828"/>
          <w:sz w:val="19"/>
        </w:rPr>
        <w:t>Operational Security (OPSEC) Warning: Never browse or interact with discovered target sites directly from a personal or non-hardened workstation. Always conduct search-based reconnaissance from isolated sandbox VMs.</w:t>
      </w:r>
    </w:p>
    <w:p>
      <w:pPr>
        <w:keepNext/>
        <w:spacing w:before="120" w:after="40"/>
      </w:pPr>
      <w:r>
        <w:rPr>
          <w:rFonts w:ascii="Calibri" w:hAnsi="Calibri"/>
          <w:b/>
          <w:color w:val="104C5C"/>
          <w:sz w:val="22"/>
        </w:rPr>
        <w:t xml:space="preserve">Step 14: </w:t>
      </w:r>
      <w:r>
        <w:rPr>
          <w:rFonts w:ascii="Calibri" w:hAnsi="Calibri"/>
          <w:b/>
          <w:color w:val="282828"/>
          <w:sz w:val="22"/>
        </w:rPr>
        <w:t>Review Additional Exploit-DB Modules</w:t>
      </w:r>
    </w:p>
    <w:p>
      <w:pPr>
        <w:spacing w:before="0" w:after="80"/>
        <w:ind w:left="288"/>
      </w:pPr>
      <w:r>
        <w:rPr>
          <w:sz w:val="21"/>
        </w:rPr>
        <w:t>Expand the sidebar menu to review additional offensive security research modules:</w:t>
        <w:br/>
        <w:t>• Security Papers: Academic whitepapers, theoretical exploit methods, and protocol analyses.</w:t>
        <w:br/>
        <w:t>• Shellcodes: Standalone binary shellcode payloads and assembly instructions for exploit integration.</w:t>
        <w:br/>
        <w:t>• SearchSploit Manual: CLI utility documentation for offline searching of the Exploit-DB archive on Kali Linux.</w:t>
      </w:r>
    </w:p>
    <w:tbl>
      <w:tblPr>
        <w:tblW w:type="auto" w:w="0"/>
        <w:jc w:val="center"/>
        <w:tblLayout w:type="fixed"/>
        <w:tblLook w:firstColumn="1" w:firstRow="1" w:lastColumn="0" w:lastRow="0" w:noHBand="0" w:noVBand="1" w:val="04A0"/>
      </w:tblPr>
      <w:tblGrid>
        <w:gridCol w:w="9360"/>
      </w:tblGrid>
      <w:tr>
        <w:tc>
          <w:tcPr>
            <w:tcW w:type="dxa" w:w="9360"/>
            <w:shd w:fill="F4F7F8"/>
            <w:tcMar>
              <w:top w:w="120" w:type="dxa"/>
              <w:bottom w:w="120" w:type="dxa"/>
              <w:left w:w="180" w:type="dxa"/>
              <w:right w:w="180" w:type="dxa"/>
            </w:tcMar>
            <w:tcBorders>
              <w:top w:val="none"/>
              <w:left w:val="single" w:sz="24" w:space="0" w:color="104C5C"/>
              <w:bottom w:val="none"/>
              <w:right w:val="none"/>
            </w:tcBorders>
          </w:tcPr>
          <w:p>
            <w:pPr>
              <w:spacing w:before="40" w:after="40" w:line="276" w:lineRule="auto"/>
            </w:pPr>
            <w:r>
              <w:rPr>
                <w:rFonts w:ascii="Calibri" w:hAnsi="Calibri"/>
                <w:b/>
                <w:color w:val="104C5C"/>
                <w:sz w:val="20"/>
              </w:rPr>
              <w:t>COMPTIA SECURITY+ KEY EXAM TAKEAWAYS:</w:t>
              <w:br/>
            </w:r>
            <w:r>
              <w:rPr>
                <w:rFonts w:ascii="Calibri" w:hAnsi="Calibri"/>
                <w:color w:val="282828"/>
                <w:sz w:val="20"/>
              </w:rPr>
              <w:t>1. Threat Feed Integration (STIX/TAXII): Enterprise SIEM/SOAR platforms ingest feeds using structured formats (STIX - Structured Threat Information Expression) over standardized transport protocols (TAXII - Trusted Automated Exchange of Intelligence Information).</w:t>
              <w:br/>
              <w:t>2. Dual-Use Awareness: Exploit repositories like Exploit-DB and GHDB serve both penetration testers validating enterprise defenses and threat actors weaponizing newly published vulnerabilities.</w:t>
              <w:br/>
              <w:t>3. Vulnerability Prioritization: Vulnerability management teams combine CVSS severity scores with Exploit-DB PoC availability and CISA KEV presence to prioritize patching.</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