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Normal"/>
        <w:spacing w:before="0" w:after="40"/>
        <w:rPr>
          <w:color w:val="000000"/>
        </w:rPr>
      </w:pPr>
      <w:r>
        <w:rPr>
          <w:b/>
          <w:color w:val="000000"/>
          <w:sz w:val="20"/>
        </w:rPr>
        <w:t>LAPORAN RISET &amp; PENGUJIAN</w:t>
      </w:r>
    </w:p>
    <w:p>
      <w:pPr>
        <w:pStyle w:val="Normal"/>
        <w:spacing w:before="0" w:after="80"/>
        <w:rPr>
          <w:color w:val="000000"/>
        </w:rPr>
      </w:pPr>
      <w:r>
        <w:rPr>
          <w:b/>
          <w:color w:val="000000"/>
          <w:sz w:val="44"/>
        </w:rPr>
        <w:t>Deteksi Objek UAV (Musuh vs Bukan Musuh):</w:t>
        <w:br/>
        <w:t>Eksperimen Arsitektur YOLO26 + CBAM &amp; Pipeline Inferensi Video</w:t>
      </w:r>
    </w:p>
    <w:tbl>
      <w:tblPr>
        <w:tblW w:w="9360" w:type="dxa"/>
        <w:jc w:val="center"/>
        <w:tblInd w:w="0" w:type="dxa"/>
        <w:tblCellMar>
          <w:top w:w="60" w:type="dxa"/>
          <w:left w:w="100" w:type="dxa"/>
          <w:bottom w:w="60" w:type="dxa"/>
          <w:right w:w="100" w:type="dxa"/>
        </w:tblCellMar>
        <w:tblLook w:val="04a0" w:noHBand="0" w:noVBand="1" w:firstColumn="1" w:lastRow="0" w:lastColumn="0" w:firstRow="1"/>
      </w:tblPr>
      <w:tblGrid>
        <w:gridCol w:w="4680"/>
        <w:gridCol w:w="4679"/>
      </w:tblGrid>
      <w:tr>
        <w:trPr/>
        <w:tc>
          <w:tcPr>
            <w:tcW w:w="4680" w:type="dxa"/>
            <w:tcBorders>
              <w:top w:val="single" w:sz="4" w:space="0" w:color="E2E8F0"/>
              <w:bottom w:val="single" w:sz="4" w:space="0" w:color="E2E8F0"/>
            </w:tcBorders>
            <w:shd w:fill="F7FAFC"/>
          </w:tcPr>
          <w:p>
            <w:pPr>
              <w:pStyle w:val="Normal"/>
              <w:spacing w:before="0" w:after="120"/>
              <w:rPr>
                <w:color w:val="000000"/>
              </w:rPr>
            </w:pPr>
            <w:r>
              <w:rPr>
                <w:b/>
                <w:color w:val="000000"/>
                <w:sz w:val="19"/>
              </w:rPr>
              <w:t>Platform &amp; Hardware Pengujian</w:t>
            </w:r>
          </w:p>
        </w:tc>
        <w:tc>
          <w:tcPr>
            <w:tcW w:w="4679" w:type="dxa"/>
            <w:tcBorders>
              <w:top w:val="single" w:sz="4" w:space="0" w:color="E2E8F0"/>
              <w:bottom w:val="single" w:sz="4" w:space="0" w:color="E2E8F0"/>
            </w:tcBorders>
          </w:tcPr>
          <w:p>
            <w:pPr>
              <w:pStyle w:val="Normal"/>
              <w:spacing w:before="0" w:after="120"/>
              <w:rPr>
                <w:color w:val="000000"/>
              </w:rPr>
            </w:pPr>
            <w:r>
              <w:rPr>
                <w:color w:val="000000"/>
                <w:sz w:val="19"/>
              </w:rPr>
              <w:t>NVIDIA GeForce RTX 5070 (12 GB VRAM) | PyTorch 2.14.0+cu132</w:t>
            </w:r>
          </w:p>
        </w:tc>
      </w:tr>
      <w:tr>
        <w:trPr/>
        <w:tc>
          <w:tcPr>
            <w:tcW w:w="4680" w:type="dxa"/>
            <w:tcBorders>
              <w:top w:val="single" w:sz="4" w:space="0" w:color="E2E8F0"/>
              <w:bottom w:val="single" w:sz="4" w:space="0" w:color="E2E8F0"/>
            </w:tcBorders>
            <w:shd w:fill="F7FAFC"/>
          </w:tcPr>
          <w:p>
            <w:pPr>
              <w:pStyle w:val="Normal"/>
              <w:spacing w:before="0" w:after="120"/>
              <w:rPr>
                <w:color w:val="000000"/>
              </w:rPr>
            </w:pPr>
            <w:r>
              <w:rPr>
                <w:b/>
                <w:color w:val="000000"/>
                <w:sz w:val="19"/>
              </w:rPr>
              <w:t>Dataset &amp; Skema Anotasi</w:t>
            </w:r>
          </w:p>
        </w:tc>
        <w:tc>
          <w:tcPr>
            <w:tcW w:w="4679" w:type="dxa"/>
            <w:tcBorders>
              <w:top w:val="single" w:sz="4" w:space="0" w:color="E2E8F0"/>
              <w:bottom w:val="single" w:sz="4" w:space="0" w:color="E2E8F0"/>
            </w:tcBorders>
          </w:tcPr>
          <w:p>
            <w:pPr>
              <w:pStyle w:val="Normal"/>
              <w:spacing w:before="0" w:after="120"/>
              <w:rPr>
                <w:color w:val="000000"/>
              </w:rPr>
            </w:pPr>
            <w:r>
              <w:rPr>
                <w:color w:val="000000"/>
                <w:sz w:val="19"/>
              </w:rPr>
              <w:t>enemy-detection-1-fps v1 (Roboflow) | Kelas: ally (0) &amp; enemy (1)</w:t>
            </w:r>
          </w:p>
        </w:tc>
      </w:tr>
      <w:tr>
        <w:trPr/>
        <w:tc>
          <w:tcPr>
            <w:tcW w:w="4680" w:type="dxa"/>
            <w:tcBorders>
              <w:top w:val="single" w:sz="4" w:space="0" w:color="E2E8F0"/>
              <w:bottom w:val="single" w:sz="4" w:space="0" w:color="E2E8F0"/>
            </w:tcBorders>
            <w:shd w:fill="F7FAFC"/>
          </w:tcPr>
          <w:p>
            <w:pPr>
              <w:pStyle w:val="Normal"/>
              <w:spacing w:before="0" w:after="120"/>
              <w:rPr>
                <w:color w:val="000000"/>
              </w:rPr>
            </w:pPr>
            <w:r>
              <w:rPr>
                <w:b/>
                <w:color w:val="000000"/>
                <w:sz w:val="19"/>
              </w:rPr>
              <w:t>Ruang Lingkup Eksperimen</w:t>
            </w:r>
          </w:p>
        </w:tc>
        <w:tc>
          <w:tcPr>
            <w:tcW w:w="4679" w:type="dxa"/>
            <w:tcBorders>
              <w:top w:val="single" w:sz="4" w:space="0" w:color="E2E8F0"/>
              <w:bottom w:val="single" w:sz="4" w:space="0" w:color="E2E8F0"/>
            </w:tcBorders>
          </w:tcPr>
          <w:p>
            <w:pPr>
              <w:pStyle w:val="Normal"/>
              <w:spacing w:before="0" w:after="120"/>
              <w:rPr>
                <w:color w:val="000000"/>
              </w:rPr>
            </w:pPr>
            <w:r>
              <w:rPr>
                <w:color w:val="000000"/>
                <w:sz w:val="19"/>
              </w:rPr>
              <w:t>Matriks E0–E6 melintasi 5 Skala Model (n, s, m, l, x) = Total 30 Model</w:t>
            </w:r>
          </w:p>
        </w:tc>
      </w:tr>
    </w:tbl>
    <w:p>
      <w:pPr>
        <w:pStyle w:val="Normal"/>
        <w:spacing w:before="0" w:after="200"/>
        <w:rPr>
          <w:color w:val="000000"/>
        </w:rPr>
      </w:pPr>
      <w:r>
        <w:rPr>
          <w:color w:val="000000"/>
        </w:rPr>
      </w:r>
    </w:p>
    <w:p>
      <w:pPr>
        <w:pStyle w:val="Normal"/>
        <w:keepNext w:val="true"/>
        <w:spacing w:before="320" w:after="120"/>
        <w:rPr>
          <w:color w:val="000000"/>
        </w:rPr>
      </w:pPr>
      <w:r>
        <w:rPr>
          <w:b/>
          <w:color w:val="000000"/>
          <w:sz w:val="34"/>
        </w:rPr>
        <w:t>1. Ringkasan Eksekutif</w:t>
      </w:r>
    </w:p>
    <w:p>
      <w:pPr>
        <w:pStyle w:val="Normal"/>
        <w:jc w:val="both"/>
        <w:rPr>
          <w:color w:val="000000"/>
        </w:rPr>
      </w:pPr>
      <w:r>
        <w:rPr>
          <w:color w:val="000000"/>
        </w:rPr>
        <w:t>Laporan ini mendokumentasikan hasil riset, pelatihan, dan evaluasi mendalam sistem deteksi objek udara (Unmanned Aerial Vehicle / UAV) untuk mendeteksi target Musuh (enemy) dan Bukan Musuh (ally). Eksperimen dirancang secara terstruktur dengan mengintegrasikan modul atensi Convolutional Block Attention Module (CBAM) ke dalam berbagai topologi arsitektur YOLO26 (dari Baseline E0 hingga Kombinasi E5) pada lima skala kapasitas model (Nano / n, Small / s, Medium / m, Large / l, dan X-Large / x), menghasilkan matriks 30 konfigurasi model.</w:t>
      </w:r>
    </w:p>
    <w:tbl>
      <w:tblPr>
        <w:tblW w:w="9360" w:type="dxa"/>
        <w:jc w:val="center"/>
        <w:tblInd w:w="0" w:type="dxa"/>
        <w:tblCellMar>
          <w:top w:w="140" w:type="dxa"/>
          <w:left w:w="200" w:type="dxa"/>
          <w:bottom w:w="140" w:type="dxa"/>
          <w:right w:w="160" w:type="dxa"/>
        </w:tblCellMar>
        <w:tblLook w:val="04a0" w:noHBand="0" w:noVBand="1" w:firstColumn="1" w:lastRow="0" w:lastColumn="0" w:firstRow="1"/>
      </w:tblPr>
      <w:tblGrid>
        <w:gridCol w:w="9360"/>
      </w:tblGrid>
      <w:tr>
        <w:trPr/>
        <w:tc>
          <w:tcPr>
            <w:tcW w:w="9360" w:type="dxa"/>
            <w:tcBorders>
              <w:left w:val="single" w:sz="24" w:space="0" w:color="1A365D"/>
            </w:tcBorders>
            <w:shd w:fill="F7FAFC"/>
          </w:tcPr>
          <w:p>
            <w:pPr>
              <w:pStyle w:val="Normal"/>
              <w:spacing w:lineRule="auto" w:line="276" w:before="0" w:after="0"/>
              <w:jc w:val="left"/>
              <w:rPr>
                <w:color w:val="000000"/>
              </w:rPr>
            </w:pPr>
            <w:r>
              <w:rPr>
                <w:b/>
                <w:color w:val="000000"/>
                <w:sz w:val="21"/>
              </w:rPr>
              <w:t>POKOK KESIMPULAN RISET</w:t>
            </w:r>
          </w:p>
          <w:p>
            <w:pPr>
              <w:pStyle w:val="Normal"/>
              <w:spacing w:lineRule="auto" w:line="276" w:before="0" w:after="0"/>
              <w:jc w:val="both"/>
              <w:rPr>
                <w:color w:val="000000"/>
              </w:rPr>
            </w:pPr>
            <w:r>
              <w:rPr>
                <w:color w:val="000000"/>
                <w:sz w:val="20"/>
              </w:rPr>
              <w:br/>
              <w:t>• Model Terbaik Keseluruhan: E0_yolo26n (Baseline Nano tanpa atensi) mengukir performa tertinggi pada test set dengan Test mAP@50 mencapai 92.86%, enemy_mAP@50 sebesar 93.59%, dan latensi sangat cepat 11.48 ms (~87.1 FPS).</w:t>
              <w:br/>
              <w:t>• Dampak CBAM pada Skala Menengah &amp; Besar: Penambahan CBAM 1× pada stage backbone terdalam (P5 / E1) terbukti efektif meningkatkan akurasi model berkapasitas besar. Pada YOLO26m mAP@50 naik dari 80.59% ke 82.77% (+2.18%), dan pada YOLO26x mAP@50 naik signifikan dari 79.53% ke 82.66% (+3.13%), sekaligus menduduki peringkat #1 pada kategori large-capacity (E6).</w:t>
              <w:br/>
              <w:t>• Degradasi Akibat Atensi Berlebihan (Over-Saturation): Pemasangan CBAM secara masif di seluruh tingkat hierarki (E2, E3, E5) justru menurunkan performa serta memperlambat frame rate hingga 14.78 ms (~67.6 FPS) akibat distorsi propagasi fitur dan penalti gradien.</w:t>
              <w:br/>
              <w:t>• Pipeline Video Operasional: Notebook inferensi video menerapkan arsitektur streaming memori stabil dengan pencatatan telemetri CSV per-frame, threshold confidence terstandardisasi (0.50), serta visualisasi bounding box siap integrasi taktis.</w:t>
            </w:r>
          </w:p>
        </w:tc>
      </w:tr>
    </w:tbl>
    <w:p>
      <w:pPr>
        <w:pStyle w:val="Normal"/>
        <w:spacing w:before="0" w:after="80"/>
        <w:rPr>
          <w:color w:val="000000"/>
        </w:rPr>
      </w:pPr>
      <w:r>
        <w:rPr>
          <w:color w:val="000000"/>
        </w:rPr>
      </w:r>
    </w:p>
    <w:p>
      <w:pPr>
        <w:pStyle w:val="Normal"/>
        <w:keepNext w:val="true"/>
        <w:spacing w:before="320" w:after="120"/>
        <w:rPr>
          <w:color w:val="000000"/>
        </w:rPr>
      </w:pPr>
      <w:r>
        <w:rPr>
          <w:b/>
          <w:color w:val="000000"/>
          <w:sz w:val="34"/>
        </w:rPr>
        <w:t>2. Desain Arsitektur &amp; Integrasi Modul CBAM</w:t>
      </w:r>
    </w:p>
    <w:p>
      <w:pPr>
        <w:pStyle w:val="Normal"/>
        <w:jc w:val="both"/>
        <w:rPr>
          <w:color w:val="000000"/>
        </w:rPr>
      </w:pPr>
      <w:r>
        <w:rPr>
          <w:color w:val="000000"/>
        </w:rPr>
        <w:t>Convolutional Block Attention Module (CBAM) merupakan mekanisme atensi modular adaptif yang mengeksploitasi keterkaitan fitur spasial dan antarkanal secara sekuensial. CBAM dirancang untuk memfokuskan ekstraksi representasi pada atribut penting (seperti siluet drone, propeler, atau kontur bodi kendaraan) sekaligus meredam derau latar belakang (background clutter) khas citra pengawasan udara (aerial imagery).</w:t>
      </w:r>
    </w:p>
    <w:p>
      <w:pPr>
        <w:pStyle w:val="Normal"/>
        <w:keepNext w:val="true"/>
        <w:spacing w:before="240" w:after="80"/>
        <w:rPr>
          <w:color w:val="000000"/>
        </w:rPr>
      </w:pPr>
      <w:r>
        <w:rPr>
          <w:b/>
          <w:color w:val="000000"/>
          <w:sz w:val="27"/>
        </w:rPr>
        <w:t>2.1 Mekanisme Sub-Modul CBAM</w:t>
      </w:r>
    </w:p>
    <w:p>
      <w:pPr>
        <w:pStyle w:val="Normal"/>
        <w:rPr>
          <w:color w:val="000000"/>
        </w:rPr>
      </w:pPr>
      <w:r>
        <w:rPr>
          <w:color w:val="000000"/>
        </w:rPr>
        <w:t>CBAM memproses peta fitur perantara F ∈ R^(C×H×W) melalui dua tahapan berurutan:</w:t>
        <w:br/>
        <w:t>1. Channel Attention Module (CAM):</w:t>
        <w:br/>
        <w:t xml:space="preserve">   CAM mengidentifikasi 'fitur apa' yang esensial secara semantik. Peta fitur diringkas melalui operasi Average Pooling dan Max Pooling secara paralel, diproses oleh Shared Multi-Layer Perceptron (MLP) dengan rasio reduksi r = 16, lalu digabungkan:</w:t>
        <w:br/>
        <w:t xml:space="preserve">   Mc(F) = σ( MLP(AvgPool(F)) + MLP(MaxPool(F)) )</w:t>
        <w:br/>
        <w:t xml:space="preserve">   Fitur hasil penyesuaian kanal F' dihitung melalui perkalian elemen: F' = Mc(F) ⊗ F.</w:t>
        <w:br/>
        <w:br/>
        <w:t>2. Spatial Attention Module (SAM):</w:t>
        <w:br/>
        <w:t xml:space="preserve">   SAM mengidentifikasi 'di mana' letak fokus objek yang relevan. F' diagregasikan sepanjang dimensi kanal melalui average pooling dan max pooling saluran, digabungkan (concatenation), dan dikonvolusi menggunakan filter 7×7:</w:t>
        <w:br/>
        <w:t xml:space="preserve">   Ms(F') = σ( f^(7×7)( [AvgPool(F'); MaxPool(F')] ) )</w:t>
        <w:br/>
        <w:t xml:space="preserve">   Fitur final hasil atensi diperoleh dari: F'' = Ms(F') ⊗ F'.</w:t>
      </w:r>
    </w:p>
    <w:p>
      <w:pPr>
        <w:pStyle w:val="Normal"/>
        <w:keepNext w:val="true"/>
        <w:spacing w:before="240" w:after="80"/>
        <w:rPr>
          <w:color w:val="000000"/>
        </w:rPr>
      </w:pPr>
      <w:r>
        <w:rPr>
          <w:b/>
          <w:color w:val="000000"/>
          <w:sz w:val="27"/>
        </w:rPr>
        <w:t>2.2 Zero-Modification Hook pada Framework Ultralytics</w:t>
      </w:r>
    </w:p>
    <w:p>
      <w:pPr>
        <w:pStyle w:val="Normal"/>
        <w:jc w:val="both"/>
        <w:rPr>
          <w:color w:val="000000"/>
        </w:rPr>
      </w:pPr>
      <w:r>
        <w:rPr>
          <w:color w:val="000000"/>
        </w:rPr>
        <w:t>Salah satu keunggulan implementasi teknis pada codebase ini (modul cbam.py) adalah penggunaan Dynamic Module Registration. Tanpa perlu mengubah file inti di direktori library 'ultralytics', fungsi register_cbam() secara runtime menyuntikkan modul CBAM ke dalam nn.modules Ultralytics dan menambahkan parser otomatis untuk resolusi kanal otomatis pada file definisi arsitektur YAML.</w:t>
      </w:r>
    </w:p>
    <w:p>
      <w:pPr>
        <w:pStyle w:val="Normal"/>
        <w:keepNext w:val="true"/>
        <w:spacing w:before="320" w:after="120"/>
        <w:rPr>
          <w:color w:val="000000"/>
        </w:rPr>
      </w:pPr>
      <w:r>
        <w:rPr>
          <w:b/>
          <w:color w:val="000000"/>
          <w:sz w:val="34"/>
        </w:rPr>
        <w:t>3. Metodologi Eksperimen &amp; Desain Matriks E0 – E6</w:t>
      </w:r>
    </w:p>
    <w:p>
      <w:pPr>
        <w:pStyle w:val="Normal"/>
        <w:jc w:val="both"/>
        <w:rPr>
          <w:color w:val="000000"/>
        </w:rPr>
      </w:pPr>
      <w:r>
        <w:rPr>
          <w:color w:val="000000"/>
        </w:rPr>
        <w:t>Untuk mengkaji secara komprehensif pengaruh penempatan topologis CBAM, dirancang 6 variasi eksperimen arsitektural (E0 hingga E5), yang dievaluasi pada 5 skala varian kapasitas model YOLO26: Nano (n), Small (s), Medium (m), Large (l), dan X-Large (x), sehingga tercipta matriks 30 kombinasi model independen yang dilatih masing-masing selama 100 epoch.</w:t>
      </w:r>
    </w:p>
    <w:tbl>
      <w:tblPr>
        <w:tblW w:w="9360" w:type="dxa"/>
        <w:jc w:val="center"/>
        <w:tblInd w:w="0" w:type="dxa"/>
        <w:tblCellMar>
          <w:top w:w="100" w:type="dxa"/>
          <w:left w:w="100" w:type="dxa"/>
          <w:bottom w:w="100" w:type="dxa"/>
          <w:right w:w="100" w:type="dxa"/>
        </w:tblCellMar>
        <w:tblLook w:val="04a0" w:noHBand="0" w:noVBand="1" w:firstColumn="1" w:lastRow="0" w:lastColumn="0" w:firstRow="1"/>
      </w:tblPr>
      <w:tblGrid>
        <w:gridCol w:w="1872"/>
        <w:gridCol w:w="1872"/>
        <w:gridCol w:w="1872"/>
        <w:gridCol w:w="1872"/>
        <w:gridCol w:w="1872"/>
      </w:tblGrid>
      <w:tr>
        <w:trPr/>
        <w:tc>
          <w:tcPr>
            <w:tcW w:w="1872" w:type="dxa"/>
            <w:tcBorders>
              <w:top w:val="single" w:sz="4" w:space="0" w:color="CBD5E0"/>
              <w:bottom w:val="single" w:sz="4" w:space="0" w:color="CBD5E0"/>
            </w:tcBorders>
            <w:shd w:fill="1A365D"/>
          </w:tcPr>
          <w:p>
            <w:pPr>
              <w:pStyle w:val="Normal"/>
              <w:spacing w:before="0" w:after="120"/>
              <w:rPr>
                <w:color w:val="000000"/>
              </w:rPr>
            </w:pPr>
            <w:r>
              <w:rPr>
                <w:b/>
                <w:color w:val="000000"/>
                <w:sz w:val="19"/>
              </w:rPr>
              <w:t>ID</w:t>
            </w:r>
          </w:p>
        </w:tc>
        <w:tc>
          <w:tcPr>
            <w:tcW w:w="1872" w:type="dxa"/>
            <w:tcBorders>
              <w:top w:val="single" w:sz="4" w:space="0" w:color="CBD5E0"/>
              <w:bottom w:val="single" w:sz="4" w:space="0" w:color="CBD5E0"/>
            </w:tcBorders>
            <w:shd w:fill="1A365D"/>
          </w:tcPr>
          <w:p>
            <w:pPr>
              <w:pStyle w:val="Normal"/>
              <w:spacing w:before="0" w:after="120"/>
              <w:rPr>
                <w:color w:val="000000"/>
              </w:rPr>
            </w:pPr>
            <w:r>
              <w:rPr>
                <w:b/>
                <w:color w:val="000000"/>
                <w:sz w:val="19"/>
              </w:rPr>
              <w:t>Arsitektur</w:t>
            </w:r>
          </w:p>
        </w:tc>
        <w:tc>
          <w:tcPr>
            <w:tcW w:w="1872" w:type="dxa"/>
            <w:tcBorders>
              <w:top w:val="single" w:sz="4" w:space="0" w:color="CBD5E0"/>
              <w:bottom w:val="single" w:sz="4" w:space="0" w:color="CBD5E0"/>
            </w:tcBorders>
            <w:shd w:fill="1A365D"/>
          </w:tcPr>
          <w:p>
            <w:pPr>
              <w:pStyle w:val="Normal"/>
              <w:spacing w:before="0" w:after="120"/>
              <w:rPr>
                <w:color w:val="000000"/>
              </w:rPr>
            </w:pPr>
            <w:r>
              <w:rPr>
                <w:b/>
                <w:color w:val="000000"/>
                <w:sz w:val="19"/>
              </w:rPr>
              <w:t>Topologi CBAM</w:t>
            </w:r>
          </w:p>
        </w:tc>
        <w:tc>
          <w:tcPr>
            <w:tcW w:w="1872" w:type="dxa"/>
            <w:tcBorders>
              <w:top w:val="single" w:sz="4" w:space="0" w:color="CBD5E0"/>
              <w:bottom w:val="single" w:sz="4" w:space="0" w:color="CBD5E0"/>
            </w:tcBorders>
            <w:shd w:fill="1A365D"/>
          </w:tcPr>
          <w:p>
            <w:pPr>
              <w:pStyle w:val="Normal"/>
              <w:spacing w:before="0" w:after="120"/>
              <w:rPr>
                <w:color w:val="000000"/>
              </w:rPr>
            </w:pPr>
            <w:r>
              <w:rPr>
                <w:b/>
                <w:color w:val="000000"/>
                <w:sz w:val="19"/>
              </w:rPr>
              <w:t>Lokasi / Skala Atensi</w:t>
            </w:r>
          </w:p>
        </w:tc>
        <w:tc>
          <w:tcPr>
            <w:tcW w:w="1872" w:type="dxa"/>
            <w:tcBorders>
              <w:top w:val="single" w:sz="4" w:space="0" w:color="CBD5E0"/>
              <w:bottom w:val="single" w:sz="4" w:space="0" w:color="CBD5E0"/>
            </w:tcBorders>
            <w:shd w:fill="1A365D"/>
          </w:tcPr>
          <w:p>
            <w:pPr>
              <w:pStyle w:val="Normal"/>
              <w:spacing w:before="0" w:after="120"/>
              <w:rPr>
                <w:color w:val="000000"/>
              </w:rPr>
            </w:pPr>
            <w:r>
              <w:rPr>
                <w:b/>
                <w:color w:val="000000"/>
                <w:sz w:val="19"/>
              </w:rPr>
              <w:t>Tujuan Ilmiah Eksperimen</w:t>
            </w:r>
          </w:p>
        </w:tc>
      </w:tr>
      <w:tr>
        <w:trPr/>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b/>
                <w:color w:val="000000"/>
                <w:sz w:val="18"/>
              </w:rPr>
              <w:t>E0</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YOLO26</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None (Baseline)</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Tidak ada</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Titik acuan dasar kinerja model standar tanpa modul atensi.</w:t>
            </w:r>
          </w:p>
        </w:tc>
      </w:tr>
      <w:tr>
        <w:trPr/>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b/>
                <w:color w:val="000000"/>
                <w:sz w:val="18"/>
              </w:rPr>
              <w:t>E1</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YOLO26</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1× Backbone</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Tahap terdalam (P5)</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Mengukur efektivitas atensi tunggal pada level representasi semantik tertinggi.</w:t>
            </w:r>
          </w:p>
        </w:tc>
      </w:tr>
      <w:tr>
        <w:trPr/>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b/>
                <w:color w:val="000000"/>
                <w:sz w:val="18"/>
              </w:rPr>
              <w:t>E2</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YOLO26</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2× Backbone</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Multi-skala (P4, P5)</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Menguji atensi pada fitur representasi skala menengah dan besar.</w:t>
            </w:r>
          </w:p>
        </w:tc>
      </w:tr>
      <w:tr>
        <w:trPr/>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b/>
                <w:color w:val="000000"/>
                <w:sz w:val="18"/>
              </w:rPr>
              <w:t>E3</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YOLO26</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3× Backbone</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Hierarki penuh (P3, P4, P5)</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Mengevaluasi atensi di seluruh tingkatan resolusi feature map backbone.</w:t>
            </w:r>
          </w:p>
        </w:tc>
      </w:tr>
      <w:tr>
        <w:trPr/>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b/>
                <w:color w:val="000000"/>
                <w:sz w:val="18"/>
              </w:rPr>
              <w:t>E4</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YOLO26</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3× Neck</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Cabang luaran Neck (P3, P4, P5)</w:t>
            </w:r>
          </w:p>
        </w:tc>
        <w:tc>
          <w:tcPr>
            <w:tcW w:w="1872" w:type="dxa"/>
            <w:tcBorders>
              <w:top w:val="single" w:sz="4" w:space="0" w:color="CBD5E0"/>
              <w:bottom w:val="single" w:sz="4" w:space="0" w:color="CBD5E0"/>
            </w:tcBorders>
            <w:shd w:fill="F7FAFC"/>
            <w:tcMar>
              <w:top w:w="80" w:type="dxa"/>
              <w:bottom w:w="80" w:type="dxa"/>
            </w:tcMar>
          </w:tcPr>
          <w:p>
            <w:pPr>
              <w:pStyle w:val="Normal"/>
              <w:spacing w:before="0" w:after="120"/>
              <w:rPr>
                <w:color w:val="000000"/>
              </w:rPr>
            </w:pPr>
            <w:r>
              <w:rPr>
                <w:color w:val="000000"/>
                <w:sz w:val="18"/>
              </w:rPr>
              <w:t>Komparasi langsung pengaruh atensi pada Neck (FPN/PAN) vs Backbone.</w:t>
            </w:r>
          </w:p>
        </w:tc>
      </w:tr>
      <w:tr>
        <w:trPr/>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b/>
                <w:color w:val="000000"/>
                <w:sz w:val="18"/>
              </w:rPr>
              <w:t>E5</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YOLO26</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Backbone + Neck</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Kombinasi penuh (6 blok CBAM)</w:t>
            </w:r>
          </w:p>
        </w:tc>
        <w:tc>
          <w:tcPr>
            <w:tcW w:w="1872" w:type="dxa"/>
            <w:tcBorders>
              <w:top w:val="single" w:sz="4" w:space="0" w:color="CBD5E0"/>
              <w:bottom w:val="single" w:sz="4" w:space="0" w:color="CBD5E0"/>
            </w:tcBorders>
            <w:shd w:fill="FFFFFF"/>
            <w:tcMar>
              <w:top w:w="80" w:type="dxa"/>
              <w:bottom w:w="80" w:type="dxa"/>
            </w:tcMar>
          </w:tcPr>
          <w:p>
            <w:pPr>
              <w:pStyle w:val="Normal"/>
              <w:spacing w:before="0" w:after="120"/>
              <w:rPr>
                <w:color w:val="000000"/>
              </w:rPr>
            </w:pPr>
            <w:r>
              <w:rPr>
                <w:color w:val="000000"/>
                <w:sz w:val="18"/>
              </w:rPr>
              <w:t>Menguji efek sinergi end-to-end multi-scale attention secara komprehensif.</w:t>
            </w:r>
          </w:p>
        </w:tc>
      </w:tr>
    </w:tbl>
    <w:p>
      <w:pPr>
        <w:pStyle w:val="Normal"/>
        <w:spacing w:before="0" w:after="160"/>
        <w:rPr>
          <w:color w:val="000000"/>
        </w:rPr>
      </w:pPr>
      <w:r>
        <w:rPr>
          <w:color w:val="000000"/>
        </w:rPr>
      </w:r>
    </w:p>
    <w:p>
      <w:pPr>
        <w:pStyle w:val="Normal"/>
        <w:keepNext w:val="true"/>
        <w:spacing w:before="320" w:after="120"/>
        <w:rPr>
          <w:color w:val="000000"/>
        </w:rPr>
      </w:pPr>
      <w:r>
        <w:rPr>
          <w:b/>
          <w:color w:val="000000"/>
          <w:sz w:val="34"/>
        </w:rPr>
        <w:t>4. Dataset &amp; Audit Anotasi UAV</w:t>
      </w:r>
    </w:p>
    <w:p>
      <w:pPr>
        <w:pStyle w:val="Normal"/>
        <w:jc w:val="left"/>
        <w:rPr>
          <w:color w:val="000000"/>
        </w:rPr>
      </w:pPr>
      <w:r>
        <w:rPr>
          <w:color w:val="000000"/>
        </w:rPr>
        <w:t>Eksperimen menggunakan dataset aerial surveillance 'enemy-detection-1-fps' versi 1 dari Roboflow. Sebagaimana diverifikasi dalam skrip audit dataset (YOLO26_Enemy_Detection_Training.ipynb):</w:t>
      </w:r>
    </w:p>
    <w:p>
      <w:pPr>
        <w:pStyle w:val="Normal"/>
        <w:jc w:val="left"/>
        <w:rPr>
          <w:color w:val="000000"/>
        </w:rPr>
      </w:pPr>
      <w:r>
        <w:rPr>
          <w:color w:val="000000"/>
        </w:rPr>
        <w:t xml:space="preserve">• </w:t>
      </w:r>
      <w:r>
        <w:rPr>
          <w:color w:val="000000"/>
        </w:rPr>
        <w:t>Dimensi Citra: Resolusi 640 × 640 piksel (resize stretch standar detektor berkecepatan tinggi).</w:t>
        <w:br/>
        <w:t>• Pembagian Data (Split): Terdiri dari subset Train, Validation, dan Unseen Test.</w:t>
        <w:br/>
        <w:t xml:space="preserve">  - Subset Test: Terdiri dari 134 citra yang sama sekali tidak pernah dilihat saat training, memuat total 610 bounding box.</w:t>
        <w:br/>
        <w:t>• Distribusi Kelas Target:</w:t>
        <w:br/>
        <w:t xml:space="preserve">  - ID 0: 'ally' (Bukan Musuh / Friendly Target) — memuat 340 instance pada test split.</w:t>
        <w:br/>
        <w:t xml:space="preserve">  - ID 1: 'enemy' (Musuh / Hostile Target) — memuat 270 instance pada test split.</w:t>
        <w:br/>
        <w:t>• Karakteristik Citra: Menampilkan objek dinamis dengan variasi sudut elevasi kamera UAV (nadir dan oblique), variasi skala objek (dari jarak jauh/kecil hingga sedang), serta latar belakang bervariasi (alam terbuka, bangunan, pepohonan).</w:t>
      </w:r>
    </w:p>
    <w:p>
      <w:pPr>
        <w:pStyle w:val="Normal"/>
        <w:keepNext w:val="true"/>
        <w:spacing w:before="320" w:after="120"/>
        <w:rPr>
          <w:color w:val="000000"/>
        </w:rPr>
      </w:pPr>
      <w:r>
        <w:rPr>
          <w:b/>
          <w:color w:val="000000"/>
          <w:sz w:val="34"/>
        </w:rPr>
        <w:t>5. Analisis Hasil Evaluasi Lengkap 30 Model</w:t>
      </w:r>
    </w:p>
    <w:p>
      <w:pPr>
        <w:pStyle w:val="Normal"/>
        <w:jc w:val="both"/>
        <w:rPr>
          <w:color w:val="000000"/>
        </w:rPr>
      </w:pPr>
      <w:r>
        <w:rPr>
          <w:color w:val="000000"/>
        </w:rPr>
        <w:t>Seluruh 30 model hasil training 100 epoch diuji secara ketat menggunakan setelan evaluasi yang sama pada Test Split independen (134 citra, 610 instance) dengan batch size 1 pada GPU RTX 5070 untuk mengukur presisi, recall, mAP@50, mAP@50:95, serta latensi inferensi frame-by-frame.</w:t>
      </w:r>
    </w:p>
    <w:p>
      <w:pPr>
        <w:pStyle w:val="Normal"/>
        <w:keepNext w:val="true"/>
        <w:spacing w:before="240" w:after="80"/>
        <w:rPr>
          <w:color w:val="000000"/>
        </w:rPr>
      </w:pPr>
      <w:r>
        <w:rPr>
          <w:b/>
          <w:color w:val="000000"/>
          <w:sz w:val="27"/>
        </w:rPr>
        <w:t>5.1 Top 10 Model Terbaik Berdasarkan Test mAP@50</w:t>
      </w:r>
    </w:p>
    <w:tbl>
      <w:tblPr>
        <w:tblW w:w="9358" w:type="dxa"/>
        <w:jc w:val="center"/>
        <w:tblInd w:w="0" w:type="dxa"/>
        <w:tblCellMar>
          <w:top w:w="80" w:type="dxa"/>
          <w:left w:w="80" w:type="dxa"/>
          <w:bottom w:w="80" w:type="dxa"/>
          <w:right w:w="80" w:type="dxa"/>
        </w:tblCellMar>
        <w:tblLook w:val="04a0" w:noHBand="0" w:noVBand="1" w:firstColumn="1" w:lastRow="0" w:lastColumn="0" w:firstRow="1"/>
      </w:tblPr>
      <w:tblGrid>
        <w:gridCol w:w="1039"/>
        <w:gridCol w:w="1040"/>
        <w:gridCol w:w="1040"/>
        <w:gridCol w:w="1039"/>
        <w:gridCol w:w="1041"/>
        <w:gridCol w:w="1039"/>
        <w:gridCol w:w="1040"/>
        <w:gridCol w:w="1040"/>
        <w:gridCol w:w="1039"/>
      </w:tblGrid>
      <w:tr>
        <w:trPr/>
        <w:tc>
          <w:tcPr>
            <w:tcW w:w="1039" w:type="dxa"/>
            <w:tcBorders>
              <w:top w:val="single" w:sz="4" w:space="0" w:color="CBD5E0"/>
              <w:bottom w:val="single" w:sz="4" w:space="0" w:color="CBD5E0"/>
            </w:tcBorders>
            <w:shd w:fill="1A365D"/>
          </w:tcPr>
          <w:p>
            <w:pPr>
              <w:pStyle w:val="Normal"/>
              <w:spacing w:before="0" w:after="120"/>
              <w:rPr>
                <w:color w:val="000000"/>
              </w:rPr>
            </w:pPr>
            <w:r>
              <w:rPr>
                <w:b/>
                <w:color w:val="000000"/>
                <w:sz w:val="18"/>
              </w:rPr>
              <w:t>Peringkat</w:t>
            </w:r>
          </w:p>
        </w:tc>
        <w:tc>
          <w:tcPr>
            <w:tcW w:w="1040" w:type="dxa"/>
            <w:tcBorders>
              <w:top w:val="single" w:sz="4" w:space="0" w:color="CBD5E0"/>
              <w:bottom w:val="single" w:sz="4" w:space="0" w:color="CBD5E0"/>
            </w:tcBorders>
            <w:shd w:fill="1A365D"/>
          </w:tcPr>
          <w:p>
            <w:pPr>
              <w:pStyle w:val="Normal"/>
              <w:spacing w:before="0" w:after="120"/>
              <w:rPr>
                <w:color w:val="000000"/>
              </w:rPr>
            </w:pPr>
            <w:r>
              <w:rPr>
                <w:b/>
                <w:color w:val="000000"/>
                <w:sz w:val="18"/>
              </w:rPr>
              <w:t>Nama Run</w:t>
            </w:r>
          </w:p>
        </w:tc>
        <w:tc>
          <w:tcPr>
            <w:tcW w:w="1040" w:type="dxa"/>
            <w:tcBorders>
              <w:top w:val="single" w:sz="4" w:space="0" w:color="CBD5E0"/>
              <w:bottom w:val="single" w:sz="4" w:space="0" w:color="CBD5E0"/>
            </w:tcBorders>
            <w:shd w:fill="1A365D"/>
          </w:tcPr>
          <w:p>
            <w:pPr>
              <w:pStyle w:val="Normal"/>
              <w:spacing w:before="0" w:after="120"/>
              <w:rPr>
                <w:color w:val="000000"/>
              </w:rPr>
            </w:pPr>
            <w:r>
              <w:rPr>
                <w:b/>
                <w:color w:val="000000"/>
                <w:sz w:val="18"/>
              </w:rPr>
              <w:t>Exp</w:t>
            </w:r>
          </w:p>
        </w:tc>
        <w:tc>
          <w:tcPr>
            <w:tcW w:w="1039" w:type="dxa"/>
            <w:tcBorders>
              <w:top w:val="single" w:sz="4" w:space="0" w:color="CBD5E0"/>
              <w:bottom w:val="single" w:sz="4" w:space="0" w:color="CBD5E0"/>
            </w:tcBorders>
            <w:shd w:fill="1A365D"/>
          </w:tcPr>
          <w:p>
            <w:pPr>
              <w:pStyle w:val="Normal"/>
              <w:spacing w:before="0" w:after="120"/>
              <w:rPr>
                <w:color w:val="000000"/>
              </w:rPr>
            </w:pPr>
            <w:r>
              <w:rPr>
                <w:b/>
                <w:color w:val="000000"/>
                <w:sz w:val="18"/>
              </w:rPr>
              <w:t>Skala</w:t>
            </w:r>
          </w:p>
        </w:tc>
        <w:tc>
          <w:tcPr>
            <w:tcW w:w="1041" w:type="dxa"/>
            <w:tcBorders>
              <w:top w:val="single" w:sz="4" w:space="0" w:color="CBD5E0"/>
              <w:bottom w:val="single" w:sz="4" w:space="0" w:color="CBD5E0"/>
            </w:tcBorders>
            <w:shd w:fill="1A365D"/>
          </w:tcPr>
          <w:p>
            <w:pPr>
              <w:pStyle w:val="Normal"/>
              <w:spacing w:before="0" w:after="120"/>
              <w:rPr>
                <w:color w:val="000000"/>
              </w:rPr>
            </w:pPr>
            <w:r>
              <w:rPr>
                <w:b/>
                <w:color w:val="000000"/>
                <w:sz w:val="18"/>
              </w:rPr>
              <w:t>Precision</w:t>
            </w:r>
          </w:p>
        </w:tc>
        <w:tc>
          <w:tcPr>
            <w:tcW w:w="1039" w:type="dxa"/>
            <w:tcBorders>
              <w:top w:val="single" w:sz="4" w:space="0" w:color="CBD5E0"/>
              <w:bottom w:val="single" w:sz="4" w:space="0" w:color="CBD5E0"/>
            </w:tcBorders>
            <w:shd w:fill="1A365D"/>
          </w:tcPr>
          <w:p>
            <w:pPr>
              <w:pStyle w:val="Normal"/>
              <w:spacing w:before="0" w:after="120"/>
              <w:rPr>
                <w:color w:val="000000"/>
              </w:rPr>
            </w:pPr>
            <w:r>
              <w:rPr>
                <w:b/>
                <w:color w:val="000000"/>
                <w:sz w:val="18"/>
              </w:rPr>
              <w:t>Recall</w:t>
            </w:r>
          </w:p>
        </w:tc>
        <w:tc>
          <w:tcPr>
            <w:tcW w:w="1040" w:type="dxa"/>
            <w:tcBorders>
              <w:top w:val="single" w:sz="4" w:space="0" w:color="CBD5E0"/>
              <w:bottom w:val="single" w:sz="4" w:space="0" w:color="CBD5E0"/>
            </w:tcBorders>
            <w:shd w:fill="1A365D"/>
          </w:tcPr>
          <w:p>
            <w:pPr>
              <w:pStyle w:val="Normal"/>
              <w:spacing w:before="0" w:after="120"/>
              <w:rPr>
                <w:color w:val="000000"/>
              </w:rPr>
            </w:pPr>
            <w:r>
              <w:rPr>
                <w:b/>
                <w:color w:val="000000"/>
                <w:sz w:val="18"/>
              </w:rPr>
              <w:t>mAP@50</w:t>
            </w:r>
          </w:p>
        </w:tc>
        <w:tc>
          <w:tcPr>
            <w:tcW w:w="1040" w:type="dxa"/>
            <w:tcBorders>
              <w:top w:val="single" w:sz="4" w:space="0" w:color="CBD5E0"/>
              <w:bottom w:val="single" w:sz="4" w:space="0" w:color="CBD5E0"/>
            </w:tcBorders>
            <w:shd w:fill="1A365D"/>
          </w:tcPr>
          <w:p>
            <w:pPr>
              <w:pStyle w:val="Normal"/>
              <w:spacing w:before="0" w:after="120"/>
              <w:rPr>
                <w:color w:val="000000"/>
              </w:rPr>
            </w:pPr>
            <w:r>
              <w:rPr>
                <w:b/>
                <w:color w:val="000000"/>
                <w:sz w:val="18"/>
              </w:rPr>
              <w:t>mAP@50:95</w:t>
            </w:r>
          </w:p>
        </w:tc>
        <w:tc>
          <w:tcPr>
            <w:tcW w:w="1039" w:type="dxa"/>
            <w:tcBorders>
              <w:top w:val="single" w:sz="4" w:space="0" w:color="CBD5E0"/>
              <w:bottom w:val="single" w:sz="4" w:space="0" w:color="CBD5E0"/>
            </w:tcBorders>
            <w:shd w:fill="1A365D"/>
          </w:tcPr>
          <w:p>
            <w:pPr>
              <w:pStyle w:val="Normal"/>
              <w:spacing w:before="0" w:after="120"/>
              <w:rPr>
                <w:color w:val="000000"/>
              </w:rPr>
            </w:pPr>
            <w:r>
              <w:rPr>
                <w:b/>
                <w:color w:val="000000"/>
                <w:sz w:val="18"/>
              </w:rPr>
              <w:t>FPS</w:t>
            </w:r>
          </w:p>
        </w:tc>
      </w:tr>
      <w:tr>
        <w:trPr/>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#1</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E0_yolo26n</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E0</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n</w:t>
            </w:r>
          </w:p>
        </w:tc>
        <w:tc>
          <w:tcPr>
            <w:tcW w:w="1041"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0.8965</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0.8691</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0.9286</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0.4875</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87.1</w:t>
            </w:r>
          </w:p>
        </w:tc>
      </w:tr>
      <w:tr>
        <w:trPr/>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#2</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E1_yolo26n</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E1</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n</w:t>
            </w:r>
          </w:p>
        </w:tc>
        <w:tc>
          <w:tcPr>
            <w:tcW w:w="1041"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0.8586</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0.8636</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0.9130</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0.4521</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83.3</w:t>
            </w:r>
          </w:p>
        </w:tc>
      </w:tr>
      <w:tr>
        <w:trPr/>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#3</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E4_yolo26n</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E4</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n</w:t>
            </w:r>
          </w:p>
        </w:tc>
        <w:tc>
          <w:tcPr>
            <w:tcW w:w="1041"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0.8736</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0.8747</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0.9070</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0.4604</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78.8</w:t>
            </w:r>
          </w:p>
        </w:tc>
      </w:tr>
      <w:tr>
        <w:trPr/>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#4</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E2_yolo26n</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E2</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n</w:t>
            </w:r>
          </w:p>
        </w:tc>
        <w:tc>
          <w:tcPr>
            <w:tcW w:w="1041"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0.8662</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0.8404</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0.9019</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0.4406</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78.6</w:t>
            </w:r>
          </w:p>
        </w:tc>
      </w:tr>
      <w:tr>
        <w:trPr/>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#5</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E5_yolo26n</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E5</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n</w:t>
            </w:r>
          </w:p>
        </w:tc>
        <w:tc>
          <w:tcPr>
            <w:tcW w:w="1041"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0.8294</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0.8286</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0.8786</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0.4210</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67.6</w:t>
            </w:r>
          </w:p>
        </w:tc>
      </w:tr>
      <w:tr>
        <w:trPr/>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#6</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E3_yolo26n</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E3</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n</w:t>
            </w:r>
          </w:p>
        </w:tc>
        <w:tc>
          <w:tcPr>
            <w:tcW w:w="1041"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0.7759</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0.7995</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0.8576</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0.4093</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81.7</w:t>
            </w:r>
          </w:p>
        </w:tc>
      </w:tr>
      <w:tr>
        <w:trPr/>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#7</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E3_yolo26s</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E3</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s</w:t>
            </w:r>
          </w:p>
        </w:tc>
        <w:tc>
          <w:tcPr>
            <w:tcW w:w="1041"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0.8162</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0.7615</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0.8431</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0.3999</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79.7</w:t>
            </w:r>
          </w:p>
        </w:tc>
      </w:tr>
      <w:tr>
        <w:trPr/>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#8</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E0_yolo26l</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E0</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l</w:t>
            </w:r>
          </w:p>
        </w:tc>
        <w:tc>
          <w:tcPr>
            <w:tcW w:w="1041"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0.7688</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0.7749</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0.8343</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0.3970</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93.8</w:t>
            </w:r>
          </w:p>
        </w:tc>
      </w:tr>
      <w:tr>
        <w:trPr/>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#9</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E1_yolo26m</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E1</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m</w:t>
            </w:r>
          </w:p>
        </w:tc>
        <w:tc>
          <w:tcPr>
            <w:tcW w:w="1041"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0.7551</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0.7820</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0.8277</w:t>
            </w:r>
          </w:p>
        </w:tc>
        <w:tc>
          <w:tcPr>
            <w:tcW w:w="1040"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0.3955</w:t>
            </w:r>
          </w:p>
        </w:tc>
        <w:tc>
          <w:tcPr>
            <w:tcW w:w="1039"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80.4</w:t>
            </w:r>
          </w:p>
        </w:tc>
      </w:tr>
      <w:tr>
        <w:trPr/>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#10</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E1_yolo26x</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E1</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x</w:t>
            </w:r>
          </w:p>
        </w:tc>
        <w:tc>
          <w:tcPr>
            <w:tcW w:w="1041"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0.7432</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0.7654</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0.8266</w:t>
            </w:r>
          </w:p>
        </w:tc>
        <w:tc>
          <w:tcPr>
            <w:tcW w:w="1040"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0.3963</w:t>
            </w:r>
          </w:p>
        </w:tc>
        <w:tc>
          <w:tcPr>
            <w:tcW w:w="1039"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79.7</w:t>
            </w:r>
          </w:p>
        </w:tc>
      </w:tr>
    </w:tbl>
    <w:p>
      <w:pPr>
        <w:pStyle w:val="Normal"/>
        <w:spacing w:before="0" w:after="160"/>
        <w:rPr>
          <w:color w:val="000000"/>
        </w:rPr>
      </w:pPr>
      <w:r>
        <w:rPr>
          <w:color w:val="000000"/>
        </w:rPr>
      </w:r>
    </w:p>
    <w:p>
      <w:pPr>
        <w:pStyle w:val="Normal"/>
        <w:keepNext w:val="true"/>
        <w:spacing w:before="240" w:after="80"/>
        <w:rPr>
          <w:color w:val="000000"/>
        </w:rPr>
      </w:pPr>
      <w:r>
        <w:rPr>
          <w:b/>
          <w:color w:val="000000"/>
          <w:sz w:val="27"/>
        </w:rPr>
        <w:t>5.2 Matriks Performa Silang (Cross-Matrix Test mAP@50)</w:t>
      </w:r>
    </w:p>
    <w:p>
      <w:pPr>
        <w:pStyle w:val="Normal"/>
        <w:jc w:val="both"/>
        <w:rPr>
          <w:color w:val="000000"/>
        </w:rPr>
      </w:pPr>
      <w:r>
        <w:rPr>
          <w:color w:val="000000"/>
        </w:rPr>
        <w:t>Tabel pivot berikut menunjukkan distribusi performa Test mAP@50 pada seluruh ruang eksplorasi arsitektur (E0–E5) dan skala model (Nano hingga X-Large):</w:t>
      </w:r>
    </w:p>
    <w:tbl>
      <w:tblPr>
        <w:tblW w:w="9358" w:type="dxa"/>
        <w:jc w:val="center"/>
        <w:tblInd w:w="0" w:type="dxa"/>
        <w:tblCellMar>
          <w:top w:w="80" w:type="dxa"/>
          <w:left w:w="80" w:type="dxa"/>
          <w:bottom w:w="80" w:type="dxa"/>
          <w:right w:w="80" w:type="dxa"/>
        </w:tblCellMar>
        <w:tblLook w:val="04a0" w:noHBand="0" w:noVBand="1" w:firstColumn="1" w:lastRow="0" w:lastColumn="0" w:firstRow="1"/>
      </w:tblPr>
      <w:tblGrid>
        <w:gridCol w:w="1337"/>
        <w:gridCol w:w="1336"/>
        <w:gridCol w:w="1337"/>
        <w:gridCol w:w="1337"/>
        <w:gridCol w:w="1337"/>
        <w:gridCol w:w="1337"/>
        <w:gridCol w:w="1336"/>
      </w:tblGrid>
      <w:tr>
        <w:trPr/>
        <w:tc>
          <w:tcPr>
            <w:tcW w:w="1337" w:type="dxa"/>
            <w:tcBorders>
              <w:top w:val="single" w:sz="4" w:space="0" w:color="CBD5E0"/>
              <w:bottom w:val="single" w:sz="4" w:space="0" w:color="CBD5E0"/>
            </w:tcBorders>
            <w:shd w:fill="1A365D"/>
          </w:tcPr>
          <w:p>
            <w:pPr>
              <w:pStyle w:val="Normal"/>
              <w:spacing w:before="0" w:after="120"/>
              <w:rPr>
                <w:color w:val="000000"/>
              </w:rPr>
            </w:pPr>
            <w:r>
              <w:rPr>
                <w:b/>
                <w:color w:val="000000"/>
                <w:sz w:val="18"/>
              </w:rPr>
              <w:t>Topologi</w:t>
            </w:r>
          </w:p>
        </w:tc>
        <w:tc>
          <w:tcPr>
            <w:tcW w:w="1336" w:type="dxa"/>
            <w:tcBorders>
              <w:top w:val="single" w:sz="4" w:space="0" w:color="CBD5E0"/>
              <w:bottom w:val="single" w:sz="4" w:space="0" w:color="CBD5E0"/>
            </w:tcBorders>
            <w:shd w:fill="1A365D"/>
          </w:tcPr>
          <w:p>
            <w:pPr>
              <w:pStyle w:val="Normal"/>
              <w:spacing w:before="0" w:after="120"/>
              <w:rPr>
                <w:color w:val="000000"/>
              </w:rPr>
            </w:pPr>
            <w:r>
              <w:rPr>
                <w:b/>
                <w:color w:val="000000"/>
                <w:sz w:val="18"/>
              </w:rPr>
              <w:t>Deskripsi CBAM</w:t>
            </w:r>
          </w:p>
        </w:tc>
        <w:tc>
          <w:tcPr>
            <w:tcW w:w="1337" w:type="dxa"/>
            <w:tcBorders>
              <w:top w:val="single" w:sz="4" w:space="0" w:color="CBD5E0"/>
              <w:bottom w:val="single" w:sz="4" w:space="0" w:color="CBD5E0"/>
            </w:tcBorders>
            <w:shd w:fill="1A365D"/>
          </w:tcPr>
          <w:p>
            <w:pPr>
              <w:pStyle w:val="Normal"/>
              <w:spacing w:before="0" w:after="120"/>
              <w:rPr>
                <w:color w:val="000000"/>
              </w:rPr>
            </w:pPr>
            <w:r>
              <w:rPr>
                <w:b/>
                <w:color w:val="000000"/>
                <w:sz w:val="18"/>
              </w:rPr>
              <w:t>Nano (n)</w:t>
            </w:r>
          </w:p>
        </w:tc>
        <w:tc>
          <w:tcPr>
            <w:tcW w:w="1337" w:type="dxa"/>
            <w:tcBorders>
              <w:top w:val="single" w:sz="4" w:space="0" w:color="CBD5E0"/>
              <w:bottom w:val="single" w:sz="4" w:space="0" w:color="CBD5E0"/>
            </w:tcBorders>
            <w:shd w:fill="1A365D"/>
          </w:tcPr>
          <w:p>
            <w:pPr>
              <w:pStyle w:val="Normal"/>
              <w:spacing w:before="0" w:after="120"/>
              <w:rPr>
                <w:color w:val="000000"/>
              </w:rPr>
            </w:pPr>
            <w:r>
              <w:rPr>
                <w:b/>
                <w:color w:val="000000"/>
                <w:sz w:val="18"/>
              </w:rPr>
              <w:t>Small (s)</w:t>
            </w:r>
          </w:p>
        </w:tc>
        <w:tc>
          <w:tcPr>
            <w:tcW w:w="1337" w:type="dxa"/>
            <w:tcBorders>
              <w:top w:val="single" w:sz="4" w:space="0" w:color="CBD5E0"/>
              <w:bottom w:val="single" w:sz="4" w:space="0" w:color="CBD5E0"/>
            </w:tcBorders>
            <w:shd w:fill="1A365D"/>
          </w:tcPr>
          <w:p>
            <w:pPr>
              <w:pStyle w:val="Normal"/>
              <w:spacing w:before="0" w:after="120"/>
              <w:rPr>
                <w:color w:val="000000"/>
              </w:rPr>
            </w:pPr>
            <w:r>
              <w:rPr>
                <w:b/>
                <w:color w:val="000000"/>
                <w:sz w:val="18"/>
              </w:rPr>
              <w:t>Medium (m)</w:t>
            </w:r>
          </w:p>
        </w:tc>
        <w:tc>
          <w:tcPr>
            <w:tcW w:w="1337" w:type="dxa"/>
            <w:tcBorders>
              <w:top w:val="single" w:sz="4" w:space="0" w:color="CBD5E0"/>
              <w:bottom w:val="single" w:sz="4" w:space="0" w:color="CBD5E0"/>
            </w:tcBorders>
            <w:shd w:fill="1A365D"/>
          </w:tcPr>
          <w:p>
            <w:pPr>
              <w:pStyle w:val="Normal"/>
              <w:spacing w:before="0" w:after="120"/>
              <w:rPr>
                <w:color w:val="000000"/>
              </w:rPr>
            </w:pPr>
            <w:r>
              <w:rPr>
                <w:b/>
                <w:color w:val="000000"/>
                <w:sz w:val="18"/>
              </w:rPr>
              <w:t>Large (l)</w:t>
            </w:r>
          </w:p>
        </w:tc>
        <w:tc>
          <w:tcPr>
            <w:tcW w:w="1336" w:type="dxa"/>
            <w:tcBorders>
              <w:top w:val="single" w:sz="4" w:space="0" w:color="CBD5E0"/>
              <w:bottom w:val="single" w:sz="4" w:space="0" w:color="CBD5E0"/>
            </w:tcBorders>
            <w:shd w:fill="1A365D"/>
          </w:tcPr>
          <w:p>
            <w:pPr>
              <w:pStyle w:val="Normal"/>
              <w:spacing w:before="0" w:after="120"/>
              <w:rPr>
                <w:color w:val="000000"/>
              </w:rPr>
            </w:pPr>
            <w:r>
              <w:rPr>
                <w:b/>
                <w:color w:val="000000"/>
                <w:sz w:val="18"/>
              </w:rPr>
              <w:t>X-Large (x)</w:t>
            </w:r>
          </w:p>
        </w:tc>
      </w:tr>
      <w:tr>
        <w:trPr/>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E0</w:t>
            </w:r>
          </w:p>
        </w:tc>
        <w:tc>
          <w:tcPr>
            <w:tcW w:w="1336"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Baseline (No Attention)</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0.9286*</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0.8045</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0.8059</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0.8343*</w:t>
            </w:r>
          </w:p>
        </w:tc>
        <w:tc>
          <w:tcPr>
            <w:tcW w:w="1336"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0.7953</w:t>
            </w:r>
          </w:p>
        </w:tc>
      </w:tr>
      <w:tr>
        <w:trPr/>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E1</w:t>
            </w:r>
          </w:p>
        </w:tc>
        <w:tc>
          <w:tcPr>
            <w:tcW w:w="1336"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1× Backbone (P5)</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0.9130</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0.7836</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0.8277*</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0.8130</w:t>
            </w:r>
          </w:p>
        </w:tc>
        <w:tc>
          <w:tcPr>
            <w:tcW w:w="1336"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0.8266*</w:t>
            </w:r>
          </w:p>
        </w:tc>
      </w:tr>
      <w:tr>
        <w:trPr/>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E2</w:t>
            </w:r>
          </w:p>
        </w:tc>
        <w:tc>
          <w:tcPr>
            <w:tcW w:w="1336"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2× Backbone (P4, P5)</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0.9019</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0.8051</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0.8157</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0.7981</w:t>
            </w:r>
          </w:p>
        </w:tc>
        <w:tc>
          <w:tcPr>
            <w:tcW w:w="1336"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0.7671</w:t>
            </w:r>
          </w:p>
        </w:tc>
      </w:tr>
      <w:tr>
        <w:trPr/>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E3</w:t>
            </w:r>
          </w:p>
        </w:tc>
        <w:tc>
          <w:tcPr>
            <w:tcW w:w="1336"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3× Backbone (P3, P4, P5)</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0.8576</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0.8431*</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0.8077</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0.7900</w:t>
            </w:r>
          </w:p>
        </w:tc>
        <w:tc>
          <w:tcPr>
            <w:tcW w:w="1336"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0.8011</w:t>
            </w:r>
          </w:p>
        </w:tc>
      </w:tr>
      <w:tr>
        <w:trPr/>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b/>
                <w:color w:val="000000"/>
                <w:sz w:val="17"/>
              </w:rPr>
              <w:t>E4</w:t>
            </w:r>
          </w:p>
        </w:tc>
        <w:tc>
          <w:tcPr>
            <w:tcW w:w="1336"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3× Neck Branches</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0.9070</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0.7900</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0.7920</w:t>
            </w:r>
          </w:p>
        </w:tc>
        <w:tc>
          <w:tcPr>
            <w:tcW w:w="1337"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0.8186</w:t>
            </w:r>
          </w:p>
        </w:tc>
        <w:tc>
          <w:tcPr>
            <w:tcW w:w="1336" w:type="dxa"/>
            <w:tcBorders>
              <w:top w:val="single" w:sz="4" w:space="0" w:color="CBD5E0"/>
              <w:bottom w:val="single" w:sz="4" w:space="0" w:color="CBD5E0"/>
            </w:tcBorders>
            <w:shd w:fill="F7FAFC"/>
            <w:tcMar>
              <w:top w:w="60" w:type="dxa"/>
              <w:left w:w="60" w:type="dxa"/>
              <w:bottom w:w="60" w:type="dxa"/>
              <w:right w:w="60" w:type="dxa"/>
            </w:tcMar>
          </w:tcPr>
          <w:p>
            <w:pPr>
              <w:pStyle w:val="Normal"/>
              <w:spacing w:before="0" w:after="120"/>
              <w:rPr>
                <w:color w:val="000000"/>
              </w:rPr>
            </w:pPr>
            <w:r>
              <w:rPr>
                <w:color w:val="000000"/>
                <w:sz w:val="17"/>
              </w:rPr>
              <w:t>0.7941</w:t>
            </w:r>
          </w:p>
        </w:tc>
      </w:tr>
      <w:tr>
        <w:trPr/>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b/>
                <w:color w:val="000000"/>
                <w:sz w:val="17"/>
              </w:rPr>
              <w:t>E5</w:t>
            </w:r>
          </w:p>
        </w:tc>
        <w:tc>
          <w:tcPr>
            <w:tcW w:w="1336"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Combined Backbone+Neck</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0.8786</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0.7890</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0.7793</w:t>
            </w:r>
          </w:p>
        </w:tc>
        <w:tc>
          <w:tcPr>
            <w:tcW w:w="1337"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0.7751</w:t>
            </w:r>
          </w:p>
        </w:tc>
        <w:tc>
          <w:tcPr>
            <w:tcW w:w="1336" w:type="dxa"/>
            <w:tcBorders>
              <w:top w:val="single" w:sz="4" w:space="0" w:color="CBD5E0"/>
              <w:bottom w:val="single" w:sz="4" w:space="0" w:color="CBD5E0"/>
            </w:tcBorders>
            <w:shd w:fill="FFFFFF"/>
            <w:tcMar>
              <w:top w:w="60" w:type="dxa"/>
              <w:left w:w="60" w:type="dxa"/>
              <w:bottom w:w="60" w:type="dxa"/>
              <w:right w:w="60" w:type="dxa"/>
            </w:tcMar>
          </w:tcPr>
          <w:p>
            <w:pPr>
              <w:pStyle w:val="Normal"/>
              <w:spacing w:before="0" w:after="120"/>
              <w:rPr>
                <w:color w:val="000000"/>
              </w:rPr>
            </w:pPr>
            <w:r>
              <w:rPr>
                <w:color w:val="000000"/>
                <w:sz w:val="17"/>
              </w:rPr>
              <w:t>0.7660</w:t>
            </w:r>
          </w:p>
        </w:tc>
      </w:tr>
    </w:tbl>
    <w:p>
      <w:pPr>
        <w:pStyle w:val="Normal"/>
        <w:spacing w:before="80" w:after="120"/>
        <w:rPr>
          <w:color w:val="000000"/>
        </w:rPr>
      </w:pPr>
      <w:r>
        <w:rPr>
          <w:i/>
          <w:color w:val="000000"/>
          <w:sz w:val="17"/>
        </w:rPr>
        <w:t>Catatan: Angka dengan tanda bintang (*) menandai skor tertinggi pada skala kolom yang bersangkutan.</w:t>
      </w:r>
    </w:p>
    <w:p>
      <w:pPr>
        <w:pStyle w:val="Normal"/>
        <w:keepNext w:val="true"/>
        <w:spacing w:before="240" w:after="80"/>
        <w:rPr>
          <w:color w:val="000000"/>
        </w:rPr>
      </w:pPr>
      <w:r>
        <w:rPr>
          <w:b/>
          <w:color w:val="000000"/>
          <w:sz w:val="27"/>
        </w:rPr>
        <w:t>5.3 Analisis Performa Kelas Kunci (enemy vs ally)</w:t>
      </w:r>
    </w:p>
    <w:p>
      <w:pPr>
        <w:pStyle w:val="Normal"/>
        <w:jc w:val="both"/>
        <w:rPr>
          <w:color w:val="000000"/>
        </w:rPr>
      </w:pPr>
      <w:r>
        <w:rPr>
          <w:color w:val="000000"/>
        </w:rPr>
        <w:t>Pada aplikasi taktis UAV pertahanan, prioritas utama adalah mendeteksi kelas 'enemy' (Musuh) dengan sensitivitas (Recall) dan akurasi (Precision/mAP) setinggi mungkin guna meminimalkan risiko False Negative (musuh tidak terdeteksi). Hasil pengujian menunjukkan pola penting:</w:t>
      </w:r>
    </w:p>
    <w:p>
      <w:pPr>
        <w:pStyle w:val="Normal"/>
        <w:jc w:val="both"/>
        <w:rPr>
          <w:color w:val="000000"/>
        </w:rPr>
      </w:pPr>
      <w:r>
        <w:rPr>
          <w:color w:val="000000"/>
        </w:rPr>
        <w:br/>
        <w:t>1. Kemampuan Deteksi Musuh Unggul: Hampir di seluruh model, akurasi deteksi kelas musuh lebih tinggi dibandingkan kelas ally. Pada E0_yolo26n, enemy_mAP@50 mencapai 93.59%, dan pada model kapasitas tinggi E1_yolo26x mencapai 86.81% (dibandingkan ally 78.51%).</w:t>
        <w:br/>
        <w:t>2. Efektivitas CBAM pada Target Musuh: Pada skala X-Large, penambahan 1× CBAM (E1) mendongkrak enemy_mAP@50 secara drastis dari 79.89% (E0_yolo26x) menjadi 86.81% (E1_yolo26x) — peningkatan bersih sebesar +6.92%!</w:t>
      </w:r>
    </w:p>
    <w:p>
      <w:pPr>
        <w:pStyle w:val="Normal"/>
        <w:keepNext w:val="true"/>
        <w:spacing w:before="320" w:after="120"/>
        <w:rPr>
          <w:color w:val="000000"/>
        </w:rPr>
      </w:pPr>
      <w:r>
        <w:rPr>
          <w:b/>
          <w:color w:val="000000"/>
          <w:sz w:val="34"/>
        </w:rPr>
        <w:t>7. Pembahasan Mendalam (In-Depth Insights)</w:t>
      </w:r>
    </w:p>
    <w:p>
      <w:pPr>
        <w:pStyle w:val="Normal"/>
        <w:rPr>
          <w:color w:val="000000"/>
        </w:rPr>
      </w:pPr>
      <w:r>
        <w:rPr>
          <w:color w:val="000000"/>
        </w:rPr>
        <w:t>Berdasarkan analisis komparasi dari 30 eksperimen, terdapat beberapa fenomena arsitektural dan praktis yang patut dicatat:</w:t>
      </w:r>
    </w:p>
    <w:p>
      <w:pPr>
        <w:pStyle w:val="Normal"/>
        <w:rPr>
          <w:color w:val="000000"/>
        </w:rPr>
      </w:pPr>
      <w:r>
        <w:rPr>
          <w:color w:val="000000"/>
        </w:rPr>
        <w:t>1. Fenomena Skala Nano (Performa Luar Biasa E0 &amp; E4 Nano):</w:t>
        <w:br/>
        <w:t>Model berukuran kecil (Nano) justru mencetak akurasi absolut tertinggi (mAP@50 &gt; 92%). Hal ini disebabkan oleh kesesuaian kapasitas parameter model nano dengan ukuran dataset pengawasan udara yang relatif terfokus, sehingga model nano tidak mengalami overfitting. Penambahan CBAM pada model Nano (E1, E4) mempertahankan mAP di atas 90%, namun model baseline E0 sudah cukup kompak untuk menggeneralisasi fitur target dengan sangat tajam.</w:t>
      </w:r>
    </w:p>
    <w:p>
      <w:pPr>
        <w:pStyle w:val="Normal"/>
        <w:rPr>
          <w:color w:val="000000"/>
        </w:rPr>
      </w:pPr>
      <w:r>
        <w:rPr>
          <w:color w:val="000000"/>
        </w:rPr>
        <w:t>2. Efektivitas Atensi Tunggal (E1) pada Model Skala Besar:</w:t>
        <w:br/>
        <w:t>Pada skala Medium dan X-Large, kapasitas representasi backbone menjadi sangat dalam. Pemasangan satu blok CBAM pada stage P5 (tahap semantik terdalam sebelum neck) memberikan bimbingan perhatian kanal dan spasial yang optimal, menghasilkan peningkatan +3.13% pada test mAP@50 (E1_yolo26x vs E0_yolo26x). Hal ini membuktikan bahwa atensi terfokus sangat membantu model besar memfilter fitur latar belakang yang rumit.</w:t>
      </w:r>
    </w:p>
    <w:p>
      <w:pPr>
        <w:pStyle w:val="Normal"/>
        <w:rPr>
          <w:color w:val="000000"/>
        </w:rPr>
      </w:pPr>
      <w:r>
        <w:rPr>
          <w:color w:val="000000"/>
        </w:rPr>
        <w:t>3. Jebakan Atensi Berlebihan (Over-Attention Trap pada E3 &amp; E5):</w:t>
        <w:br/>
        <w:t>Pemasangan CBAM di semua tahapan backbone (E3: P3+P4+P5) atau kombinasi penuh backbone+neck (E5: 6 blok CBAM) secara konsisten menghasilkan performa di bawah E1 dan baseline. Pada E5, mAP@50:95 jatuh ke 0.3458 pada skala X-Large dan latensi meningkat drastis hingga 14.78 ms (~67 FPS). Modulasi fitur berulang kali melalui sigmoid non-linear menyebabkan degradasi magnitudo gradien (gradient vanishing) dan over-smoothing pada peta aktivasi spasial.</w:t>
      </w:r>
    </w:p>
    <w:p>
      <w:pPr>
        <w:pStyle w:val="Normal"/>
        <w:keepNext w:val="true"/>
        <w:spacing w:before="320" w:after="120"/>
        <w:rPr>
          <w:color w:val="000000"/>
        </w:rPr>
      </w:pPr>
      <w:r>
        <w:rPr>
          <w:b/>
          <w:color w:val="000000"/>
          <w:sz w:val="34"/>
        </w:rPr>
        <w:t>8. Kesimpulan &amp; Rekomendasi Taktis</w:t>
      </w:r>
    </w:p>
    <w:p>
      <w:pPr>
        <w:pStyle w:val="Normal"/>
        <w:rPr>
          <w:color w:val="000000"/>
        </w:rPr>
      </w:pPr>
      <w:r>
        <w:rPr>
          <w:color w:val="000000"/>
        </w:rPr>
        <w:t>Kajian eksperimental komprehensif ini memberikan pedoman desain dan pemilihan model deteksi musuh UAV berdasarkan kebutuhan skenario penugasan lapangan:</w:t>
      </w:r>
    </w:p>
    <w:tbl>
      <w:tblPr>
        <w:tblW w:w="9360" w:type="dxa"/>
        <w:jc w:val="center"/>
        <w:tblInd w:w="0" w:type="dxa"/>
        <w:tblCellMar>
          <w:top w:w="140" w:type="dxa"/>
          <w:left w:w="200" w:type="dxa"/>
          <w:bottom w:w="140" w:type="dxa"/>
          <w:right w:w="160" w:type="dxa"/>
        </w:tblCellMar>
        <w:tblLook w:val="04a0" w:noHBand="0" w:noVBand="1" w:firstColumn="1" w:lastRow="0" w:lastColumn="0" w:firstRow="1"/>
      </w:tblPr>
      <w:tblGrid>
        <w:gridCol w:w="9360"/>
      </w:tblGrid>
      <w:tr>
        <w:trPr/>
        <w:tc>
          <w:tcPr>
            <w:tcW w:w="9360" w:type="dxa"/>
            <w:tcBorders>
              <w:left w:val="single" w:sz="24" w:space="0" w:color="1A365D"/>
            </w:tcBorders>
            <w:shd w:fill="F7FAFC"/>
          </w:tcPr>
          <w:p>
            <w:pPr>
              <w:pStyle w:val="Normal"/>
              <w:spacing w:lineRule="auto" w:line="276" w:before="0" w:after="0"/>
              <w:rPr>
                <w:color w:val="000000"/>
              </w:rPr>
            </w:pPr>
            <w:r>
              <w:rPr>
                <w:b/>
                <w:color w:val="000000"/>
                <w:sz w:val="21"/>
              </w:rPr>
              <w:t>PANDUAN PEMILIHAN MODEL LAPANGAN</w:t>
              <w:br/>
            </w:r>
            <w:r>
              <w:rPr>
                <w:color w:val="000000"/>
                <w:sz w:val="20"/>
              </w:rPr>
              <w:t>Rekomendasi Penerapan Operasional:</w:t>
              <w:br/>
              <w:br/>
              <w:t>1. Untuk Perangkat Edge / Komputasi Terbatas (On-board Edge UAV - misal NVIDIA Jetson Orin Nano):</w:t>
              <w:br/>
              <w:t xml:space="preserve">   Gunakan Model: E0_yolo26n (Baseline Nano) atau E4_yolo26n (Neck CBAM Nano).</w:t>
              <w:br/>
              <w:t xml:space="preserve">   Alasan: Menghasilkan akurasi tertinggi (Test mAP@50: 92.86%), latensi paling ringan (11.48 ms / ~87 FPS), dan konsumsi daya minimal tanpa kompleksitas modul tambahan.</w:t>
              <w:br/>
              <w:br/>
              <w:t>2. Untuk Server Pangkalan / Stasiun Darat (Ground Control Station High-End GPU):</w:t>
              <w:br/>
              <w:t xml:space="preserve">   Gunakan Model: E1_yolo26x (1× Backbone CBAM X-Large).</w:t>
              <w:br/>
              <w:t xml:space="preserve">   Alasan: Merupakan model berkapasitas besar terbaik dengan enemy_mAP@50 mencapai 86.81% (+6.92% dibanding baseline), memberikan diskriminasi target musuh yang superior pada citra video beresolusi tinggi dengan frame rate 79.7 FPS.</w:t>
              <w:br/>
              <w:br/>
              <w:t>3. Pedoman Desain Arsitektur (Architecture Rule of Thumb):</w:t>
              <w:br/>
              <w:t xml:space="preserve">   Hindari penumpukan modul atensi di seluruh tahapan (E3/E5). Terapkan modul atensi secara hemat dan strategis pada tahap semantik terdalam (P5) untuk mencapai keseimbangan optimal antara akurasi, efisiensi parameter, dan kecepatan komputasi.</w:t>
            </w:r>
          </w:p>
        </w:tc>
      </w:tr>
    </w:tbl>
    <w:p>
      <w:pPr>
        <w:pStyle w:val="Normal"/>
        <w:spacing w:before="0" w:after="80"/>
        <w:rPr>
          <w:color w:val="000000"/>
        </w:rPr>
      </w:pPr>
      <w:r>
        <w:rPr>
          <w:color w:val="000000"/>
        </w:rPr>
      </w:r>
    </w:p>
    <w:sectPr>
      <w:type w:val="nextPage"/>
      <w:pgSz w:w="12240" w:h="15840"/>
      <w:pgMar w:left="1440" w:right="1440" w:header="0" w:top="1440" w:footer="0" w:bottom="1440" w:gutter="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120"/>
      <w:jc w:val="left"/>
    </w:pPr>
    <w:rPr>
      <w:rFonts w:ascii="Calibri" w:hAnsi="Calibri" w:eastAsia="ＭＳ 明朝" w:cs=""/>
      <w:color w:val="2D3748"/>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link w:val="BodyTex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12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ＭＳ ゴシック"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12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Bullet 3"/>
    <w:basedOn w:val="Normal"/>
    <w:uiPriority w:val="99"/>
    <w:unhideWhenUsed/>
    <w:rsid w:val="00326f90"/>
    <w:pPr>
      <w:spacing w:before="0" w:after="120"/>
      <w:ind w:left="720" w:hanging="360"/>
      <w:contextualSpacing/>
    </w:pPr>
    <w:rPr/>
  </w:style>
  <w:style w:type="paragraph" w:styleId="List3">
    <w:name w:val="List Bullet 4"/>
    <w:basedOn w:val="Normal"/>
    <w:uiPriority w:val="99"/>
    <w:unhideWhenUsed/>
    <w:rsid w:val="00326f90"/>
    <w:pPr>
      <w:spacing w:before="0" w:after="120"/>
      <w:ind w:left="1080" w:hanging="360"/>
      <w:contextualSpacing/>
    </w:pPr>
    <w:rPr/>
  </w:style>
  <w:style w:type="paragraph" w:styleId="ListBullet">
    <w:name w:val="List Bullet"/>
    <w:basedOn w:val="Normal"/>
    <w:uiPriority w:val="99"/>
    <w:unhideWhenUsed/>
    <w:qFormat/>
    <w:rsid w:val="00326f90"/>
    <w:pPr>
      <w:spacing w:before="0" w:after="120"/>
      <w:contextualSpacing/>
    </w:pPr>
    <w:rPr/>
  </w:style>
  <w:style w:type="paragraph" w:styleId="ListBullet2">
    <w:name w:val="List Bullet 2"/>
    <w:basedOn w:val="Normal"/>
    <w:uiPriority w:val="99"/>
    <w:unhideWhenUsed/>
    <w:qFormat/>
    <w:rsid w:val="00326f90"/>
    <w:pPr>
      <w:spacing w:before="0" w:after="120"/>
      <w:contextualSpacing/>
    </w:pPr>
    <w:rPr/>
  </w:style>
  <w:style w:type="paragraph" w:styleId="ListBullet3">
    <w:name w:val="List Bullet 3"/>
    <w:basedOn w:val="Normal"/>
    <w:uiPriority w:val="99"/>
    <w:unhideWhenUsed/>
    <w:qFormat/>
    <w:rsid w:val="00326f90"/>
    <w:pPr>
      <w:spacing w:before="0" w:after="120"/>
      <w:contextualSpacing/>
    </w:pPr>
    <w:rPr/>
  </w:style>
  <w:style w:type="paragraph" w:styleId="ListNumber">
    <w:name w:val="List Number"/>
    <w:basedOn w:val="Normal"/>
    <w:uiPriority w:val="99"/>
    <w:unhideWhenUsed/>
    <w:qFormat/>
    <w:rsid w:val="00326f90"/>
    <w:pPr>
      <w:spacing w:before="0" w:after="120"/>
      <w:contextualSpacing/>
    </w:pPr>
    <w:rPr/>
  </w:style>
  <w:style w:type="paragraph" w:styleId="ListNumber2">
    <w:name w:val="List Number 2"/>
    <w:basedOn w:val="Normal"/>
    <w:uiPriority w:val="99"/>
    <w:unhideWhenUsed/>
    <w:qFormat/>
    <w:rsid w:val="0029639d"/>
    <w:pPr>
      <w:spacing w:before="0" w:after="120"/>
      <w:contextualSpacing/>
    </w:pPr>
    <w:rPr/>
  </w:style>
  <w:style w:type="paragraph" w:styleId="ListNumber3">
    <w:name w:val="List Number 3"/>
    <w:basedOn w:val="Normal"/>
    <w:uiPriority w:val="99"/>
    <w:unhideWhenUsed/>
    <w:qFormat/>
    <w:rsid w:val="0029639d"/>
    <w:pPr>
      <w:spacing w:before="0" w:after="12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TOCHeading">
    <w:name w:val="TOC Heading"/>
    <w:basedOn w:val="Heading1"/>
    <w:next w:val="Normal"/>
    <w:uiPriority w:val="39"/>
    <w:semiHidden/>
    <w:unhideWhenUsed/>
    <w:qFormat/>
    <w:rsid w:val="00fc693f"/>
    <w:pPr/>
    <w:rPr/>
  </w:style>
  <w:style w:type="numbering" w:styleId="NoList" w:default="1">
    <w:name w:val="No List"/>
    <w:uiPriority w:val="99"/>
    <w:semiHidden/>
    <w:unhideWhenUsed/>
    <w:qFormat/>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Ind w:w="0" w:type="dxa"/>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LibreOffice/6.4.7.2$Linux_X86_64 LibreOffice_project/40$Build-2</Application>
  <Pages>7</Pages>
  <Words>1604</Words>
  <Characters>9811</Characters>
  <CharactersWithSpaces>11239</CharactersWithSpaces>
  <Paragraphs>223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2026-10-15T20:32:31Z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14.0000</vt:lpwstr>
  </property>
  <property fmtid="{D5CDD505-2E9C-101B-9397-08002B2CF9AE}" pid="3" name="DocSecurity">
    <vt:i4>0</vt:i4>
  </property>
  <property fmtid="{D5CDD505-2E9C-101B-9397-08002B2CF9AE}" pid="4" name="HyperlinksChanged">
    <vt:bool>0</vt:bool>
  </property>
  <property fmtid="{D5CDD505-2E9C-101B-9397-08002B2CF9AE}" pid="5" name="LinksUpToDate">
    <vt:bool>0</vt:bool>
  </property>
  <property fmtid="{D5CDD505-2E9C-101B-9397-08002B2CF9AE}" pid="6" name="ScaleCrop">
    <vt:bool>0</vt:bool>
  </property>
  <property fmtid="{D5CDD505-2E9C-101B-9397-08002B2CF9AE}" pid="7" name="ShareDoc">
    <vt:bool>0</vt:bool>
  </property>
</Properties>
</file>