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EB29B" w14:textId="77777777" w:rsidR="00796F79" w:rsidRDefault="00796F79">
      <w:pPr>
        <w:pBdr>
          <w:bottom w:val="single" w:sz="32" w:space="1" w:color="000000"/>
        </w:pBdr>
        <w:spacing w:after="0"/>
      </w:pPr>
    </w:p>
    <w:p w14:paraId="1B56D2AE" w14:textId="77777777" w:rsidR="00796F79" w:rsidRDefault="00000000">
      <w:pPr>
        <w:spacing w:before="240" w:after="240"/>
        <w:jc w:val="center"/>
      </w:pPr>
      <w:r>
        <w:rPr>
          <w:b/>
          <w:sz w:val="32"/>
        </w:rPr>
        <w:t>A Bayesian Inference Model of Corollary Discharge Dysfunction in Schizophrenia: Quantifying Efference Copy Precision from EEG Data</w:t>
      </w:r>
    </w:p>
    <w:p w14:paraId="6CDD260A" w14:textId="77777777" w:rsidR="00796F79" w:rsidRDefault="00796F79">
      <w:pPr>
        <w:pBdr>
          <w:bottom w:val="single" w:sz="8" w:space="1" w:color="000000"/>
        </w:pBdr>
        <w:spacing w:after="0"/>
      </w:pPr>
    </w:p>
    <w:p w14:paraId="7B093CC0" w14:textId="77777777" w:rsidR="00796F79" w:rsidRPr="0053534A" w:rsidRDefault="0053534A">
      <w:pPr>
        <w:spacing w:before="120"/>
        <w:jc w:val="center"/>
        <w:rPr>
          <w:b/>
          <w:bCs/>
        </w:rPr>
      </w:pPr>
      <w:r w:rsidRPr="0053534A">
        <w:rPr>
          <w:b/>
          <w:bCs/>
          <w:sz w:val="22"/>
        </w:rPr>
        <w:t>Narendra Bayutama Wibisono</w:t>
      </w:r>
    </w:p>
    <w:p w14:paraId="2C6C79FA" w14:textId="77777777" w:rsidR="00796F79" w:rsidRPr="0053534A" w:rsidRDefault="0053534A">
      <w:pPr>
        <w:jc w:val="center"/>
        <w:rPr>
          <w:iCs/>
        </w:rPr>
      </w:pPr>
      <w:r>
        <w:rPr>
          <w:iCs/>
        </w:rPr>
        <w:t>Independent Researcher</w:t>
      </w:r>
    </w:p>
    <w:p w14:paraId="589038C5" w14:textId="77777777" w:rsidR="00796F79" w:rsidRDefault="00C3256A">
      <w:pPr>
        <w:spacing w:after="220"/>
        <w:jc w:val="center"/>
      </w:pPr>
      <w:r>
        <w:t>n</w:t>
      </w:r>
      <w:r w:rsidR="0053534A">
        <w:t>arendra.bayutama</w:t>
      </w:r>
      <w:r w:rsidR="00000000">
        <w:t>@</w:t>
      </w:r>
      <w:r w:rsidR="0053534A">
        <w:t>ui.ac.id</w:t>
      </w:r>
    </w:p>
    <w:p w14:paraId="2FDECC50" w14:textId="77777777" w:rsidR="00796F79" w:rsidRDefault="00000000">
      <w:pPr>
        <w:spacing w:before="220" w:after="110"/>
      </w:pPr>
      <w:r>
        <w:rPr>
          <w:b/>
          <w:sz w:val="24"/>
        </w:rPr>
        <w:t>ABSTRACT</w:t>
      </w:r>
    </w:p>
    <w:p w14:paraId="1150DE60" w14:textId="77777777" w:rsidR="00796F79" w:rsidRDefault="00000000" w:rsidP="00C3256A">
      <w:pPr>
        <w:spacing w:after="110" w:line="220" w:lineRule="exact"/>
        <w:jc w:val="both"/>
      </w:pPr>
      <w:r>
        <w:t>Predictive coding theories propose that the brain operates as a Bayesian inference engine, continuously generating predictions about sensory input and updating beliefs based on prediction errors. In the context of self-generated actions, the motor system sends an efference copy of the motor command to sensory cortex, producing a corollary discharge that suppresses neural responses to expected sensory consequences. Dysfunction in this mechanism has been consistently implicated in the pathophysiology of schizophrenia, particularly in explaining auditory hallucinations and delusions of agency. In this study, we formalize the corollary discharge process as a linear Bayesian model and apply it to EEG data from 81 participants (32 healthy controls, 49 schizophrenia patients). Our model quantifies the precision weight (x) with which the brain integrates motor preparation signals into auditory predictions. Results show that while the efference copy signal (C3_B1) is approximately 45% weaker in schizophrenia patients (0.79 vs 1.44 µV), the computed precision weight is paradoxically higher (-1.89 vs -1.40), suggesting a compensatory over-weighting mechanism. Additionally, an ANCOVA-based variance proxy analysis was conducted to approximate inter-trial phase coherence (ITPC), revealing directionally correct but non-significant differences in efference copy consistency between groups. These findings support the Bayesian brain hypothesis of schizophrenia and provide a quantitative framework for characterizing predictive coding deficits from standard EEG measurements.</w:t>
      </w:r>
    </w:p>
    <w:p w14:paraId="666FBD06" w14:textId="77777777" w:rsidR="00796F79" w:rsidRDefault="00000000" w:rsidP="00C3256A">
      <w:pPr>
        <w:jc w:val="both"/>
      </w:pPr>
      <w:r>
        <w:rPr>
          <w:b/>
        </w:rPr>
        <w:t xml:space="preserve">Keywords: </w:t>
      </w:r>
      <w:r>
        <w:rPr>
          <w:i/>
        </w:rPr>
        <w:t>Bayesian inference, predictive coding, efference copy, corollary discharge, schizophrenia, EEG, N100, precision weighting</w:t>
      </w:r>
    </w:p>
    <w:p w14:paraId="67B37933" w14:textId="77777777" w:rsidR="00796F79" w:rsidRDefault="00000000">
      <w:pPr>
        <w:spacing w:before="220" w:after="110"/>
      </w:pPr>
      <w:r>
        <w:rPr>
          <w:b/>
          <w:sz w:val="24"/>
        </w:rPr>
        <w:t>1. INTRODUCTION</w:t>
      </w:r>
    </w:p>
    <w:p w14:paraId="6B3D9A8D" w14:textId="77777777" w:rsidR="00796F79" w:rsidRDefault="00000000">
      <w:pPr>
        <w:spacing w:before="220" w:after="110"/>
      </w:pPr>
      <w:r>
        <w:rPr>
          <w:b/>
        </w:rPr>
        <w:t>1.1 The Bayesian Brain Hypothesis</w:t>
      </w:r>
    </w:p>
    <w:p w14:paraId="355F0B2F" w14:textId="77777777" w:rsidR="00796F79" w:rsidRDefault="00000000" w:rsidP="00C3256A">
      <w:pPr>
        <w:spacing w:after="110" w:line="220" w:lineRule="exact"/>
        <w:jc w:val="both"/>
      </w:pPr>
      <w:r>
        <w:t>Contemporary neuroscience increasingly views the brain as a probabilistic inference machine that constructs internal models of the world and continuously updates them based on incoming sensory evidence (Adams and Friston, 2016). Under this framework, known as the Bayesian brain hypothesis, perception is not a passive registration of sensory input but an active process of hypothesis testing, where prior beliefs are combined with sensory likelihood to form posterior beliefs about the causes of sensory data (Fletcher and Frith, 2008).</w:t>
      </w:r>
    </w:p>
    <w:p w14:paraId="1A3CDC93" w14:textId="77777777" w:rsidR="00796F79" w:rsidRDefault="00000000" w:rsidP="00C3256A">
      <w:pPr>
        <w:spacing w:after="110" w:line="220" w:lineRule="exact"/>
        <w:jc w:val="both"/>
      </w:pPr>
      <w:r>
        <w:t>A critical feature of Bayesian inference is the concept of precision — the inverse variance of a probability distribution — which determines the relative weighting of prior expectations versus sensory evidence. When priors are highly precise (confident), the brain relies more on its predictions; when sensory data are highly precise, predictions are updated more readily. This precision-weighting mechanism provides a formal computational account of how the brain balances top-down expectations with bottom-up sensory signals (Adams and Friston, 2016).</w:t>
      </w:r>
    </w:p>
    <w:p w14:paraId="2BE6A65B" w14:textId="77777777" w:rsidR="00796F79" w:rsidRDefault="00000000">
      <w:pPr>
        <w:spacing w:before="220" w:after="110"/>
      </w:pPr>
      <w:r>
        <w:rPr>
          <w:b/>
        </w:rPr>
        <w:t>1.2 Efference Copy and Corollary Discharge</w:t>
      </w:r>
    </w:p>
    <w:p w14:paraId="4A88B851" w14:textId="77777777" w:rsidR="00796F79" w:rsidRDefault="00000000" w:rsidP="00C3256A">
      <w:pPr>
        <w:spacing w:after="110" w:line="220" w:lineRule="exact"/>
        <w:jc w:val="both"/>
      </w:pPr>
      <w:r>
        <w:t xml:space="preserve">A well-characterized example of predictive coding in action is the efference copy / corollary discharge system. When the brain initiates a motor action, a copy of the motor command (the efference copy) is sent from motor areas to the relevant sensory cortex. This efference copy generates a corollary discharge — a neural prediction of the expected sensory consequence of the action (Pynn and DeSouza, 2012). The predicted sensation is then compared with the actual sensory </w:t>
      </w:r>
      <w:r>
        <w:lastRenderedPageBreak/>
        <w:t>input, and if they match, the sensory response is suppressed. This is why we cannot tickle ourselves: our brain accurately predicts the tactile sensation and cancels it out.</w:t>
      </w:r>
    </w:p>
    <w:p w14:paraId="7A13CB4C" w14:textId="77777777" w:rsidR="00796F79" w:rsidRDefault="00000000" w:rsidP="00C3256A">
      <w:pPr>
        <w:spacing w:after="110" w:line="220" w:lineRule="exact"/>
        <w:jc w:val="both"/>
      </w:pPr>
      <w:r>
        <w:t>This mechanism has been extensively documented across species and sensory modalities. In the auditory domain, the N1 (or N100) component of the event-related potential (ERP) — a negative deflection peaking approximately 100 milliseconds after stimulus onset — is reliably suppressed when the auditory stimulus is self-generated compared to when it is externally generated (Ford et al., 2014). The lateralized readiness potential (LRP), measured over motor cortex prior to a voluntary movement, provides a neural index of the efference copy itself (Ford et al., 2014; Pynn and DeSouza, 2012).</w:t>
      </w:r>
    </w:p>
    <w:p w14:paraId="646B1493" w14:textId="77777777" w:rsidR="00796F79" w:rsidRDefault="00000000">
      <w:pPr>
        <w:spacing w:before="220" w:after="110"/>
      </w:pPr>
      <w:r>
        <w:rPr>
          <w:b/>
        </w:rPr>
        <w:t>1.3 Predictive Coding Dysfunction in Schizophrenia</w:t>
      </w:r>
    </w:p>
    <w:p w14:paraId="7B012FE1" w14:textId="77777777" w:rsidR="00796F79" w:rsidRDefault="00000000" w:rsidP="00C3256A">
      <w:pPr>
        <w:spacing w:after="110" w:line="220" w:lineRule="exact"/>
        <w:jc w:val="both"/>
      </w:pPr>
      <w:r>
        <w:t>Schizophrenia is a severe psychiatric disorder characterized by positive symptoms including hallucinations and delusions, as well as negative symptoms such as avolition and alogia (Fletcher and Frith, 2008). A growing body of evidence suggests that many of these symptoms arise from fundamental disruptions in predictive coding mechanisms. Specifically, patients with schizophrenia may be unable to accurately predict the sensory consequences of their own actions, leading self-generated sensations to be experienced as externally caused — a plausible computational basis for auditory verbal hallucinations.</w:t>
      </w:r>
    </w:p>
    <w:p w14:paraId="7796BAD4" w14:textId="77777777" w:rsidR="00796F79" w:rsidRDefault="00000000" w:rsidP="00C3256A">
      <w:pPr>
        <w:spacing w:after="110" w:line="220" w:lineRule="exact"/>
        <w:jc w:val="both"/>
      </w:pPr>
      <w:r>
        <w:t>Ford et al. (2014) demonstrated that patients with schizophrenia show significantly reduced N1 suppression when pressing a button to deliver a tone, indicating impaired corollary discharge. Furthermore, the lateralized readiness potential (LRP) preceding the button press was smaller in patients, suggesting that the efference copy signal itself is degraded at its source. Critically, LRP amplitude was correlated with N1 suppression in both groups, confirming that stronger motor planning signals produce stronger sensory predictions.</w:t>
      </w:r>
    </w:p>
    <w:p w14:paraId="6C8A4D06" w14:textId="77777777" w:rsidR="00796F79" w:rsidRDefault="00000000" w:rsidP="00C3256A">
      <w:pPr>
        <w:spacing w:after="110" w:line="220" w:lineRule="exact"/>
        <w:jc w:val="both"/>
      </w:pPr>
      <w:r>
        <w:t>From a computational perspective, these deficits have been linked to abnormalities in the hierarchical encoding of precision. Adams and Friston (2016) proposed that reduced synaptic gain at higher levels of the cortical hierarchy in schizophrenia leads to imprecise prior beliefs, which in turn disrupts the balance between predictions and prediction errors. Valton et al. (2017) further argued that Bayesian models of schizophrenia remain under-investigated despite their theoretical promise, calling for more empirical work applying formal computational models to clinical data.</w:t>
      </w:r>
    </w:p>
    <w:p w14:paraId="10B9E2AF" w14:textId="77777777" w:rsidR="00796F79" w:rsidRDefault="00000000" w:rsidP="00C3256A">
      <w:pPr>
        <w:spacing w:before="220" w:after="110"/>
        <w:jc w:val="both"/>
      </w:pPr>
      <w:r>
        <w:rPr>
          <w:b/>
        </w:rPr>
        <w:t>1.4 Contribution of This Study</w:t>
      </w:r>
    </w:p>
    <w:p w14:paraId="4639FEA8" w14:textId="77777777" w:rsidR="00796F79" w:rsidRDefault="00000000" w:rsidP="00C3256A">
      <w:pPr>
        <w:spacing w:after="110" w:line="220" w:lineRule="exact"/>
        <w:jc w:val="both"/>
      </w:pPr>
      <w:r>
        <w:t>The present study addresses this gap by formalizing the corollary discharge process as a linear Bayesian model and fitting it to EEG trial data from healthy controls and schizophrenia patients. Specifically, we: (1) derive a precision weight parameter that quantifies how strongly the brain integrates motor preparation signals into auditory predictions, (2) compare this weight between diagnostic groups to identify compensatory mechanisms, and (3) implement an ANCOVA-based variance proxy to approximate inter-trial phase coherence (ITPC) as a measure of efference copy temporal reliability. This work provides a simple yet theoretically grounded quantitative framework for characterizing predictive coding deficits from standard EEG measurements.</w:t>
      </w:r>
    </w:p>
    <w:p w14:paraId="39EB5DE1" w14:textId="77777777" w:rsidR="00796F79" w:rsidRDefault="00000000" w:rsidP="00C3256A">
      <w:pPr>
        <w:spacing w:before="220" w:after="110"/>
        <w:jc w:val="both"/>
      </w:pPr>
      <w:r>
        <w:rPr>
          <w:b/>
          <w:sz w:val="24"/>
        </w:rPr>
        <w:t>2. METHODS</w:t>
      </w:r>
    </w:p>
    <w:p w14:paraId="157D5B54" w14:textId="77777777" w:rsidR="00796F79" w:rsidRDefault="00000000" w:rsidP="00C3256A">
      <w:pPr>
        <w:spacing w:before="220" w:after="110"/>
        <w:jc w:val="both"/>
      </w:pPr>
      <w:r>
        <w:rPr>
          <w:b/>
        </w:rPr>
        <w:t>2.1 Dataset</w:t>
      </w:r>
    </w:p>
    <w:p w14:paraId="05257026" w14:textId="77777777" w:rsidR="00796F79" w:rsidRDefault="00000000" w:rsidP="00C3256A">
      <w:pPr>
        <w:spacing w:after="110" w:line="220" w:lineRule="exact"/>
        <w:jc w:val="both"/>
      </w:pPr>
      <w:r>
        <w:t>The dataset used in this study was derived from the EEG experiment described by Ford et al. (2014). The dataset consists of trial-level ERP measurements from 81 participants: 32 healthy controls (HC) and 49 patients diagnosed with schizophrenia or schizoaffective disorder (SZ). Demographic information including age, gender, and education level was available for all participants.</w:t>
      </w:r>
    </w:p>
    <w:p w14:paraId="084C11FD" w14:textId="77777777" w:rsidR="00796F79" w:rsidRDefault="00000000" w:rsidP="00C3256A">
      <w:pPr>
        <w:spacing w:after="110" w:line="220" w:lineRule="exact"/>
        <w:jc w:val="both"/>
      </w:pPr>
      <w:r>
        <w:t>The experimental paradigm included three conditions: (1) Active Button Press + Tone (participants pressed a button to deliver a tone), (2) Passive Tone Playback (participants heard the same tones played back without pressing a button), and (3) Button Press Only (participants pressed a button without an associated tone). Each participant completed approximately 100 trials per condition.</w:t>
      </w:r>
    </w:p>
    <w:p w14:paraId="695AC284" w14:textId="77777777" w:rsidR="00796F79" w:rsidRDefault="00000000" w:rsidP="00C3256A">
      <w:pPr>
        <w:spacing w:after="110" w:line="220" w:lineRule="exact"/>
        <w:jc w:val="both"/>
      </w:pPr>
      <w:r>
        <w:t>ERP amplitudes were extracted at nine scalp electrode sites: Fz, FCz, Cz, FC3, FC4, C3, C4, CP3, and CP4. For each trial, the following features were pre-computed: N100 amplitude (auditory response at 100ms post-stimulus), P200 amplitude (positive deflection at 200ms), and baseline activity in two windows (B0 and B1, representing pre-stimulus motor preparation). Trials contaminated by artifacts were flagged for rejection.</w:t>
      </w:r>
    </w:p>
    <w:p w14:paraId="59E53737" w14:textId="77777777" w:rsidR="00C3256A" w:rsidRDefault="00C3256A" w:rsidP="00C3256A">
      <w:pPr>
        <w:jc w:val="both"/>
        <w:rPr>
          <w:b/>
        </w:rPr>
      </w:pPr>
      <w:r>
        <w:rPr>
          <w:b/>
        </w:rPr>
        <w:br w:type="page"/>
      </w:r>
    </w:p>
    <w:p w14:paraId="49841D16" w14:textId="77777777" w:rsidR="00796F79" w:rsidRDefault="00000000" w:rsidP="00C3256A">
      <w:pPr>
        <w:spacing w:before="220" w:after="110"/>
        <w:jc w:val="both"/>
      </w:pPr>
      <w:r>
        <w:rPr>
          <w:b/>
        </w:rPr>
        <w:lastRenderedPageBreak/>
        <w:t>2.2 Bayesian Model Formulation</w:t>
      </w:r>
    </w:p>
    <w:p w14:paraId="6C5CA23E" w14:textId="77777777" w:rsidR="00796F79" w:rsidRDefault="00000000" w:rsidP="00C3256A">
      <w:pPr>
        <w:spacing w:after="110" w:line="220" w:lineRule="exact"/>
        <w:jc w:val="both"/>
      </w:pPr>
      <w:r>
        <w:t>We conceptualize the corollary discharge process as a linear Bayesian prediction error model. In this framework, the auditory N100 response during an active button press represents the posterior — the brain's residual response after subtracting its prediction from the sensory input. The model is expressed as:</w:t>
      </w:r>
    </w:p>
    <w:p w14:paraId="38C908C7" w14:textId="77777777" w:rsidR="00796F79" w:rsidRDefault="00000000" w:rsidP="00E34DCA">
      <w:pPr>
        <w:spacing w:before="120" w:after="120"/>
        <w:jc w:val="center"/>
      </w:pPr>
      <w:r>
        <w:rPr>
          <w:i/>
        </w:rPr>
        <w:t>N100_Active = N100_Passive − x × Motor_Prep</w:t>
      </w:r>
    </w:p>
    <w:p w14:paraId="1362957C" w14:textId="77777777" w:rsidR="00796F79" w:rsidRDefault="00000000" w:rsidP="00C3256A">
      <w:pPr>
        <w:spacing w:after="110" w:line="220" w:lineRule="exact"/>
        <w:jc w:val="both"/>
      </w:pPr>
      <w:r>
        <w:t>Where:</w:t>
      </w:r>
    </w:p>
    <w:p w14:paraId="480D6BB2" w14:textId="77777777" w:rsidR="00796F79" w:rsidRDefault="00000000" w:rsidP="00C3256A">
      <w:pPr>
        <w:spacing w:after="110" w:line="220" w:lineRule="exact"/>
        <w:jc w:val="both"/>
      </w:pPr>
      <w:r>
        <w:t>• N100_Active is the average frontal-central N100 amplitude during Condition 1 (Active Button Press + Tone), calculated as the mean of Fz_N100, FCz_N100, and Cz_N100. This represents the Prediction Error (Posterior) — the residual auditory response after the brain's prediction has been applied.</w:t>
      </w:r>
    </w:p>
    <w:p w14:paraId="45E9679A" w14:textId="77777777" w:rsidR="00796F79" w:rsidRDefault="00000000" w:rsidP="00C3256A">
      <w:pPr>
        <w:spacing w:after="110" w:line="220" w:lineRule="exact"/>
        <w:jc w:val="both"/>
      </w:pPr>
      <w:r>
        <w:t>• N100_Passive is the average frontal-central N100 amplitude during Condition 2 (Passive Tone Playback). This represents the Sensory Baseline (Likelihood) — the full, unsuppressed auditory response in the absence of motor prediction.</w:t>
      </w:r>
    </w:p>
    <w:p w14:paraId="263853EA" w14:textId="77777777" w:rsidR="00796F79" w:rsidRDefault="00000000" w:rsidP="00C3256A">
      <w:pPr>
        <w:spacing w:after="110" w:line="220" w:lineRule="exact"/>
        <w:jc w:val="both"/>
      </w:pPr>
      <w:r>
        <w:t>• Motor_Prep is the C3_B1 value — the pre-stimulus baseline activity at electrode C3 (positioned over left motor cortex, contralateral to the responding right hand) in the B1 time window. This represents the Efference Copy (Prior) — the motor preparation signal that generates the sensory prediction.</w:t>
      </w:r>
    </w:p>
    <w:p w14:paraId="59F81119" w14:textId="77777777" w:rsidR="00796F79" w:rsidRDefault="00000000" w:rsidP="00C3256A">
      <w:pPr>
        <w:spacing w:after="110" w:line="220" w:lineRule="exact"/>
        <w:jc w:val="both"/>
      </w:pPr>
      <w:r>
        <w:t>• x is the Precision Weight, representing how confidently the brain integrates (scales) the efference copy signal into an auditory prediction. Solving for x yields the quantitative strength of the brain's predictive mechanism.</w:t>
      </w:r>
    </w:p>
    <w:p w14:paraId="1CB4C4CD" w14:textId="77777777" w:rsidR="00796F79" w:rsidRDefault="00000000" w:rsidP="00C3256A">
      <w:pPr>
        <w:spacing w:before="220" w:after="110"/>
        <w:jc w:val="both"/>
      </w:pPr>
      <w:r>
        <w:rPr>
          <w:b/>
        </w:rPr>
        <w:t>2.3 Subject-Level Aggregation</w:t>
      </w:r>
    </w:p>
    <w:p w14:paraId="5DEEA258" w14:textId="77777777" w:rsidR="00796F79" w:rsidRDefault="00000000" w:rsidP="00C3256A">
      <w:pPr>
        <w:spacing w:after="110" w:line="220" w:lineRule="exact"/>
        <w:jc w:val="both"/>
      </w:pPr>
      <w:r>
        <w:t>To ensure that each participant contributed equally to group-level statistics regardless of their trial count, we employed subject-level aggregation (grand mean method). For each participant, the mean values of N100 (across three frontal-central electrodes) and C3_B1 were first computed across all non-rejected trials within each condition. Group-level statistics (HC and SZ) were then calculated as the mean of these subject-level means. This approach prevents participants with more trials from disproportionately influencing the group averages.</w:t>
      </w:r>
    </w:p>
    <w:p w14:paraId="26D6FAD0" w14:textId="77777777" w:rsidR="00796F79" w:rsidRDefault="00000000" w:rsidP="00C3256A">
      <w:pPr>
        <w:spacing w:before="220" w:after="110"/>
        <w:jc w:val="both"/>
      </w:pPr>
      <w:commentRangeStart w:id="0"/>
      <w:r>
        <w:rPr>
          <w:b/>
        </w:rPr>
        <w:t>2.4 ANCOVA + Variance-Based Proxy for Efference Copy Precision</w:t>
      </w:r>
      <w:commentRangeEnd w:id="0"/>
      <w:r w:rsidR="00C64FD8">
        <w:rPr>
          <w:rStyle w:val="CommentReference"/>
        </w:rPr>
        <w:commentReference w:id="0"/>
      </w:r>
    </w:p>
    <w:p w14:paraId="5C3F4554" w14:textId="49414F99" w:rsidR="00736D2F" w:rsidRDefault="00000000" w:rsidP="00C3256A">
      <w:pPr>
        <w:spacing w:after="110" w:line="220" w:lineRule="exact"/>
        <w:jc w:val="both"/>
      </w:pPr>
      <w:r>
        <w:t>To approximate Inter-Trial Phase Coherence (ITPC) — a measure of the temporal consistency of the efference copy signal across repeated trials — we implemented an ANCOVA-based variance proxy.</w:t>
      </w:r>
      <w:r w:rsidR="00736D2F">
        <w:t xml:space="preserve"> </w:t>
      </w:r>
      <w:r w:rsidR="000B23D4">
        <w:t>This step is necessary because the mean amplitude of C3_B1 is highly susceptible to individual anatomical and behavioral confounds. For instance, variations in button-pressing force or differences in skull thickness can artificially inflate or attenuate the captured EEG signals.</w:t>
      </w:r>
      <w:r w:rsidR="00736D2F">
        <w:t xml:space="preserve"> </w:t>
      </w:r>
    </w:p>
    <w:p w14:paraId="2060C62C" w14:textId="633AA7AB" w:rsidR="00796F79" w:rsidRDefault="00000000" w:rsidP="00C3256A">
      <w:pPr>
        <w:spacing w:after="110" w:line="220" w:lineRule="exact"/>
        <w:jc w:val="both"/>
      </w:pPr>
      <w:r>
        <w:t>True ITPC calculation requires raw trial-level time-series data and the Hilbert transform; however, the available dataset contains only pre-computed ERP amplitudes per trial. Our proxy method proceeds as follows:</w:t>
      </w:r>
    </w:p>
    <w:p w14:paraId="3B9F39D6" w14:textId="77777777" w:rsidR="00796F79" w:rsidRDefault="00000000" w:rsidP="00C3256A">
      <w:pPr>
        <w:spacing w:after="110" w:line="220" w:lineRule="exact"/>
        <w:jc w:val="both"/>
      </w:pPr>
      <w:r>
        <w:t>Step 1: For each participant, calculate the Mean and Standard Deviation (SD) of C3_B1 across all Condition 1 trials.</w:t>
      </w:r>
    </w:p>
    <w:p w14:paraId="667A94E4" w14:textId="77777777" w:rsidR="00796F79" w:rsidRDefault="00000000" w:rsidP="00C3256A">
      <w:pPr>
        <w:spacing w:after="110" w:line="220" w:lineRule="exact"/>
        <w:jc w:val="both"/>
      </w:pPr>
      <w:r>
        <w:t>Step 2: Regress SD on Mean across all participants (pooled across groups) using ordinary least squares. This step removes the mathematical coupling between SD and Mean, as higher-amplitude signals naturally exhibit larger absolute fluctuations.</w:t>
      </w:r>
    </w:p>
    <w:p w14:paraId="07AED9FB" w14:textId="77777777" w:rsidR="00796F79" w:rsidRDefault="00000000" w:rsidP="00C3256A">
      <w:pPr>
        <w:spacing w:after="110" w:line="220" w:lineRule="exact"/>
        <w:jc w:val="both"/>
      </w:pPr>
      <w:r>
        <w:t>Step 3: Extract the residuals from this regression. These residuals — termed the Adjusted SD — represent the component of trial-to-trial variability that is not predicted by mean amplitude, serving as a proxy for the temporal precision (consistency) of the efference copy signal.</w:t>
      </w:r>
    </w:p>
    <w:p w14:paraId="59ED1BEB" w14:textId="77777777" w:rsidR="00796F79" w:rsidRDefault="00000000" w:rsidP="00C3256A">
      <w:pPr>
        <w:spacing w:after="110" w:line="220" w:lineRule="exact"/>
        <w:jc w:val="both"/>
      </w:pPr>
      <w:r>
        <w:t>Step 4: Compare the Adjusted SD between HC and SZ groups using an independent samples t-test, with Cohen's d as the effect size measure.</w:t>
      </w:r>
    </w:p>
    <w:p w14:paraId="7854E6E0" w14:textId="77777777" w:rsidR="00796F79" w:rsidRDefault="00000000" w:rsidP="00C3256A">
      <w:pPr>
        <w:spacing w:before="220" w:after="110"/>
        <w:jc w:val="both"/>
      </w:pPr>
      <w:r>
        <w:rPr>
          <w:b/>
          <w:sz w:val="24"/>
        </w:rPr>
        <w:t>3. RESULTS</w:t>
      </w:r>
    </w:p>
    <w:p w14:paraId="6C2A1DC7" w14:textId="77777777" w:rsidR="00796F79" w:rsidRDefault="00000000" w:rsidP="00C3256A">
      <w:pPr>
        <w:spacing w:before="220" w:after="110"/>
        <w:jc w:val="both"/>
      </w:pPr>
      <w:r>
        <w:rPr>
          <w:b/>
        </w:rPr>
        <w:t>3.1 Bayesian Precision Weight</w:t>
      </w:r>
    </w:p>
    <w:p w14:paraId="26C5459E" w14:textId="77777777" w:rsidR="00796F79" w:rsidRDefault="00000000" w:rsidP="00C3256A">
      <w:pPr>
        <w:spacing w:after="110" w:line="220" w:lineRule="exact"/>
        <w:jc w:val="both"/>
      </w:pPr>
      <w:r>
        <w:t>The precision weight (x) was calculated for both groups using subject-level aggregation. Table 1 summarizes the key variables and computed weights.</w:t>
      </w:r>
    </w:p>
    <w:p w14:paraId="790C8EA5" w14:textId="77777777" w:rsidR="00796F79" w:rsidRDefault="00000000" w:rsidP="00C3256A">
      <w:pPr>
        <w:spacing w:before="220"/>
        <w:jc w:val="both"/>
      </w:pPr>
      <w:r>
        <w:rPr>
          <w:b/>
          <w:sz w:val="18"/>
        </w:rPr>
        <w:lastRenderedPageBreak/>
        <w:t>Table 1. Bayesian Model Parameters by Group</w:t>
      </w:r>
    </w:p>
    <w:tbl>
      <w:tblPr>
        <w:tblStyle w:val="TableGrid"/>
        <w:tblW w:w="0" w:type="auto"/>
        <w:jc w:val="center"/>
        <w:tblLook w:val="04A0" w:firstRow="1" w:lastRow="0" w:firstColumn="1" w:lastColumn="0" w:noHBand="0" w:noVBand="1"/>
      </w:tblPr>
      <w:tblGrid>
        <w:gridCol w:w="3235"/>
        <w:gridCol w:w="3235"/>
        <w:gridCol w:w="3235"/>
      </w:tblGrid>
      <w:tr w:rsidR="00796F79" w14:paraId="12945424" w14:textId="77777777">
        <w:trPr>
          <w:jc w:val="center"/>
        </w:trPr>
        <w:tc>
          <w:tcPr>
            <w:tcW w:w="3235" w:type="dxa"/>
            <w:shd w:val="clear" w:color="auto" w:fill="D9E2F3"/>
          </w:tcPr>
          <w:p w14:paraId="71C93E62" w14:textId="77777777" w:rsidR="00796F79" w:rsidRDefault="00000000">
            <w:pPr>
              <w:jc w:val="center"/>
            </w:pPr>
            <w:r>
              <w:rPr>
                <w:b/>
                <w:sz w:val="18"/>
              </w:rPr>
              <w:t>Metric</w:t>
            </w:r>
          </w:p>
        </w:tc>
        <w:tc>
          <w:tcPr>
            <w:tcW w:w="3235" w:type="dxa"/>
            <w:shd w:val="clear" w:color="auto" w:fill="D9E2F3"/>
          </w:tcPr>
          <w:p w14:paraId="506B2BC3" w14:textId="77777777" w:rsidR="00796F79" w:rsidRDefault="00000000">
            <w:pPr>
              <w:jc w:val="center"/>
            </w:pPr>
            <w:r>
              <w:rPr>
                <w:b/>
                <w:sz w:val="18"/>
              </w:rPr>
              <w:t>HC (N=32)</w:t>
            </w:r>
          </w:p>
        </w:tc>
        <w:tc>
          <w:tcPr>
            <w:tcW w:w="3235" w:type="dxa"/>
            <w:shd w:val="clear" w:color="auto" w:fill="D9E2F3"/>
          </w:tcPr>
          <w:p w14:paraId="3A7AC2EA" w14:textId="77777777" w:rsidR="00796F79" w:rsidRDefault="00000000">
            <w:pPr>
              <w:jc w:val="center"/>
            </w:pPr>
            <w:r>
              <w:rPr>
                <w:b/>
                <w:sz w:val="18"/>
              </w:rPr>
              <w:t>SZ (N=49)</w:t>
            </w:r>
          </w:p>
        </w:tc>
      </w:tr>
      <w:tr w:rsidR="00796F79" w14:paraId="19925793" w14:textId="77777777">
        <w:trPr>
          <w:jc w:val="center"/>
        </w:trPr>
        <w:tc>
          <w:tcPr>
            <w:tcW w:w="3235" w:type="dxa"/>
          </w:tcPr>
          <w:p w14:paraId="5F6CA758" w14:textId="77777777" w:rsidR="00796F79" w:rsidRDefault="00000000">
            <w:pPr>
              <w:jc w:val="center"/>
            </w:pPr>
            <w:r>
              <w:rPr>
                <w:sz w:val="18"/>
              </w:rPr>
              <w:t>N100 Active (Cond. 1)</w:t>
            </w:r>
          </w:p>
        </w:tc>
        <w:tc>
          <w:tcPr>
            <w:tcW w:w="3235" w:type="dxa"/>
          </w:tcPr>
          <w:p w14:paraId="665CB2A2" w14:textId="77777777" w:rsidR="00796F79" w:rsidRDefault="00000000">
            <w:pPr>
              <w:jc w:val="center"/>
            </w:pPr>
            <w:r>
              <w:rPr>
                <w:sz w:val="18"/>
              </w:rPr>
              <w:t>-3.6384 µV</w:t>
            </w:r>
          </w:p>
        </w:tc>
        <w:tc>
          <w:tcPr>
            <w:tcW w:w="3235" w:type="dxa"/>
          </w:tcPr>
          <w:p w14:paraId="0D3DDEA0" w14:textId="77777777" w:rsidR="00796F79" w:rsidRDefault="00000000">
            <w:pPr>
              <w:jc w:val="center"/>
            </w:pPr>
            <w:r>
              <w:rPr>
                <w:sz w:val="18"/>
              </w:rPr>
              <w:t>-2.6045 µV</w:t>
            </w:r>
          </w:p>
        </w:tc>
      </w:tr>
      <w:tr w:rsidR="00796F79" w14:paraId="6FFA1BFB" w14:textId="77777777">
        <w:trPr>
          <w:jc w:val="center"/>
        </w:trPr>
        <w:tc>
          <w:tcPr>
            <w:tcW w:w="3235" w:type="dxa"/>
          </w:tcPr>
          <w:p w14:paraId="1E3665C4" w14:textId="77777777" w:rsidR="00796F79" w:rsidRDefault="00000000">
            <w:pPr>
              <w:jc w:val="center"/>
            </w:pPr>
            <w:r>
              <w:rPr>
                <w:sz w:val="18"/>
              </w:rPr>
              <w:t>N100 Passive (Cond. 2)</w:t>
            </w:r>
          </w:p>
        </w:tc>
        <w:tc>
          <w:tcPr>
            <w:tcW w:w="3235" w:type="dxa"/>
          </w:tcPr>
          <w:p w14:paraId="27EACEFF" w14:textId="77777777" w:rsidR="00796F79" w:rsidRDefault="00000000">
            <w:pPr>
              <w:jc w:val="center"/>
            </w:pPr>
            <w:r>
              <w:rPr>
                <w:sz w:val="18"/>
              </w:rPr>
              <w:t>-5.6565 µV</w:t>
            </w:r>
          </w:p>
        </w:tc>
        <w:tc>
          <w:tcPr>
            <w:tcW w:w="3235" w:type="dxa"/>
          </w:tcPr>
          <w:p w14:paraId="7613C85A" w14:textId="77777777" w:rsidR="00796F79" w:rsidRDefault="00000000">
            <w:pPr>
              <w:jc w:val="center"/>
            </w:pPr>
            <w:r>
              <w:rPr>
                <w:sz w:val="18"/>
              </w:rPr>
              <w:t>-4.0863 µV</w:t>
            </w:r>
          </w:p>
        </w:tc>
      </w:tr>
      <w:tr w:rsidR="00796F79" w14:paraId="29A74574" w14:textId="77777777">
        <w:trPr>
          <w:jc w:val="center"/>
        </w:trPr>
        <w:tc>
          <w:tcPr>
            <w:tcW w:w="3235" w:type="dxa"/>
          </w:tcPr>
          <w:p w14:paraId="69104C9D" w14:textId="77777777" w:rsidR="00796F79" w:rsidRDefault="00000000">
            <w:pPr>
              <w:jc w:val="center"/>
            </w:pPr>
            <w:r>
              <w:rPr>
                <w:sz w:val="18"/>
              </w:rPr>
              <w:t>Motor Prep (C3_B1)</w:t>
            </w:r>
          </w:p>
        </w:tc>
        <w:tc>
          <w:tcPr>
            <w:tcW w:w="3235" w:type="dxa"/>
          </w:tcPr>
          <w:p w14:paraId="31581A8C" w14:textId="77777777" w:rsidR="00796F79" w:rsidRDefault="00000000">
            <w:pPr>
              <w:jc w:val="center"/>
            </w:pPr>
            <w:r>
              <w:rPr>
                <w:sz w:val="18"/>
              </w:rPr>
              <w:t>1.4425 µV</w:t>
            </w:r>
          </w:p>
        </w:tc>
        <w:tc>
          <w:tcPr>
            <w:tcW w:w="3235" w:type="dxa"/>
          </w:tcPr>
          <w:p w14:paraId="1BFF3BD6" w14:textId="77777777" w:rsidR="00796F79" w:rsidRDefault="00000000">
            <w:pPr>
              <w:jc w:val="center"/>
            </w:pPr>
            <w:r>
              <w:rPr>
                <w:sz w:val="18"/>
              </w:rPr>
              <w:t>0.7856 µV</w:t>
            </w:r>
          </w:p>
        </w:tc>
      </w:tr>
      <w:tr w:rsidR="00796F79" w14:paraId="3F59F749" w14:textId="77777777">
        <w:trPr>
          <w:jc w:val="center"/>
        </w:trPr>
        <w:tc>
          <w:tcPr>
            <w:tcW w:w="3235" w:type="dxa"/>
          </w:tcPr>
          <w:p w14:paraId="11203C46" w14:textId="77777777" w:rsidR="00796F79" w:rsidRDefault="00000000">
            <w:pPr>
              <w:jc w:val="center"/>
            </w:pPr>
            <w:r>
              <w:rPr>
                <w:sz w:val="18"/>
              </w:rPr>
              <w:t>Total Suppression</w:t>
            </w:r>
          </w:p>
        </w:tc>
        <w:tc>
          <w:tcPr>
            <w:tcW w:w="3235" w:type="dxa"/>
          </w:tcPr>
          <w:p w14:paraId="1CB507B3" w14:textId="77777777" w:rsidR="00796F79" w:rsidRDefault="00000000">
            <w:pPr>
              <w:jc w:val="center"/>
            </w:pPr>
            <w:r>
              <w:rPr>
                <w:sz w:val="18"/>
              </w:rPr>
              <w:t>2.0181 µV</w:t>
            </w:r>
          </w:p>
        </w:tc>
        <w:tc>
          <w:tcPr>
            <w:tcW w:w="3235" w:type="dxa"/>
          </w:tcPr>
          <w:p w14:paraId="67F50F54" w14:textId="77777777" w:rsidR="00796F79" w:rsidRDefault="00000000">
            <w:pPr>
              <w:jc w:val="center"/>
            </w:pPr>
            <w:r>
              <w:rPr>
                <w:sz w:val="18"/>
              </w:rPr>
              <w:t>1.4818 µV</w:t>
            </w:r>
          </w:p>
        </w:tc>
      </w:tr>
      <w:tr w:rsidR="00796F79" w14:paraId="07333118" w14:textId="77777777">
        <w:trPr>
          <w:jc w:val="center"/>
        </w:trPr>
        <w:tc>
          <w:tcPr>
            <w:tcW w:w="3235" w:type="dxa"/>
          </w:tcPr>
          <w:p w14:paraId="79708954" w14:textId="77777777" w:rsidR="00796F79" w:rsidRDefault="00000000">
            <w:pPr>
              <w:jc w:val="center"/>
            </w:pPr>
            <w:r>
              <w:rPr>
                <w:sz w:val="18"/>
              </w:rPr>
              <w:t>Precision Weight (x)</w:t>
            </w:r>
          </w:p>
        </w:tc>
        <w:tc>
          <w:tcPr>
            <w:tcW w:w="3235" w:type="dxa"/>
          </w:tcPr>
          <w:p w14:paraId="6D51453D" w14:textId="77777777" w:rsidR="00796F79" w:rsidRDefault="00000000">
            <w:pPr>
              <w:jc w:val="center"/>
            </w:pPr>
            <w:r>
              <w:rPr>
                <w:sz w:val="18"/>
              </w:rPr>
              <w:t>-1.3990</w:t>
            </w:r>
          </w:p>
        </w:tc>
        <w:tc>
          <w:tcPr>
            <w:tcW w:w="3235" w:type="dxa"/>
          </w:tcPr>
          <w:p w14:paraId="61DA1A63" w14:textId="77777777" w:rsidR="00796F79" w:rsidRDefault="00000000">
            <w:pPr>
              <w:jc w:val="center"/>
            </w:pPr>
            <w:r>
              <w:rPr>
                <w:sz w:val="18"/>
              </w:rPr>
              <w:t>-1.8862</w:t>
            </w:r>
          </w:p>
        </w:tc>
      </w:tr>
    </w:tbl>
    <w:p w14:paraId="51EF1320" w14:textId="77777777" w:rsidR="00796F79" w:rsidRDefault="00796F79"/>
    <w:p w14:paraId="5BBD8F4F" w14:textId="77777777" w:rsidR="00796F79" w:rsidRDefault="00000000" w:rsidP="00C3256A">
      <w:pPr>
        <w:spacing w:after="110" w:line="220" w:lineRule="exact"/>
        <w:jc w:val="both"/>
      </w:pPr>
      <w:r>
        <w:t>The efference copy signal (C3_B1) was approximately 45% weaker in SZ patients compared to HC (0.79 vs 1.44 µV). This weaker motor preparation signal translated into reduced total N1 suppression in the SZ group (1.48 vs 2.02 µV). The resulting linear models are:</w:t>
      </w:r>
    </w:p>
    <w:p w14:paraId="122FBDFE" w14:textId="77777777" w:rsidR="00796F79" w:rsidRDefault="00000000">
      <w:pPr>
        <w:spacing w:before="120" w:after="60"/>
        <w:jc w:val="center"/>
      </w:pPr>
      <w:r>
        <w:rPr>
          <w:i/>
        </w:rPr>
        <w:t>HC:  y = c − 1.3990x</w:t>
      </w:r>
    </w:p>
    <w:p w14:paraId="4C986927" w14:textId="77777777" w:rsidR="00796F79" w:rsidRDefault="00000000">
      <w:pPr>
        <w:spacing w:after="120"/>
        <w:jc w:val="center"/>
      </w:pPr>
      <w:r>
        <w:rPr>
          <w:i/>
        </w:rPr>
        <w:t>SZ:  y = c − 1.8862x</w:t>
      </w:r>
    </w:p>
    <w:p w14:paraId="0E06D9A2" w14:textId="77777777" w:rsidR="00796F79" w:rsidRDefault="00000000" w:rsidP="00C3256A">
      <w:pPr>
        <w:spacing w:after="110" w:line="220" w:lineRule="exact"/>
        <w:jc w:val="both"/>
      </w:pPr>
      <w:r>
        <w:t>where y = N100_Active, c = N100_Passive, and x = Motor_Prep (C3_B1).</w:t>
      </w:r>
    </w:p>
    <w:p w14:paraId="37D7D4DF" w14:textId="77777777" w:rsidR="00796F79" w:rsidRDefault="00000000" w:rsidP="00C3256A">
      <w:pPr>
        <w:spacing w:before="220" w:after="110"/>
        <w:jc w:val="both"/>
      </w:pPr>
      <w:r>
        <w:rPr>
          <w:b/>
        </w:rPr>
        <w:t>3.2 Compensatory Over-Weighting in Schizophrenia</w:t>
      </w:r>
    </w:p>
    <w:p w14:paraId="6E0E519D" w14:textId="77777777" w:rsidR="00796F79" w:rsidRDefault="00000000" w:rsidP="00C3256A">
      <w:pPr>
        <w:spacing w:after="110" w:line="220" w:lineRule="exact"/>
        <w:jc w:val="both"/>
      </w:pPr>
      <w:r>
        <w:t>A notable finding is that the absolute value of the precision weight was larger in the SZ group (|−1.89| vs |−1.40|). This indicates that the schizophrenia brain applies a higher gain to whatever motor preparation signal it does produce, as though attempting to compensate for the weakness of the underlying signal. However, because the base signal (0.79 µV) is substantially degraded, this compensatory amplification still fails to achieve the same level of N1 suppression seen in healthy controls.</w:t>
      </w:r>
    </w:p>
    <w:p w14:paraId="365DF5BD" w14:textId="77777777" w:rsidR="00796F79" w:rsidRDefault="00000000">
      <w:pPr>
        <w:spacing w:before="220" w:after="110"/>
      </w:pPr>
      <w:r>
        <w:rPr>
          <w:b/>
        </w:rPr>
        <w:t>3.3 ANCOVA Regression Results</w:t>
      </w:r>
    </w:p>
    <w:p w14:paraId="4DA91752" w14:textId="77777777" w:rsidR="00796F79" w:rsidRDefault="00000000" w:rsidP="00C3256A">
      <w:pPr>
        <w:spacing w:after="110" w:line="220" w:lineRule="exact"/>
        <w:jc w:val="both"/>
      </w:pPr>
      <w:r>
        <w:t>The ANCOVA regression confirmed significant mathematical coupling between SD and Mean of C3_B1 across subjects. Table 2 presents the regression parameters.</w:t>
      </w:r>
    </w:p>
    <w:p w14:paraId="6AF07F73" w14:textId="77777777" w:rsidR="00796F79" w:rsidRDefault="00000000">
      <w:pPr>
        <w:spacing w:before="220"/>
      </w:pPr>
      <w:r>
        <w:rPr>
          <w:b/>
          <w:sz w:val="18"/>
        </w:rPr>
        <w:t>Table 2. ANCOVA Regression: SD ~ Mean (Pooled)</w:t>
      </w:r>
    </w:p>
    <w:tbl>
      <w:tblPr>
        <w:tblStyle w:val="TableGrid"/>
        <w:tblW w:w="0" w:type="auto"/>
        <w:jc w:val="center"/>
        <w:tblLook w:val="04A0" w:firstRow="1" w:lastRow="0" w:firstColumn="1" w:lastColumn="0" w:noHBand="0" w:noVBand="1"/>
      </w:tblPr>
      <w:tblGrid>
        <w:gridCol w:w="4853"/>
        <w:gridCol w:w="4853"/>
      </w:tblGrid>
      <w:tr w:rsidR="00796F79" w14:paraId="5ECACED8" w14:textId="77777777">
        <w:trPr>
          <w:jc w:val="center"/>
        </w:trPr>
        <w:tc>
          <w:tcPr>
            <w:tcW w:w="4853" w:type="dxa"/>
            <w:shd w:val="clear" w:color="auto" w:fill="D9E2F3"/>
          </w:tcPr>
          <w:p w14:paraId="275656BD" w14:textId="77777777" w:rsidR="00796F79" w:rsidRDefault="00000000">
            <w:pPr>
              <w:jc w:val="center"/>
            </w:pPr>
            <w:r>
              <w:rPr>
                <w:b/>
                <w:sz w:val="18"/>
              </w:rPr>
              <w:t>Parameter</w:t>
            </w:r>
          </w:p>
        </w:tc>
        <w:tc>
          <w:tcPr>
            <w:tcW w:w="4853" w:type="dxa"/>
            <w:shd w:val="clear" w:color="auto" w:fill="D9E2F3"/>
          </w:tcPr>
          <w:p w14:paraId="364A6328" w14:textId="77777777" w:rsidR="00796F79" w:rsidRDefault="00000000">
            <w:pPr>
              <w:jc w:val="center"/>
            </w:pPr>
            <w:r>
              <w:rPr>
                <w:b/>
                <w:sz w:val="18"/>
              </w:rPr>
              <w:t>Value</w:t>
            </w:r>
          </w:p>
        </w:tc>
      </w:tr>
      <w:tr w:rsidR="00796F79" w14:paraId="6A5C4F09" w14:textId="77777777">
        <w:trPr>
          <w:jc w:val="center"/>
        </w:trPr>
        <w:tc>
          <w:tcPr>
            <w:tcW w:w="4853" w:type="dxa"/>
          </w:tcPr>
          <w:p w14:paraId="256E2217" w14:textId="77777777" w:rsidR="00796F79" w:rsidRDefault="00000000">
            <w:pPr>
              <w:jc w:val="center"/>
            </w:pPr>
            <w:r>
              <w:rPr>
                <w:sz w:val="18"/>
              </w:rPr>
              <w:t>Regression equation</w:t>
            </w:r>
          </w:p>
        </w:tc>
        <w:tc>
          <w:tcPr>
            <w:tcW w:w="4853" w:type="dxa"/>
          </w:tcPr>
          <w:p w14:paraId="0D1E9C3C" w14:textId="77777777" w:rsidR="00796F79" w:rsidRDefault="00000000">
            <w:pPr>
              <w:jc w:val="center"/>
            </w:pPr>
            <w:r>
              <w:rPr>
                <w:sz w:val="18"/>
              </w:rPr>
              <w:t>SD = 10.9922 + (-0.7913) × Mean</w:t>
            </w:r>
          </w:p>
        </w:tc>
      </w:tr>
      <w:tr w:rsidR="00796F79" w14:paraId="48E83784" w14:textId="77777777">
        <w:trPr>
          <w:jc w:val="center"/>
        </w:trPr>
        <w:tc>
          <w:tcPr>
            <w:tcW w:w="4853" w:type="dxa"/>
          </w:tcPr>
          <w:p w14:paraId="7250F0AC" w14:textId="77777777" w:rsidR="00796F79" w:rsidRDefault="00000000">
            <w:pPr>
              <w:jc w:val="center"/>
            </w:pPr>
            <w:r>
              <w:rPr>
                <w:sz w:val="18"/>
              </w:rPr>
              <w:t>R-squared</w:t>
            </w:r>
          </w:p>
        </w:tc>
        <w:tc>
          <w:tcPr>
            <w:tcW w:w="4853" w:type="dxa"/>
          </w:tcPr>
          <w:p w14:paraId="262DDF9C" w14:textId="77777777" w:rsidR="00796F79" w:rsidRDefault="00000000">
            <w:pPr>
              <w:jc w:val="center"/>
            </w:pPr>
            <w:r>
              <w:rPr>
                <w:sz w:val="18"/>
              </w:rPr>
              <w:t>0.1398</w:t>
            </w:r>
          </w:p>
        </w:tc>
      </w:tr>
      <w:tr w:rsidR="00796F79" w14:paraId="01E4B6F1" w14:textId="77777777">
        <w:trPr>
          <w:jc w:val="center"/>
        </w:trPr>
        <w:tc>
          <w:tcPr>
            <w:tcW w:w="4853" w:type="dxa"/>
          </w:tcPr>
          <w:p w14:paraId="0FA6A69C" w14:textId="77777777" w:rsidR="00796F79" w:rsidRDefault="00000000">
            <w:pPr>
              <w:jc w:val="center"/>
            </w:pPr>
            <w:r>
              <w:rPr>
                <w:sz w:val="18"/>
              </w:rPr>
              <w:t>p-value</w:t>
            </w:r>
          </w:p>
        </w:tc>
        <w:tc>
          <w:tcPr>
            <w:tcW w:w="4853" w:type="dxa"/>
          </w:tcPr>
          <w:p w14:paraId="0752787B" w14:textId="77777777" w:rsidR="00796F79" w:rsidRDefault="00000000">
            <w:pPr>
              <w:jc w:val="center"/>
            </w:pPr>
            <w:r>
              <w:rPr>
                <w:sz w:val="18"/>
              </w:rPr>
              <w:t>0.000586</w:t>
            </w:r>
          </w:p>
        </w:tc>
      </w:tr>
    </w:tbl>
    <w:p w14:paraId="3E4AEE21" w14:textId="77777777" w:rsidR="00796F79" w:rsidRDefault="00796F79"/>
    <w:p w14:paraId="5B9E32C5" w14:textId="721E8AD5" w:rsidR="00796F79" w:rsidRDefault="00000000" w:rsidP="00C3256A">
      <w:pPr>
        <w:spacing w:after="110" w:line="220" w:lineRule="exact"/>
        <w:jc w:val="both"/>
      </w:pPr>
      <w:r>
        <w:t>The regression was highly significant (p &lt; 0.001), confirming that approximately 14% of the variance in trial-to-trial SD of C3_B1 is explained by mean amplitude alone</w:t>
      </w:r>
      <w:r w:rsidR="000B23D4">
        <w:t>.</w:t>
      </w:r>
      <w:r>
        <w:t xml:space="preserve"> </w:t>
      </w:r>
      <w:r w:rsidR="000B23D4">
        <w:t>Because signal strength and variation are naturally linked, we must remove the amplitude effect to see the true timing precision. This validates the need for ANCOVA correction.</w:t>
      </w:r>
    </w:p>
    <w:p w14:paraId="5F0E84AF" w14:textId="77777777" w:rsidR="00796F79" w:rsidRDefault="00000000">
      <w:pPr>
        <w:spacing w:before="220" w:after="110"/>
      </w:pPr>
      <w:r>
        <w:rPr>
          <w:b/>
        </w:rPr>
        <w:t>3.4 Adjusted SD (ITPC Proxy) Group Comparison</w:t>
      </w:r>
    </w:p>
    <w:p w14:paraId="4B05149A" w14:textId="77777777" w:rsidR="00796F79" w:rsidRDefault="00000000">
      <w:pPr>
        <w:spacing w:before="220"/>
      </w:pPr>
      <w:r>
        <w:rPr>
          <w:b/>
          <w:sz w:val="18"/>
        </w:rPr>
        <w:t>Table 3. Efference Copy Precision Metrics by Group</w:t>
      </w:r>
    </w:p>
    <w:tbl>
      <w:tblPr>
        <w:tblStyle w:val="TableGrid"/>
        <w:tblW w:w="0" w:type="auto"/>
        <w:jc w:val="center"/>
        <w:tblLook w:val="04A0" w:firstRow="1" w:lastRow="0" w:firstColumn="1" w:lastColumn="0" w:noHBand="0" w:noVBand="1"/>
      </w:tblPr>
      <w:tblGrid>
        <w:gridCol w:w="3235"/>
        <w:gridCol w:w="3235"/>
        <w:gridCol w:w="3235"/>
      </w:tblGrid>
      <w:tr w:rsidR="00796F79" w14:paraId="063F132F" w14:textId="77777777">
        <w:trPr>
          <w:jc w:val="center"/>
        </w:trPr>
        <w:tc>
          <w:tcPr>
            <w:tcW w:w="3235" w:type="dxa"/>
            <w:shd w:val="clear" w:color="auto" w:fill="D9E2F3"/>
          </w:tcPr>
          <w:p w14:paraId="1CF4286C" w14:textId="77777777" w:rsidR="00796F79" w:rsidRDefault="00000000">
            <w:pPr>
              <w:jc w:val="center"/>
            </w:pPr>
            <w:r>
              <w:rPr>
                <w:b/>
                <w:sz w:val="18"/>
              </w:rPr>
              <w:t>Metric</w:t>
            </w:r>
          </w:p>
        </w:tc>
        <w:tc>
          <w:tcPr>
            <w:tcW w:w="3235" w:type="dxa"/>
            <w:shd w:val="clear" w:color="auto" w:fill="D9E2F3"/>
          </w:tcPr>
          <w:p w14:paraId="5DBF6DDB" w14:textId="77777777" w:rsidR="00796F79" w:rsidRDefault="00000000">
            <w:pPr>
              <w:jc w:val="center"/>
            </w:pPr>
            <w:r>
              <w:rPr>
                <w:b/>
                <w:sz w:val="18"/>
              </w:rPr>
              <w:t>HC (N=32)</w:t>
            </w:r>
          </w:p>
        </w:tc>
        <w:tc>
          <w:tcPr>
            <w:tcW w:w="3235" w:type="dxa"/>
            <w:shd w:val="clear" w:color="auto" w:fill="D9E2F3"/>
          </w:tcPr>
          <w:p w14:paraId="13E6545C" w14:textId="77777777" w:rsidR="00796F79" w:rsidRDefault="00000000">
            <w:pPr>
              <w:jc w:val="center"/>
            </w:pPr>
            <w:r>
              <w:rPr>
                <w:b/>
                <w:sz w:val="18"/>
              </w:rPr>
              <w:t>SZ (N=49)</w:t>
            </w:r>
          </w:p>
        </w:tc>
      </w:tr>
      <w:tr w:rsidR="00796F79" w14:paraId="042DDA83" w14:textId="77777777">
        <w:trPr>
          <w:jc w:val="center"/>
        </w:trPr>
        <w:tc>
          <w:tcPr>
            <w:tcW w:w="3235" w:type="dxa"/>
          </w:tcPr>
          <w:p w14:paraId="3CCFA9AC" w14:textId="77777777" w:rsidR="00796F79" w:rsidRDefault="00000000">
            <w:pPr>
              <w:jc w:val="center"/>
            </w:pPr>
            <w:r>
              <w:rPr>
                <w:sz w:val="18"/>
              </w:rPr>
              <w:t>Mean C3_B1</w:t>
            </w:r>
          </w:p>
        </w:tc>
        <w:tc>
          <w:tcPr>
            <w:tcW w:w="3235" w:type="dxa"/>
          </w:tcPr>
          <w:p w14:paraId="05ACFCC9" w14:textId="77777777" w:rsidR="00796F79" w:rsidRDefault="00000000">
            <w:pPr>
              <w:jc w:val="center"/>
            </w:pPr>
            <w:r>
              <w:rPr>
                <w:sz w:val="18"/>
              </w:rPr>
              <w:t>1.4425 µV</w:t>
            </w:r>
          </w:p>
        </w:tc>
        <w:tc>
          <w:tcPr>
            <w:tcW w:w="3235" w:type="dxa"/>
          </w:tcPr>
          <w:p w14:paraId="586A6191" w14:textId="77777777" w:rsidR="00796F79" w:rsidRDefault="00000000">
            <w:pPr>
              <w:jc w:val="center"/>
            </w:pPr>
            <w:r>
              <w:rPr>
                <w:sz w:val="18"/>
              </w:rPr>
              <w:t>0.7856 µV</w:t>
            </w:r>
          </w:p>
        </w:tc>
      </w:tr>
      <w:tr w:rsidR="00796F79" w14:paraId="66F04B9D" w14:textId="77777777">
        <w:trPr>
          <w:jc w:val="center"/>
        </w:trPr>
        <w:tc>
          <w:tcPr>
            <w:tcW w:w="3235" w:type="dxa"/>
          </w:tcPr>
          <w:p w14:paraId="6E24771A" w14:textId="77777777" w:rsidR="00796F79" w:rsidRDefault="00000000">
            <w:pPr>
              <w:jc w:val="center"/>
            </w:pPr>
            <w:r>
              <w:rPr>
                <w:sz w:val="18"/>
              </w:rPr>
              <w:t>Raw SD</w:t>
            </w:r>
          </w:p>
        </w:tc>
        <w:tc>
          <w:tcPr>
            <w:tcW w:w="3235" w:type="dxa"/>
          </w:tcPr>
          <w:p w14:paraId="07FA2466" w14:textId="77777777" w:rsidR="00796F79" w:rsidRDefault="00000000">
            <w:pPr>
              <w:jc w:val="center"/>
            </w:pPr>
            <w:r>
              <w:rPr>
                <w:sz w:val="18"/>
              </w:rPr>
              <w:t>9.4648 µV</w:t>
            </w:r>
          </w:p>
        </w:tc>
        <w:tc>
          <w:tcPr>
            <w:tcW w:w="3235" w:type="dxa"/>
          </w:tcPr>
          <w:p w14:paraId="22530B96" w14:textId="77777777" w:rsidR="00796F79" w:rsidRDefault="00000000">
            <w:pPr>
              <w:jc w:val="center"/>
            </w:pPr>
            <w:r>
              <w:rPr>
                <w:sz w:val="18"/>
              </w:rPr>
              <w:t>10.6226 µV</w:t>
            </w:r>
          </w:p>
        </w:tc>
      </w:tr>
      <w:tr w:rsidR="00796F79" w14:paraId="3E78E316" w14:textId="77777777">
        <w:trPr>
          <w:jc w:val="center"/>
        </w:trPr>
        <w:tc>
          <w:tcPr>
            <w:tcW w:w="3235" w:type="dxa"/>
          </w:tcPr>
          <w:p w14:paraId="2B91A2DF" w14:textId="77777777" w:rsidR="00796F79" w:rsidRDefault="00000000">
            <w:pPr>
              <w:jc w:val="center"/>
            </w:pPr>
            <w:r>
              <w:rPr>
                <w:sz w:val="18"/>
              </w:rPr>
              <w:t>Adjusted SD (ITPC Proxy)</w:t>
            </w:r>
          </w:p>
        </w:tc>
        <w:tc>
          <w:tcPr>
            <w:tcW w:w="3235" w:type="dxa"/>
          </w:tcPr>
          <w:p w14:paraId="0D2220E1" w14:textId="77777777" w:rsidR="00796F79" w:rsidRDefault="00000000">
            <w:pPr>
              <w:jc w:val="center"/>
            </w:pPr>
            <w:r>
              <w:rPr>
                <w:sz w:val="18"/>
              </w:rPr>
              <w:t>-0.3859 µV</w:t>
            </w:r>
          </w:p>
        </w:tc>
        <w:tc>
          <w:tcPr>
            <w:tcW w:w="3235" w:type="dxa"/>
          </w:tcPr>
          <w:p w14:paraId="7153FF5F" w14:textId="77777777" w:rsidR="00796F79" w:rsidRDefault="00000000">
            <w:pPr>
              <w:jc w:val="center"/>
            </w:pPr>
            <w:r>
              <w:rPr>
                <w:sz w:val="18"/>
              </w:rPr>
              <w:t>+0.2520 µV</w:t>
            </w:r>
          </w:p>
        </w:tc>
      </w:tr>
    </w:tbl>
    <w:p w14:paraId="3EAC9B55" w14:textId="77777777" w:rsidR="00796F79" w:rsidRDefault="00796F79"/>
    <w:p w14:paraId="7ECFEBA2" w14:textId="77777777" w:rsidR="00796F79" w:rsidRDefault="00000000">
      <w:pPr>
        <w:spacing w:before="220"/>
      </w:pPr>
      <w:r>
        <w:rPr>
          <w:b/>
          <w:sz w:val="18"/>
        </w:rPr>
        <w:t>Table 4. Independent t-test: Adjusted SD (HC vs SZ)</w:t>
      </w:r>
    </w:p>
    <w:tbl>
      <w:tblPr>
        <w:tblStyle w:val="TableGrid"/>
        <w:tblW w:w="0" w:type="auto"/>
        <w:jc w:val="center"/>
        <w:tblLook w:val="04A0" w:firstRow="1" w:lastRow="0" w:firstColumn="1" w:lastColumn="0" w:noHBand="0" w:noVBand="1"/>
      </w:tblPr>
      <w:tblGrid>
        <w:gridCol w:w="4853"/>
        <w:gridCol w:w="4853"/>
      </w:tblGrid>
      <w:tr w:rsidR="00796F79" w14:paraId="36EC1816" w14:textId="77777777">
        <w:trPr>
          <w:jc w:val="center"/>
        </w:trPr>
        <w:tc>
          <w:tcPr>
            <w:tcW w:w="4853" w:type="dxa"/>
            <w:shd w:val="clear" w:color="auto" w:fill="D9E2F3"/>
          </w:tcPr>
          <w:p w14:paraId="098FAB4D" w14:textId="77777777" w:rsidR="00796F79" w:rsidRDefault="00000000">
            <w:pPr>
              <w:jc w:val="center"/>
            </w:pPr>
            <w:r>
              <w:rPr>
                <w:b/>
                <w:sz w:val="18"/>
              </w:rPr>
              <w:t>Statistical Test</w:t>
            </w:r>
          </w:p>
        </w:tc>
        <w:tc>
          <w:tcPr>
            <w:tcW w:w="4853" w:type="dxa"/>
            <w:shd w:val="clear" w:color="auto" w:fill="D9E2F3"/>
          </w:tcPr>
          <w:p w14:paraId="67AB6FC7" w14:textId="77777777" w:rsidR="00796F79" w:rsidRDefault="00000000">
            <w:pPr>
              <w:jc w:val="center"/>
            </w:pPr>
            <w:r>
              <w:rPr>
                <w:b/>
                <w:sz w:val="18"/>
              </w:rPr>
              <w:t>Value</w:t>
            </w:r>
          </w:p>
        </w:tc>
      </w:tr>
      <w:tr w:rsidR="00796F79" w14:paraId="73661AC8" w14:textId="77777777">
        <w:trPr>
          <w:jc w:val="center"/>
        </w:trPr>
        <w:tc>
          <w:tcPr>
            <w:tcW w:w="4853" w:type="dxa"/>
          </w:tcPr>
          <w:p w14:paraId="1A64C1F6" w14:textId="77777777" w:rsidR="00796F79" w:rsidRDefault="00000000">
            <w:pPr>
              <w:jc w:val="center"/>
            </w:pPr>
            <w:r>
              <w:rPr>
                <w:sz w:val="18"/>
              </w:rPr>
              <w:t>t-statistic</w:t>
            </w:r>
          </w:p>
        </w:tc>
        <w:tc>
          <w:tcPr>
            <w:tcW w:w="4853" w:type="dxa"/>
          </w:tcPr>
          <w:p w14:paraId="2671B629" w14:textId="77777777" w:rsidR="00796F79" w:rsidRDefault="00000000">
            <w:pPr>
              <w:jc w:val="center"/>
            </w:pPr>
            <w:r>
              <w:rPr>
                <w:sz w:val="18"/>
              </w:rPr>
              <w:t>-0.7445</w:t>
            </w:r>
          </w:p>
        </w:tc>
      </w:tr>
      <w:tr w:rsidR="00796F79" w14:paraId="06D28601" w14:textId="77777777">
        <w:trPr>
          <w:jc w:val="center"/>
        </w:trPr>
        <w:tc>
          <w:tcPr>
            <w:tcW w:w="4853" w:type="dxa"/>
          </w:tcPr>
          <w:p w14:paraId="2F1E6D55" w14:textId="77777777" w:rsidR="00796F79" w:rsidRDefault="00000000">
            <w:pPr>
              <w:jc w:val="center"/>
            </w:pPr>
            <w:r>
              <w:rPr>
                <w:sz w:val="18"/>
              </w:rPr>
              <w:t>p-value</w:t>
            </w:r>
          </w:p>
        </w:tc>
        <w:tc>
          <w:tcPr>
            <w:tcW w:w="4853" w:type="dxa"/>
          </w:tcPr>
          <w:p w14:paraId="3D552754" w14:textId="77777777" w:rsidR="00796F79" w:rsidRDefault="00000000">
            <w:pPr>
              <w:jc w:val="center"/>
            </w:pPr>
            <w:r>
              <w:rPr>
                <w:sz w:val="18"/>
              </w:rPr>
              <w:t>0.4588</w:t>
            </w:r>
          </w:p>
        </w:tc>
      </w:tr>
      <w:tr w:rsidR="00796F79" w14:paraId="25B51297" w14:textId="77777777">
        <w:trPr>
          <w:jc w:val="center"/>
        </w:trPr>
        <w:tc>
          <w:tcPr>
            <w:tcW w:w="4853" w:type="dxa"/>
          </w:tcPr>
          <w:p w14:paraId="556B8896" w14:textId="77777777" w:rsidR="00796F79" w:rsidRDefault="00000000">
            <w:pPr>
              <w:jc w:val="center"/>
            </w:pPr>
            <w:r>
              <w:rPr>
                <w:sz w:val="18"/>
              </w:rPr>
              <w:lastRenderedPageBreak/>
              <w:t>Significant (p &lt; 0.05)</w:t>
            </w:r>
          </w:p>
        </w:tc>
        <w:tc>
          <w:tcPr>
            <w:tcW w:w="4853" w:type="dxa"/>
          </w:tcPr>
          <w:p w14:paraId="1963D37D" w14:textId="77777777" w:rsidR="00796F79" w:rsidRDefault="00000000">
            <w:pPr>
              <w:jc w:val="center"/>
            </w:pPr>
            <w:r>
              <w:rPr>
                <w:sz w:val="18"/>
              </w:rPr>
              <w:t>No</w:t>
            </w:r>
          </w:p>
        </w:tc>
      </w:tr>
      <w:tr w:rsidR="00796F79" w14:paraId="28CB381D" w14:textId="77777777">
        <w:trPr>
          <w:jc w:val="center"/>
        </w:trPr>
        <w:tc>
          <w:tcPr>
            <w:tcW w:w="4853" w:type="dxa"/>
          </w:tcPr>
          <w:p w14:paraId="2E96FCD4" w14:textId="77777777" w:rsidR="00796F79" w:rsidRDefault="00000000">
            <w:pPr>
              <w:jc w:val="center"/>
            </w:pPr>
            <w:r>
              <w:rPr>
                <w:sz w:val="18"/>
              </w:rPr>
              <w:t>Cohen's d</w:t>
            </w:r>
          </w:p>
        </w:tc>
        <w:tc>
          <w:tcPr>
            <w:tcW w:w="4853" w:type="dxa"/>
          </w:tcPr>
          <w:p w14:paraId="716E1FEA" w14:textId="77777777" w:rsidR="00796F79" w:rsidRDefault="00000000">
            <w:pPr>
              <w:jc w:val="center"/>
            </w:pPr>
            <w:r>
              <w:rPr>
                <w:sz w:val="18"/>
              </w:rPr>
              <w:t>-0.1712</w:t>
            </w:r>
          </w:p>
        </w:tc>
      </w:tr>
    </w:tbl>
    <w:p w14:paraId="17347DCA" w14:textId="77777777" w:rsidR="00796F79" w:rsidRDefault="00796F79"/>
    <w:p w14:paraId="53CA6C46" w14:textId="77777777" w:rsidR="00796F79" w:rsidRDefault="00000000" w:rsidP="00C3256A">
      <w:pPr>
        <w:spacing w:after="110" w:line="220" w:lineRule="exact"/>
        <w:jc w:val="both"/>
      </w:pPr>
      <w:r>
        <w:t>The direction of the Adjusted SD difference was consistent with expectations: HC showed negative Adjusted SD (−0.39 µV, indicating less variability than predicted by amplitude), while SZ showed positive Adjusted SD (+0.25 µV, indicating more variability). However, this difference did not reach statistical significance (p = 0.459, Cohen's d = −0.17), reflecting a small effect size.</w:t>
      </w:r>
    </w:p>
    <w:p w14:paraId="17A8949F" w14:textId="77777777" w:rsidR="00796F79" w:rsidRDefault="00000000" w:rsidP="00C3256A">
      <w:pPr>
        <w:spacing w:before="220" w:after="110"/>
        <w:jc w:val="both"/>
      </w:pPr>
      <w:r>
        <w:rPr>
          <w:b/>
          <w:sz w:val="24"/>
        </w:rPr>
        <w:t>4. DISCUSSION</w:t>
      </w:r>
    </w:p>
    <w:p w14:paraId="395A4D69" w14:textId="77777777" w:rsidR="00796F79" w:rsidRDefault="00000000" w:rsidP="00C3256A">
      <w:pPr>
        <w:spacing w:before="220" w:after="110"/>
        <w:jc w:val="both"/>
      </w:pPr>
      <w:r>
        <w:rPr>
          <w:b/>
        </w:rPr>
        <w:t>4.1 The Efference Copy as a Bayesian Prior</w:t>
      </w:r>
    </w:p>
    <w:p w14:paraId="58589115" w14:textId="77777777" w:rsidR="00796F79" w:rsidRDefault="00000000" w:rsidP="00C3256A">
      <w:pPr>
        <w:spacing w:after="110" w:line="220" w:lineRule="exact"/>
        <w:jc w:val="both"/>
      </w:pPr>
      <w:r>
        <w:t>Our results demonstrate that the corollary discharge process can be effectively modeled as a simple linear Bayesian prediction error system. The model captures the fundamental relationship: the brain's auditory response to a self-generated sound equals its response to an externally generated sound minus a prediction term derived from motor cortex activity. This formalization aligns with the broader predictive coding framework articulated by Adams and Friston (2016), in which perception is understood as the minimization of prediction error weighted by precision.</w:t>
      </w:r>
    </w:p>
    <w:p w14:paraId="58C2A799" w14:textId="77777777" w:rsidR="00796F79" w:rsidRDefault="00000000" w:rsidP="00C3256A">
      <w:pPr>
        <w:spacing w:after="110" w:line="220" w:lineRule="exact"/>
        <w:jc w:val="both"/>
      </w:pPr>
      <w:r>
        <w:t>The critical finding that the efference copy signal (C3_B1) is approximately 45% weaker in schizophrenia patients provides quantitative support for the hypothesis that the predictive mechanism is structurally impaired at its source — the motor planning phase (Ford et al., 2014). This is consistent with Pynn and DeSouza's (2012) review, which emphasized that efference copy signals are fundamental to distinguishing self-generated from externally generated sensations, and that failure of this mechanism may underlie auditory hallucinations.</w:t>
      </w:r>
    </w:p>
    <w:p w14:paraId="3EA471AC" w14:textId="77777777" w:rsidR="00796F79" w:rsidRDefault="00000000" w:rsidP="00C3256A">
      <w:pPr>
        <w:spacing w:before="220" w:after="110"/>
        <w:jc w:val="both"/>
      </w:pPr>
      <w:r>
        <w:rPr>
          <w:b/>
        </w:rPr>
        <w:t>4.2 Compensatory Over-Weighting: A Novel Finding</w:t>
      </w:r>
    </w:p>
    <w:p w14:paraId="45A9AC33" w14:textId="77777777" w:rsidR="00796F79" w:rsidRDefault="00000000" w:rsidP="00C3256A">
      <w:pPr>
        <w:spacing w:after="110" w:line="220" w:lineRule="exact"/>
        <w:jc w:val="both"/>
      </w:pPr>
      <w:r>
        <w:t>Perhaps the most intriguing result is the paradoxically higher precision weight in the SZ group (|−1.89| vs |−1.40|). Within the Bayesian framework, this can be interpreted as the schizophrenia brain attempting to compensate for its degraded efference copy by assigning disproportionately high precision to whatever motor signal it does produce. This is analogous to a listener in a noisy room who turns up the volume — the amplification helps, but if the source signal is too corrupted, the message remains unintelligible.</w:t>
      </w:r>
    </w:p>
    <w:p w14:paraId="193FFCC4" w14:textId="72601F58" w:rsidR="00796F79" w:rsidRDefault="00000000" w:rsidP="00C3256A">
      <w:pPr>
        <w:spacing w:after="110" w:line="220" w:lineRule="exact"/>
        <w:jc w:val="both"/>
      </w:pPr>
      <w:r>
        <w:t xml:space="preserve">This finding resonates with Fletcher and Frith's (2008) Bayesian account of positive symptoms, in which they proposed that schizophrenia involves an </w:t>
      </w:r>
      <w:r w:rsidR="00FE60D6">
        <w:t>im</w:t>
      </w:r>
      <w:r>
        <w:t>balance between prior expectations and sensory evidence. Our data suggest that the imbalance may not be a simple reduction in prior precision, but rather a complex dysregulation where the brain over-compensates for weak priors, potentially contributing to the aberrant salience that characterizes psychotic experiences.</w:t>
      </w:r>
    </w:p>
    <w:p w14:paraId="46D0B5AF" w14:textId="77777777" w:rsidR="00796F79" w:rsidRDefault="00000000" w:rsidP="00C3256A">
      <w:pPr>
        <w:spacing w:before="220" w:after="110"/>
        <w:jc w:val="both"/>
      </w:pPr>
      <w:r>
        <w:rPr>
          <w:b/>
        </w:rPr>
        <w:t>4.3 Limitations of the ITPC Proxy</w:t>
      </w:r>
    </w:p>
    <w:p w14:paraId="4FD6C32E" w14:textId="77777777" w:rsidR="00796F79" w:rsidRDefault="00000000" w:rsidP="00C3256A">
      <w:pPr>
        <w:spacing w:after="110" w:line="220" w:lineRule="exact"/>
        <w:jc w:val="both"/>
      </w:pPr>
      <w:r>
        <w:t>The non-significant ANCOVA results (p = 0.459) for the Adjusted SD comparison highlight an important methodological limitation. The variance-based proxy captures amplitude consistency across trials but cannot directly measure temporal phase coherence, which is the true quantity of interest for assessing efference copy timing precision. True ITPC calculation via the Hilbert transform requires raw trial-level time-series waveforms, which were not available in the present dataset.</w:t>
      </w:r>
    </w:p>
    <w:p w14:paraId="7D0A95EC" w14:textId="77777777" w:rsidR="00796F79" w:rsidRDefault="00000000" w:rsidP="00C3256A">
      <w:pPr>
        <w:spacing w:after="110" w:line="220" w:lineRule="exact"/>
        <w:jc w:val="both"/>
      </w:pPr>
      <w:r>
        <w:t>Additionally, the sample size (N = 81) may be insufficient to detect what appears to be a small effect (Cohen's d = −0.17). Future work with larger samples and access to raw EEG time-series data would enable direct ITPC calculation and potentially reveal significant group differences in temporal precision.</w:t>
      </w:r>
    </w:p>
    <w:p w14:paraId="1A267340" w14:textId="77777777" w:rsidR="00796F79" w:rsidRDefault="00000000" w:rsidP="00C3256A">
      <w:pPr>
        <w:spacing w:before="220" w:after="110"/>
        <w:jc w:val="both"/>
      </w:pPr>
      <w:r>
        <w:rPr>
          <w:b/>
        </w:rPr>
        <w:t>4.4 Additional Limitations</w:t>
      </w:r>
    </w:p>
    <w:p w14:paraId="5020231C" w14:textId="77777777" w:rsidR="00796F79" w:rsidRDefault="00000000" w:rsidP="00C3256A">
      <w:pPr>
        <w:spacing w:after="110" w:line="220" w:lineRule="exact"/>
        <w:jc w:val="both"/>
      </w:pPr>
      <w:r>
        <w:t>Several additional limitations should be noted. First, all patients in the original dataset were medicated, leaving open the possibility that observed effects reflect pharmacological rather than disease-related processes. However, Ford et al. (2014) argued against this interpretation, citing evidence of corollary discharge deficits in unmedicated clinical high-risk individuals and first-degree relatives. Second, the linear model assumes a simple multiplicative relationship between efference copy strength and prediction weight, which may not capture nonlinear dynamics present in biological systems. Third, the use of a single electrode (C3) to index motor preparation may not fully capture the distributed nature of motor planning activity, as noted by Valton et al. (2017) in their review of computational approaches to schizophrenia.</w:t>
      </w:r>
    </w:p>
    <w:p w14:paraId="7BEFC03C" w14:textId="77777777" w:rsidR="00796F79" w:rsidRDefault="00000000" w:rsidP="00C3256A">
      <w:pPr>
        <w:spacing w:before="220" w:after="110"/>
        <w:jc w:val="both"/>
      </w:pPr>
      <w:r>
        <w:rPr>
          <w:b/>
          <w:sz w:val="24"/>
        </w:rPr>
        <w:lastRenderedPageBreak/>
        <w:t>5. CONCLUSION</w:t>
      </w:r>
    </w:p>
    <w:p w14:paraId="37AEC08C" w14:textId="77777777" w:rsidR="00796F79" w:rsidRDefault="00000000" w:rsidP="00C3256A">
      <w:pPr>
        <w:spacing w:after="110" w:line="220" w:lineRule="exact"/>
        <w:jc w:val="both"/>
      </w:pPr>
      <w:r>
        <w:t>This study formalized the corollary discharge process as a linear Bayesian prediction error model and applied it to EEG data from healthy controls and schizophrenia patients. The model successfully captures the core deficit in schizophrenia: a substantially weakened efference copy signal that fails to generate adequate sensory predictions, resulting in reduced N1 suppression to self-generated sounds.</w:t>
      </w:r>
    </w:p>
    <w:p w14:paraId="461D935A" w14:textId="77777777" w:rsidR="00796F79" w:rsidRDefault="00000000" w:rsidP="00C3256A">
      <w:pPr>
        <w:spacing w:after="110" w:line="220" w:lineRule="exact"/>
        <w:jc w:val="both"/>
      </w:pPr>
      <w:r>
        <w:t>The novel finding of compensatory over-weighting in the schizophrenia group — where the brain applies a disproportionately high precision weight to its degraded motor signals — offers a new computational perspective on the mechanisms underlying predictive coding failure in psychosis. Rather than a simple deficit model, our results suggest an active but ultimately unsuccessful compensatory process.</w:t>
      </w:r>
    </w:p>
    <w:p w14:paraId="77AAAB06" w14:textId="77777777" w:rsidR="00796F79" w:rsidRDefault="00000000" w:rsidP="00C3256A">
      <w:pPr>
        <w:spacing w:after="110" w:line="220" w:lineRule="exact"/>
        <w:jc w:val="both"/>
      </w:pPr>
      <w:r>
        <w:t>Future work should extend this framework by: (1) incorporating true ITPC measures using raw EEG time-series data, (2) testing the model in longitudinal designs to track changes in precision weighting across illness stages, and (3) examining whether antipsychotic medication modulates the precision weight parameter. The simplicity and interpretability of the proposed model make it a promising tool for translational research bridging computational psychiatry and clinical neuroscience.</w:t>
      </w:r>
    </w:p>
    <w:p w14:paraId="69700262" w14:textId="77777777" w:rsidR="00796F79" w:rsidRDefault="00000000">
      <w:pPr>
        <w:spacing w:before="220" w:after="110"/>
      </w:pPr>
      <w:r>
        <w:rPr>
          <w:b/>
          <w:sz w:val="24"/>
        </w:rPr>
        <w:t>REFERENCES</w:t>
      </w:r>
    </w:p>
    <w:p w14:paraId="09185786" w14:textId="77777777" w:rsidR="00796F79" w:rsidRDefault="00000000">
      <w:pPr>
        <w:spacing w:after="60"/>
        <w:ind w:left="432" w:hanging="432"/>
      </w:pPr>
      <w:r>
        <w:rPr>
          <w:sz w:val="18"/>
        </w:rPr>
        <w:t>[1] Adams, R. A., &amp; Friston, K. J. (2016). Brain Computations in Schizophrenia. In The Neurobiology of Schizophrenia (pp. 283–295). Elsevier. https://doi.org/10.1016/B978-0-12-801829-3.00024-0</w:t>
      </w:r>
    </w:p>
    <w:p w14:paraId="05E27511" w14:textId="77777777" w:rsidR="00796F79" w:rsidRDefault="00000000">
      <w:pPr>
        <w:spacing w:after="60"/>
        <w:ind w:left="432" w:hanging="432"/>
      </w:pPr>
      <w:r>
        <w:rPr>
          <w:sz w:val="18"/>
        </w:rPr>
        <w:t>[2] Fletcher, P. C., &amp; Frith, C. D. (2008). Perceiving is believing: a Bayesian approach to explaining the positive symptoms of schizophrenia. Nature Reviews Neuroscience, 10, 48–58. https://doi.org/10.1038/nrn2536</w:t>
      </w:r>
    </w:p>
    <w:p w14:paraId="5BB1C84B" w14:textId="77777777" w:rsidR="00796F79" w:rsidRDefault="00000000">
      <w:pPr>
        <w:spacing w:after="60"/>
        <w:ind w:left="432" w:hanging="432"/>
      </w:pPr>
      <w:r>
        <w:rPr>
          <w:sz w:val="18"/>
        </w:rPr>
        <w:t>[3] Ford, J. M., Palzes, V. A., Roach, B. J., &amp; Mathalon, D. H. (2014). Did I Do That? Abnormal Predictive Processes in Schizophrenia When Button Pressing to Deliver a Tone. Schizophrenia Bulletin, 40(4), 804–812. https://doi.org/10.1093/schbul/sbt072</w:t>
      </w:r>
    </w:p>
    <w:p w14:paraId="4E5DCB26" w14:textId="77777777" w:rsidR="00796F79" w:rsidRDefault="00000000">
      <w:pPr>
        <w:spacing w:after="60"/>
        <w:ind w:left="432" w:hanging="432"/>
      </w:pPr>
      <w:r>
        <w:rPr>
          <w:sz w:val="18"/>
        </w:rPr>
        <w:t>[4] Pynn, L. K., &amp; DeSouza, J. F. X. (2012). The function of efference copy signals: Implications for symptoms of schizophrenia. Vision Research, 76, 124–133. https://doi.org/10.1016/j.visres.2012.10.019</w:t>
      </w:r>
    </w:p>
    <w:p w14:paraId="7F474BD7" w14:textId="77777777" w:rsidR="00796F79" w:rsidRDefault="00000000">
      <w:pPr>
        <w:spacing w:after="60"/>
        <w:ind w:left="432" w:hanging="432"/>
      </w:pPr>
      <w:r>
        <w:rPr>
          <w:sz w:val="18"/>
        </w:rPr>
        <w:t>[5] Valton, V., Romaniuk, L., Steele, D., Lawrie, S., &amp; Seriès, P. (2017). Comprehensive review: Computational modelling of Schizophrenia. Neuroscience &amp; Biobehavioral Reviews, 83, 631–646. https://doi.org/10.1016/j.neubiorev.2017.08.022</w:t>
      </w:r>
    </w:p>
    <w:p w14:paraId="6D356B8B" w14:textId="77777777" w:rsidR="00796F79" w:rsidRDefault="00000000">
      <w:pPr>
        <w:spacing w:after="60"/>
        <w:ind w:left="432" w:hanging="432"/>
      </w:pPr>
      <w:r>
        <w:rPr>
          <w:sz w:val="18"/>
        </w:rPr>
        <w:t>[6] Friston, K. J. (2005). A theory of cortical responses. Philosophical Transactions of the Royal Society B, 360(1456), 815–836. https://doi.org/10.1098/rstb.2005.1622</w:t>
      </w:r>
    </w:p>
    <w:p w14:paraId="356B97AD" w14:textId="77777777" w:rsidR="00796F79" w:rsidRDefault="00000000">
      <w:pPr>
        <w:spacing w:after="60"/>
        <w:ind w:left="432" w:hanging="432"/>
      </w:pPr>
      <w:r>
        <w:rPr>
          <w:sz w:val="18"/>
        </w:rPr>
        <w:t>[7] Crapse, T. B., &amp; Sommer, M. A. (2008). Corollary discharge across the animal kingdom. Nature Reviews Neuroscience, 9(8), 587–600. https://doi.org/10.1038/nrn2457</w:t>
      </w:r>
    </w:p>
    <w:sectPr w:rsidR="00796F79" w:rsidSect="00034616">
      <w:pgSz w:w="12240" w:h="15840"/>
      <w:pgMar w:top="1440" w:right="1267" w:bottom="1440" w:left="126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rendra Bayutama Wibisono" w:date="2026-03-18T16:53:00Z" w:initials="NW">
    <w:p w14:paraId="0AED6F39" w14:textId="6627CC90" w:rsidR="00C64FD8" w:rsidRDefault="00C64FD8">
      <w:pPr>
        <w:pStyle w:val="CommentText"/>
      </w:pPr>
      <w:r>
        <w:rPr>
          <w:rStyle w:val="CommentReference"/>
        </w:rPr>
        <w:annotationRef/>
      </w:r>
      <w:r>
        <w:t xml:space="preserve">Need example of cases why raw amplitude might not be reliable to calculate efference copy in this model (e.g.: </w:t>
      </w:r>
      <w:proofErr w:type="spellStart"/>
      <w:r>
        <w:t>sinyal</w:t>
      </w:r>
      <w:proofErr w:type="spellEnd"/>
      <w:r>
        <w:t xml:space="preserve"> EEG </w:t>
      </w:r>
      <w:proofErr w:type="spellStart"/>
      <w:r>
        <w:t>tertahan</w:t>
      </w:r>
      <w:proofErr w:type="spellEnd"/>
      <w:r>
        <w:t xml:space="preserve"> </w:t>
      </w:r>
      <w:proofErr w:type="spellStart"/>
      <w:r>
        <w:t>tengkorak</w:t>
      </w:r>
      <w:proofErr w:type="spellEnd"/>
      <w:r>
        <w:t xml:space="preserve"> </w:t>
      </w:r>
      <w:proofErr w:type="spellStart"/>
      <w:r>
        <w:t>jadi</w:t>
      </w:r>
      <w:proofErr w:type="spellEnd"/>
      <w:r>
        <w:t xml:space="preserve"> </w:t>
      </w:r>
      <w:proofErr w:type="spellStart"/>
      <w:r>
        <w:t>amplitudonya</w:t>
      </w:r>
      <w:proofErr w:type="spellEnd"/>
      <w:r>
        <w:t xml:space="preserve"> </w:t>
      </w:r>
      <w:proofErr w:type="spellStart"/>
      <w:r>
        <w:t>kecil</w:t>
      </w:r>
      <w:proofErr w:type="spellEnd"/>
      <w:r>
        <w:t xml:space="preserve">, low pressure while pressing the button, </w:t>
      </w:r>
      <w:proofErr w:type="spellStart"/>
      <w:r>
        <w:t>etc</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ED6F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D04871" w16cex:dateUtc="2026-03-18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ED6F39" w16cid:durableId="27D048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159164">
    <w:abstractNumId w:val="8"/>
  </w:num>
  <w:num w:numId="2" w16cid:durableId="1012142998">
    <w:abstractNumId w:val="6"/>
  </w:num>
  <w:num w:numId="3" w16cid:durableId="215164793">
    <w:abstractNumId w:val="5"/>
  </w:num>
  <w:num w:numId="4" w16cid:durableId="1448550533">
    <w:abstractNumId w:val="4"/>
  </w:num>
  <w:num w:numId="5" w16cid:durableId="1153832409">
    <w:abstractNumId w:val="7"/>
  </w:num>
  <w:num w:numId="6" w16cid:durableId="525295836">
    <w:abstractNumId w:val="3"/>
  </w:num>
  <w:num w:numId="7" w16cid:durableId="854811781">
    <w:abstractNumId w:val="2"/>
  </w:num>
  <w:num w:numId="8" w16cid:durableId="1750039496">
    <w:abstractNumId w:val="1"/>
  </w:num>
  <w:num w:numId="9" w16cid:durableId="15785118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endra Bayutama Wibisono">
    <w15:presenceInfo w15:providerId="Windows Live" w15:userId="af8b158c6381ba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3D4"/>
    <w:rsid w:val="0015074B"/>
    <w:rsid w:val="00227B9C"/>
    <w:rsid w:val="0029639D"/>
    <w:rsid w:val="00326F90"/>
    <w:rsid w:val="0053534A"/>
    <w:rsid w:val="00736D2F"/>
    <w:rsid w:val="00796F79"/>
    <w:rsid w:val="00A10D51"/>
    <w:rsid w:val="00AA1D8D"/>
    <w:rsid w:val="00B47730"/>
    <w:rsid w:val="00C3256A"/>
    <w:rsid w:val="00C64FD8"/>
    <w:rsid w:val="00CB0664"/>
    <w:rsid w:val="00E34DCA"/>
    <w:rsid w:val="00FC693F"/>
    <w:rsid w:val="00FD68AB"/>
    <w:rsid w:val="00FE60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E7438"/>
  <w14:defaultImageDpi w14:val="300"/>
  <w15:docId w15:val="{E59CC85D-02E9-0244-98A7-13A6D617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64FD8"/>
    <w:rPr>
      <w:sz w:val="16"/>
      <w:szCs w:val="16"/>
    </w:rPr>
  </w:style>
  <w:style w:type="paragraph" w:styleId="CommentText">
    <w:name w:val="annotation text"/>
    <w:basedOn w:val="Normal"/>
    <w:link w:val="CommentTextChar"/>
    <w:uiPriority w:val="99"/>
    <w:semiHidden/>
    <w:unhideWhenUsed/>
    <w:rsid w:val="00C64FD8"/>
    <w:pPr>
      <w:spacing w:line="240" w:lineRule="auto"/>
    </w:pPr>
    <w:rPr>
      <w:szCs w:val="20"/>
    </w:rPr>
  </w:style>
  <w:style w:type="character" w:customStyle="1" w:styleId="CommentTextChar">
    <w:name w:val="Comment Text Char"/>
    <w:basedOn w:val="DefaultParagraphFont"/>
    <w:link w:val="CommentText"/>
    <w:uiPriority w:val="99"/>
    <w:semiHidden/>
    <w:rsid w:val="00C64FD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64FD8"/>
    <w:rPr>
      <w:b/>
      <w:bCs/>
    </w:rPr>
  </w:style>
  <w:style w:type="character" w:customStyle="1" w:styleId="CommentSubjectChar">
    <w:name w:val="Comment Subject Char"/>
    <w:basedOn w:val="CommentTextChar"/>
    <w:link w:val="CommentSubject"/>
    <w:uiPriority w:val="99"/>
    <w:semiHidden/>
    <w:rsid w:val="00C64FD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6</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Narendra Bayutama Wibisono</cp:lastModifiedBy>
  <cp:revision>6</cp:revision>
  <dcterms:created xsi:type="dcterms:W3CDTF">2013-12-23T23:15:00Z</dcterms:created>
  <dcterms:modified xsi:type="dcterms:W3CDTF">2026-03-18T16:05:00Z</dcterms:modified>
  <cp:category/>
</cp:coreProperties>
</file>