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宋体" w:hAnsi="宋体" w:eastAsia="宋体"/>
          <w:sz w:val="32"/>
        </w:rPr>
        <w:t>无线电干扰源的快速自动定位与清除</w:t>
      </w:r>
    </w:p>
    <w:p>
      <w:pPr>
        <w:jc w:val="center"/>
      </w:pPr>
      <w:r>
        <w:rPr>
          <w:color w:val="000000"/>
        </w:rPr>
        <w:t>摘要</w:t>
      </w:r>
    </w:p>
    <w:p>
      <w:pPr/>
      <w:r>
        <w:rPr>
          <w:color w:val="000000"/>
        </w:rPr>
        <w:t>针对圆形目标区域内无线电干扰源数量未知、频道未知、位置未知以及部分干扰源可能具有定向辐射特征的问题，本文建立了从示向度几何定位到机器狗自主搜索、精准定位与清除的完整模型。问题一将每个测向误差不超过1°表示为两条边界射线之间的角域约束，通过半平面交求得交会定位区域，并利用凸多边形直径算法计算定位区域直径；同时给出以该直径为半径的覆盖圆判定方法。问题二以第二检测点处两条方向线的交会稳定性为核心，采用最大化交会角、最小化误差放大系数的策略，得到第二检测点的候选区域。问题三针对全向干扰源，设计了“分频道扫描—候选区域更新—自适应二次检测—光学确认—清除”的闭环算法，并以单位时间清除数量和平均定位清除时间作为主要评价指标。问题四进一步考虑定向干扰源，利用信号存在性判别与扇区覆盖约束，设计多方向复测、可见性判定和安全逼近策略。由于题目要求的正式测试必须通过专用模拟器完成，本文将需要实测的测试案例编码、清除数量、平均定位清除时间和程序运行时间保留为红色待填项。</w:t>
      </w:r>
    </w:p>
    <w:p>
      <w:pPr>
        <w:jc w:val="left"/>
      </w:pPr>
      <w:r>
        <w:rPr>
          <w:color w:val="000000"/>
        </w:rPr>
        <w:t>关键词：无线电干扰源；交会定位；示向度误差；机器狗路径规划；定向辐射；自主清除</w:t>
      </w:r>
    </w:p>
    <w:p>
      <w:pPr>
        <w:pStyle w:val="1"/>
      </w:pPr>
      <w:r>
        <w:rPr>
          <w:color w:val="000000"/>
        </w:rPr>
        <w:t>问题重述</w:t>
      </w:r>
    </w:p>
    <w:p>
      <w:pPr>
        <w:pStyle w:val="2"/>
      </w:pPr>
      <w:r>
        <w:rPr>
          <w:color w:val="000000"/>
        </w:rPr>
        <w:t>问题背景</w:t>
      </w:r>
    </w:p>
    <w:p>
      <w:pPr/>
      <w:r>
        <w:rPr>
          <w:color w:val="000000"/>
        </w:rPr>
        <w:t>无线电干扰源的快速定位与清除是无线电频谱管理中的重要任务。传统流程需要技术人员携带测向机在目标区域内徒步排查，依次完成初步监测、区域性排查、精准定位和干扰源清除。该过程受环境遮挡、低功率信号、人工经验和行走效率影响，完成时间较长。题目拟研发搭载于机器狗的自动定位清除系统，使机器狗能够在半径1800米的圆形目标区域内，通过频道切换、示向度测量、移动搜索、光学定位和激光清除完成任务。</w:t>
      </w:r>
    </w:p>
    <w:p>
      <w:pPr>
        <w:pStyle w:val="2"/>
      </w:pPr>
      <w:r>
        <w:rPr>
          <w:color w:val="000000"/>
        </w:rPr>
        <w:t>问题提出</w:t>
      </w:r>
    </w:p>
    <w:p>
      <w:pPr/>
      <w:r>
        <w:rPr>
          <w:color w:val="000000"/>
        </w:rPr>
        <w:t>根据题目给出的测向误差、有效接收半径、机器狗速度、设备操作时间和测试接口约束，本文需要解决以下四个问题：</w:t>
      </w:r>
    </w:p>
    <w:p>
      <w:pPr/>
      <w:r>
        <w:rPr>
          <w:color w:val="000000"/>
        </w:rPr>
        <w:t>问题一：已知多个检测点坐标及同一干扰源关于这些检测点的示向度，建立交会定位区域，并计算该区域的直径，判断以定位区域直径为直径的圆是否能够覆盖定位区域。</w:t>
      </w:r>
    </w:p>
    <w:p>
      <w:pPr/>
      <w:r>
        <w:rPr>
          <w:color w:val="000000"/>
        </w:rPr>
        <w:t>问题二：已在一个检测点获得全向干扰源的示向度，确定第二个检测点的选择原则和候选区域，使定位误差尽可能小。</w:t>
      </w:r>
    </w:p>
    <w:p>
      <w:pPr/>
      <w:r>
        <w:rPr>
          <w:color w:val="000000"/>
        </w:rPr>
        <w:t>问题三：目标区域内仅有全向干扰源，数量为10至16个但未知。机器狗从原点、频道1出发，制定能够清除全部干扰源且总时间尽可能短的自动搜索、定位和清除算法，并通过模拟器完成三次正式测试。</w:t>
      </w:r>
    </w:p>
    <w:p>
      <w:pPr/>
      <w:r>
        <w:rPr>
          <w:color w:val="000000"/>
        </w:rPr>
        <w:t>问题四：目标区域中同时存在全向和定向干扰源，定向干扰源的数量与方向未知。在此条件下设计检测、定位、清除策略及算法，并进行演练测试和三次正式测试。</w:t>
      </w:r>
    </w:p>
    <w:p>
      <w:pPr>
        <w:pStyle w:val="1"/>
      </w:pPr>
      <w:r>
        <w:rPr>
          <w:color w:val="000000"/>
        </w:rPr>
        <w:t>问题分析</w:t>
      </w:r>
    </w:p>
    <w:p>
      <w:pPr/>
      <w:r>
        <w:rPr>
          <w:color w:val="000000"/>
        </w:rPr>
        <w:t>问题一的本质是带角度误差的平面几何约束问题。每个检测点对应一个由示向度上下各1°构成的扇形方向带；多个检测点的方向带相交形成凸多边形定位区域。由于定位区域是凸多边形，其直径可以由任意两个顶点之间的最大距离得到，因此问题一可以转化为半平面交和凸多边形直径计算。</w:t>
      </w:r>
    </w:p>
    <w:p>
      <w:pPr/>
      <w:r>
        <w:rPr>
          <w:color w:val="000000"/>
        </w:rPr>
        <w:t>问题二的关键是让两个检测点对干扰源形成尽可能稳定的交会几何关系。当两条测量方向的夹角过小或接近180°时，示向度误差会被显著放大；当夹角接近90°时，交会定位最稳定。因此第二检测点应优先选择使其与第一个检测点、干扰源形成近似直角三角形的位置，同时满足信号有效接收和目标区域约束。</w:t>
      </w:r>
    </w:p>
    <w:p>
      <w:pPr/>
      <w:r>
        <w:rPr>
          <w:color w:val="000000"/>
        </w:rPr>
        <w:t>问题三是带未知目标数量和未知频道的在线搜索路径规划问题。机器狗不能在移动过程中检测，因此需要在检测点之间安排移动、频道切换和测向动作；发现干扰源后还要在距离20米以内进行光学精准定位和清除。本文采用粗到细的两阶段策略：先用覆盖式路径快速获取频道和方向信息，再围绕候选定位区域安排二次检测和逼近清除。</w:t>
      </w:r>
    </w:p>
    <w:p>
      <w:pPr/>
      <w:r>
        <w:rPr>
          <w:color w:val="000000"/>
        </w:rPr>
        <w:t>问题四比问题三增加了定向干扰源的可见性约束。无信号并不等价于没有目标，可能是检测点位于定向干扰源的辐射扇区之外。因此算法需要在候选区域周围进行多方向、多位置复测，并将‘无信号’作为带有方向条件的观测，而不是直接删除候选目标。</w:t>
      </w:r>
    </w:p>
    <w:p>
      <w:pPr>
        <w:pStyle w:val="1"/>
      </w:pPr>
      <w:r>
        <w:rPr>
          <w:color w:val="000000"/>
        </w:rPr>
        <w:t>模型假设</w:t>
      </w:r>
    </w:p>
    <w:p>
      <w:pPr>
        <w:pStyle w:val="ae"/>
      </w:pPr>
      <w:r>
        <w:rPr>
          <w:color w:val="000000"/>
        </w:rPr>
        <w:t>目标区域为以原点为圆心、半径1800米的闭圆域，机器狗和干扰源位于同一平面。</w:t>
      </w:r>
    </w:p>
    <w:p>
      <w:pPr>
        <w:pStyle w:val="ae"/>
      </w:pPr>
      <w:r>
        <w:rPr>
          <w:color w:val="000000"/>
        </w:rPr>
        <w:t>每个干扰源只占用一个频道，频道编号为1至20，不同干扰源频道互不相同。</w:t>
      </w:r>
    </w:p>
    <w:p>
      <w:pPr>
        <w:pStyle w:val="ae"/>
      </w:pPr>
      <w:r>
        <w:rPr>
          <w:color w:val="000000"/>
        </w:rPr>
        <w:t>测向误差在[-1°，1°]内；同一检测点重复检测的环境误差不变，不同检测点的误差独立体现。</w:t>
      </w:r>
    </w:p>
    <w:p>
      <w:pPr>
        <w:pStyle w:val="ae"/>
      </w:pPr>
      <w:r>
        <w:rPr>
          <w:color w:val="000000"/>
        </w:rPr>
        <w:t>机器狗沿直线移动，速度为5米/秒；检测时必须停止，稳定获得读数或确认无信号需要5秒。</w:t>
      </w:r>
    </w:p>
    <w:p>
      <w:pPr>
        <w:pStyle w:val="ae"/>
      </w:pPr>
      <w:r>
        <w:rPr>
          <w:color w:val="000000"/>
        </w:rPr>
        <w:t>频道切换任意耗时1秒；光学精准定位耗时3秒，激光清除耗时2秒。</w:t>
      </w:r>
    </w:p>
    <w:p>
      <w:pPr>
        <w:pStyle w:val="ae"/>
      </w:pPr>
      <w:r>
        <w:rPr>
          <w:color w:val="000000"/>
        </w:rPr>
        <w:t>干扰源的有效接收半径在1000至1500米之间，光学精准定位在20米内成功。</w:t>
      </w:r>
    </w:p>
    <w:p>
      <w:pPr>
        <w:pStyle w:val="ae"/>
      </w:pPr>
      <w:r>
        <w:rPr>
          <w:color w:val="000000"/>
        </w:rPr>
        <w:t>需要通过模拟器才能确定的案例数据、正式测试结果和参数调优结果不预先假设。</w:t>
      </w:r>
    </w:p>
    <w:p>
      <w:r>
        <w:br w:type="page"/>
      </w:r>
    </w:p>
    <w:p>
      <w:pPr>
        <w:pStyle w:val="1"/>
      </w:pPr>
      <w:r>
        <w:rPr>
          <w:color w:val="000000"/>
        </w:rPr>
        <w:t>符号说明</w:t>
      </w:r>
    </w:p>
    <w:tbl>
      <w:tblPr>
        <w:tblStyle w:val="af0"/>
        <w:tblW w:type="auto" w:w="0"/>
        <w:tblLook w:firstColumn="1" w:firstRow="1" w:lastColumn="0" w:lastRow="0" w:noHBand="0" w:noVBand="1" w:val="04A0"/>
      </w:tblPr>
      <w:tblGrid>
        <w:gridCol w:w="2948"/>
        <w:gridCol w:w="2948"/>
        <w:gridCol w:w="2948"/>
      </w:tblGrid>
      <w:tr>
        <w:tc>
          <w:tcPr>
            <w:tcW w:type="dxa" w:w="2948"/>
          </w:tcPr>
          <w:p>
            <w:r>
              <w:rPr>
                <w:b/>
              </w:rPr>
              <w:t>符号</w:t>
            </w:r>
          </w:p>
        </w:tc>
        <w:tc>
          <w:tcPr>
            <w:tcW w:type="dxa" w:w="2948"/>
          </w:tcPr>
          <w:p>
            <w:r>
              <w:rPr>
                <w:b/>
              </w:rPr>
              <w:t>说明</w:t>
            </w:r>
          </w:p>
        </w:tc>
        <w:tc>
          <w:tcPr>
            <w:tcW w:type="dxa" w:w="2948"/>
          </w:tcPr>
          <w:p>
            <w:r>
              <w:rPr>
                <w:b/>
              </w:rPr>
              <w:t>单位</w:t>
            </w:r>
          </w:p>
        </w:tc>
      </w:tr>
      <w:tr>
        <w:tc>
          <w:tcPr>
            <w:tcW w:type="dxa" w:w="2948"/>
          </w:tcPr>
          <w:p>
            <w:r>
              <w:t>S_i</w:t>
            </w:r>
          </w:p>
        </w:tc>
        <w:tc>
          <w:tcPr>
            <w:tcW w:type="dxa" w:w="2948"/>
          </w:tcPr>
          <w:p>
            <w:r>
              <w:t>第i个检测点</w:t>
            </w:r>
          </w:p>
        </w:tc>
        <w:tc>
          <w:tcPr>
            <w:tcW w:type="dxa" w:w="2948"/>
          </w:tcPr>
          <w:p>
            <w:r>
              <w:t>m</w:t>
            </w:r>
          </w:p>
        </w:tc>
      </w:tr>
      <w:tr>
        <w:tc>
          <w:tcPr>
            <w:tcW w:type="dxa" w:w="2948"/>
          </w:tcPr>
          <w:p>
            <w:r>
              <w:t>G</w:t>
            </w:r>
          </w:p>
        </w:tc>
        <w:tc>
          <w:tcPr>
            <w:tcW w:type="dxa" w:w="2948"/>
          </w:tcPr>
          <w:p>
            <w:r>
              <w:t>干扰源位置</w:t>
            </w:r>
          </w:p>
        </w:tc>
        <w:tc>
          <w:tcPr>
            <w:tcW w:type="dxa" w:w="2948"/>
          </w:tcPr>
          <w:p>
            <w:r>
              <w:t>m</w:t>
            </w:r>
          </w:p>
        </w:tc>
      </w:tr>
      <w:tr>
        <w:tc>
          <w:tcPr>
            <w:tcW w:type="dxa" w:w="2948"/>
          </w:tcPr>
          <w:p>
            <w:r>
              <w:t>θ_i</w:t>
            </w:r>
          </w:p>
        </w:tc>
        <w:tc>
          <w:tcPr>
            <w:tcW w:type="dxa" w:w="2948"/>
          </w:tcPr>
          <w:p>
            <w:r>
              <w:t>第i个检测点测得的示向度</w:t>
            </w:r>
          </w:p>
        </w:tc>
        <w:tc>
          <w:tcPr>
            <w:tcW w:type="dxa" w:w="2948"/>
          </w:tcPr>
          <w:p>
            <w:r>
              <w:t>°</w:t>
            </w:r>
          </w:p>
        </w:tc>
      </w:tr>
      <w:tr>
        <w:tc>
          <w:tcPr>
            <w:tcW w:type="dxa" w:w="2948"/>
          </w:tcPr>
          <w:p>
            <w:r>
              <w:t>ε_i</w:t>
            </w:r>
          </w:p>
        </w:tc>
        <w:tc>
          <w:tcPr>
            <w:tcW w:type="dxa" w:w="2948"/>
          </w:tcPr>
          <w:p>
            <w:r>
              <w:t>第i个检测点的测向误差</w:t>
            </w:r>
          </w:p>
        </w:tc>
        <w:tc>
          <w:tcPr>
            <w:tcW w:type="dxa" w:w="2948"/>
          </w:tcPr>
          <w:p>
            <w:r>
              <w:t>°</w:t>
            </w:r>
          </w:p>
        </w:tc>
      </w:tr>
      <w:tr>
        <w:tc>
          <w:tcPr>
            <w:tcW w:type="dxa" w:w="2948"/>
          </w:tcPr>
          <w:p>
            <w:r>
              <w:t>P</w:t>
            </w:r>
          </w:p>
        </w:tc>
        <w:tc>
          <w:tcPr>
            <w:tcW w:type="dxa" w:w="2948"/>
          </w:tcPr>
          <w:p>
            <w:r>
              <w:t>交会定位区域</w:t>
            </w:r>
          </w:p>
        </w:tc>
        <w:tc>
          <w:tcPr>
            <w:tcW w:type="dxa" w:w="2948"/>
          </w:tcPr>
          <w:p>
            <w:r>
              <w:t>m²</w:t>
            </w:r>
          </w:p>
        </w:tc>
      </w:tr>
      <w:tr>
        <w:tc>
          <w:tcPr>
            <w:tcW w:type="dxa" w:w="2948"/>
          </w:tcPr>
          <w:p>
            <w:r>
              <w:t>D(P)</w:t>
            </w:r>
          </w:p>
        </w:tc>
        <w:tc>
          <w:tcPr>
            <w:tcW w:type="dxa" w:w="2948"/>
          </w:tcPr>
          <w:p>
            <w:r>
              <w:t>定位区域直径</w:t>
            </w:r>
          </w:p>
        </w:tc>
        <w:tc>
          <w:tcPr>
            <w:tcW w:type="dxa" w:w="2948"/>
          </w:tcPr>
          <w:p>
            <w:r>
              <w:t>m</w:t>
            </w:r>
          </w:p>
        </w:tc>
      </w:tr>
      <w:tr>
        <w:tc>
          <w:tcPr>
            <w:tcW w:type="dxa" w:w="2948"/>
          </w:tcPr>
          <w:p>
            <w:r>
              <w:t>R</w:t>
            </w:r>
          </w:p>
        </w:tc>
        <w:tc>
          <w:tcPr>
            <w:tcW w:type="dxa" w:w="2948"/>
          </w:tcPr>
          <w:p>
            <w:r>
              <w:t>干扰源有效接收半径</w:t>
            </w:r>
          </w:p>
        </w:tc>
        <w:tc>
          <w:tcPr>
            <w:tcW w:type="dxa" w:w="2948"/>
          </w:tcPr>
          <w:p>
            <w:r>
              <w:t>m</w:t>
            </w:r>
          </w:p>
        </w:tc>
      </w:tr>
      <w:tr>
        <w:tc>
          <w:tcPr>
            <w:tcW w:type="dxa" w:w="2948"/>
          </w:tcPr>
          <w:p>
            <w:r>
              <w:t>T</w:t>
            </w:r>
          </w:p>
        </w:tc>
        <w:tc>
          <w:tcPr>
            <w:tcW w:type="dxa" w:w="2948"/>
          </w:tcPr>
          <w:p>
            <w:r>
              <w:t>定位清除总时间</w:t>
            </w:r>
          </w:p>
        </w:tc>
        <w:tc>
          <w:tcPr>
            <w:tcW w:type="dxa" w:w="2948"/>
          </w:tcPr>
          <w:p>
            <w:r>
              <w:t>s</w:t>
            </w:r>
          </w:p>
        </w:tc>
      </w:tr>
      <w:tr>
        <w:tc>
          <w:tcPr>
            <w:tcW w:type="dxa" w:w="2948"/>
          </w:tcPr>
          <w:p>
            <w:r>
              <w:t>N</w:t>
            </w:r>
          </w:p>
        </w:tc>
        <w:tc>
          <w:tcPr>
            <w:tcW w:type="dxa" w:w="2948"/>
          </w:tcPr>
          <w:p>
            <w:r>
              <w:t>干扰源总数</w:t>
            </w:r>
          </w:p>
        </w:tc>
        <w:tc>
          <w:tcPr>
            <w:tcW w:type="dxa" w:w="2948"/>
          </w:tcPr>
          <w:p>
            <w:r>
              <w:t>个</w:t>
            </w:r>
          </w:p>
        </w:tc>
      </w:tr>
      <w:tr>
        <w:tc>
          <w:tcPr>
            <w:tcW w:type="dxa" w:w="2948"/>
          </w:tcPr>
          <w:p>
            <w:r>
              <w:t>N_c</w:t>
            </w:r>
          </w:p>
        </w:tc>
        <w:tc>
          <w:tcPr>
            <w:tcW w:type="dxa" w:w="2948"/>
          </w:tcPr>
          <w:p>
            <w:r>
              <w:t>已清除干扰源个数</w:t>
            </w:r>
          </w:p>
        </w:tc>
        <w:tc>
          <w:tcPr>
            <w:tcW w:type="dxa" w:w="2948"/>
          </w:tcPr>
          <w:p>
            <w:r>
              <w:t>个</w:t>
            </w:r>
          </w:p>
        </w:tc>
      </w:tr>
    </w:tbl>
    <w:p>
      <w:pPr>
        <w:pStyle w:val="1"/>
      </w:pPr>
      <w:r>
        <w:rPr>
          <w:color w:val="000000"/>
        </w:rPr>
        <w:t>模型的建立与求解</w:t>
      </w:r>
    </w:p>
    <w:p>
      <w:pPr>
        <w:pStyle w:val="2"/>
      </w:pPr>
      <w:r>
        <w:rPr>
          <w:color w:val="000000"/>
        </w:rPr>
        <w:t>问题一</w:t>
      </w:r>
    </w:p>
    <w:p>
      <w:pPr>
        <w:pStyle w:val="3"/>
      </w:pPr>
      <w:r>
        <w:rPr>
          <w:color w:val="000000"/>
        </w:rPr>
        <w:t>交会定位区域的建立</w:t>
      </w:r>
    </w:p>
    <w:p>
      <w:pPr/>
      <w:r>
        <w:rPr>
          <w:color w:val="000000"/>
        </w:rPr>
        <w:t>设检测点S_i=(x_i,y_i)，测得示向度为θ_i。真实干扰源G=(x,y)相对于S_i的方位角应满足|arg(G-S_i)-θ_i|≤1°。将角度转为弧度后，记u_i^-=(cos(θ_i-1°),sin(θ_i-1°))、u_i^+=(cos(θ_i+1°),sin(θ_i+1°))。在方向角跨越0°时，对角度进行连续化处理。由两条边界射线确定的有向半平面约束可以写为</w:t>
      </w:r>
    </w:p>
    <w:p>
      <w:pPr/>
      <w:r>
        <w:rPr>
          <w:color w:val="000000"/>
        </w:rPr>
        <w:t>cross(u_i^-, G-S_i) ≥ 0，cross(u_i^+, G-S_i) ≤ 0。</w:t>
      </w:r>
    </w:p>
    <w:p>
      <w:pPr/>
      <w:r>
        <w:rPr>
          <w:color w:val="000000"/>
        </w:rPr>
        <w:t>对所有检测点的约束求交，并与目标圆域x²+y²≤1800²求交，得到定位区域P。实际编程时可采用半平面交算法：先构造所有边界直线，按极角排序，使用双端队列删除不满足约束的直线，最后求相邻边界交点。若检测点数量少或边界近似平行，应增加数值容差δ，以避免浮点误差造成空集误判。</w:t>
      </w:r>
    </w:p>
    <w:p>
      <w:pPr>
        <w:pStyle w:val="3"/>
      </w:pPr>
      <w:r>
        <w:rPr>
          <w:color w:val="000000"/>
        </w:rPr>
        <w:t>定位区域直径算法</w:t>
      </w:r>
    </w:p>
    <w:p>
      <w:pPr/>
      <w:r>
        <w:rPr>
          <w:color w:val="000000"/>
        </w:rPr>
        <w:t>半平面交得到的P为凸多边形，设其顶点按逆时针排列为V_1,…,V_m。定位区域直径定义为</w:t>
      </w:r>
    </w:p>
    <w:p>
      <w:pPr/>
      <w:r>
        <w:rPr>
          <w:color w:val="000000"/>
        </w:rPr>
        <w:t>D(P)=max_{1≤i,j≤m} ||V_i-V_j||。</w:t>
      </w:r>
    </w:p>
    <w:p>
      <w:pPr/>
      <w:r>
        <w:rPr>
          <w:color w:val="000000"/>
        </w:rPr>
        <w:t>当m较小时，直接枚举所有顶点对即可，时间复杂度为O(m²)；当m较大时，利用凸多边形旋转卡壳算法求最远点对，时间复杂度降为O(m)。若P为空，则说明测量数据与误差范围不相容，应重新测量或扩大候选误差范围；若P退化为线段或点，则按线段长度或0处理。</w:t>
      </w:r>
    </w:p>
    <w:p>
      <w:pPr>
        <w:pStyle w:val="3"/>
      </w:pPr>
      <w:r>
        <w:rPr>
          <w:color w:val="000000"/>
        </w:rPr>
        <w:t>直径圆覆盖性判定</w:t>
      </w:r>
    </w:p>
    <w:p>
      <w:pPr/>
      <w:r>
        <w:rPr>
          <w:color w:val="000000"/>
        </w:rPr>
        <w:t>题目所称‘以定位区域直径为直径的圆’存在圆心未明确的问题。若指以定位区域的最小外接圆为基础、直径取D(P)，则应计算P的最小外接圆半径r_min，并判定2r_min≤D(P)。对一般凸多边形，最小外接圆由两个或三个边界顶点确定，可用最小外接圆算法求得。若指以P的某一指定中心C为圆心、半径D(P)/2的圆，则逐个检查顶点是否满足||V_i-C||≤D(P)/2即可；由于P为凸集，顶点检查对整个区域充分。</w:t>
      </w:r>
    </w:p>
    <w:p>
      <w:pPr/>
      <w:r>
        <w:rPr>
          <w:color w:val="FF0000"/>
        </w:rPr>
        <w:t>数值算例与覆盖判定结果：待根据题目给出的检测点和示向度数据补入。</w:t>
      </w:r>
    </w:p>
    <w:p>
      <w:pPr>
        <w:pStyle w:val="2"/>
      </w:pPr>
      <w:r>
        <w:rPr>
          <w:color w:val="000000"/>
        </w:rPr>
        <w:t>问题二</w:t>
      </w:r>
    </w:p>
    <w:p>
      <w:pPr>
        <w:pStyle w:val="3"/>
      </w:pPr>
      <w:r>
        <w:rPr>
          <w:color w:val="000000"/>
        </w:rPr>
        <w:t>第二检测点的选择策略</w:t>
      </w:r>
    </w:p>
    <w:p>
      <w:pPr/>
      <w:r>
        <w:rPr>
          <w:color w:val="000000"/>
        </w:rPr>
        <w:t>设第一个检测点为S_1，测得示向度θ_1。全向干扰源的位置位于射线S_1+λu_1（λ&gt;0）附近，并受到目标圆域和有效接收半径的限制。第二检测点S_2的选择应同时满足：能够接收到干扰源信号；与S_1之间距离不过大；两条观测方向的交会角不接近0°或180°；机器狗能够在合理时间内到达。</w:t>
      </w:r>
    </w:p>
    <w:p>
      <w:pPr/>
      <w:r>
        <w:rPr>
          <w:color w:val="000000"/>
        </w:rPr>
        <w:t>由误差传播可得，若两检测点到干扰源的距离分别为r_1、r_2，交会夹角为φ，则定位横向误差的放大程度与1/sinφ近似成正比。因此本文以J(S_2)=w_1/sinφ-w_2||S_2-S_1||/1800+w_3I(S_2)作为候选点评分函数，其中I(S_2)用于惩罚超出目标区域、不可接收或路径不可行的位置。最优第二检测点取使J最大的可行点。</w:t>
      </w:r>
    </w:p>
    <w:p>
      <w:pPr>
        <w:pStyle w:val="3"/>
      </w:pPr>
      <w:r>
        <w:rPr>
          <w:color w:val="000000"/>
        </w:rPr>
        <w:t>第二检测点候选区域</w:t>
      </w:r>
    </w:p>
    <w:p>
      <w:pPr/>
      <w:r>
        <w:rPr>
          <w:color w:val="000000"/>
        </w:rPr>
        <w:t>在未知G的情况下，先沿S_1的示向度射线按距离分层采样候选干扰源位置G_k。对每个G_k，以G_k为圆心、半径r_k的圆与目标圆域相交，得到第二检测点可行域；再删除无法接收信号的区域，并保留使|φ-90°|≤α的区域。取所有G_k对应可行域的并集，得到第二检测点候选区域Q。参数α、采样层数和权重需要通过模拟器或灵敏度分析确定。</w:t>
      </w:r>
    </w:p>
    <w:p>
      <w:pPr/>
      <w:r>
        <w:rPr>
          <w:color w:val="FF0000"/>
        </w:rPr>
        <w:t>建议的参数：α、距离分层数量、评分函数权重和最终候选区域的具体边界，待演练测试后补入。</w:t>
      </w:r>
    </w:p>
    <w:p>
      <w:pPr>
        <w:pStyle w:val="2"/>
      </w:pPr>
      <w:r>
        <w:rPr>
          <w:color w:val="000000"/>
        </w:rPr>
        <w:t>问题三</w:t>
      </w:r>
    </w:p>
    <w:p>
      <w:pPr>
        <w:pStyle w:val="3"/>
      </w:pPr>
      <w:r>
        <w:rPr>
          <w:color w:val="000000"/>
        </w:rPr>
        <w:t>全向干扰源自动搜索策略</w:t>
      </w:r>
    </w:p>
    <w:p>
      <w:pPr/>
      <w:r>
        <w:rPr>
          <w:color w:val="000000"/>
        </w:rPr>
        <w:t>问题三中所有干扰源均为全向干扰源，只要机器狗位于有效接收半径内即可获得示向度。因此采用以下闭环：先按螺旋线或同心圆路径覆盖目标区域；在每个检测点依次扫描尚未确认的频道；对有信号频道记录示向度，对无信号频道记录检测位置和时间；当同一频道获得两个以上方向观测后进行交会定位；机器狗移动到定位区域附近并执行光学确认，距离不超过20米时清除。</w:t>
      </w:r>
    </w:p>
    <w:p>
      <w:pPr>
        <w:pStyle w:val="3"/>
      </w:pPr>
      <w:r>
        <w:rPr>
          <w:color w:val="000000"/>
        </w:rPr>
        <w:t>在线定位与清除算法</w:t>
      </w:r>
    </w:p>
    <w:p>
      <w:pPr/>
      <w:r>
        <w:rPr>
          <w:color w:val="000000"/>
        </w:rPr>
        <w:t>算法1：全向干扰源在线搜索</w:t>
      </w:r>
    </w:p>
    <w:p>
      <w:pPr/>
      <w:r>
        <w:rPr>
          <w:color w:val="000000"/>
        </w:rPr>
        <w:t>输入：目标圆域、初始位置(0,0)、初始频道1；输出：全部干扰源的定位与清除记录。</w:t>
      </w:r>
    </w:p>
    <w:p>
      <w:pPr>
        <w:pStyle w:val="ae"/>
      </w:pPr>
      <w:r>
        <w:rPr>
          <w:color w:val="000000"/>
        </w:rPr>
        <w:t>初始化未检测频道集合C={1,…,20}，未确认目标集合U为空，机器狗位置p=(0,0)。</w:t>
      </w:r>
    </w:p>
    <w:p>
      <w:pPr>
        <w:pStyle w:val="ae"/>
      </w:pPr>
      <w:r>
        <w:rPr>
          <w:color w:val="000000"/>
        </w:rPr>
        <w:t>按覆盖路径选择下一检测点p_next，计算移动时间并移动到该点。</w:t>
      </w:r>
    </w:p>
    <w:p>
      <w:pPr>
        <w:pStyle w:val="ae"/>
      </w:pPr>
      <w:r>
        <w:rPr>
          <w:color w:val="000000"/>
        </w:rPr>
        <w:t>对候选频道按距离上次检测时间和发现概率排序，切换频道并检测5秒；若有信号，保存示向度和检测点。</w:t>
      </w:r>
    </w:p>
    <w:p>
      <w:pPr>
        <w:pStyle w:val="ae"/>
      </w:pPr>
      <w:r>
        <w:rPr>
          <w:color w:val="000000"/>
        </w:rPr>
        <w:t>当某频道累计两个有效观测时，执行半平面交，得到候选定位区域；若区域过大，按问题二策略选择补充检测点。</w:t>
      </w:r>
    </w:p>
    <w:p>
      <w:pPr>
        <w:pStyle w:val="ae"/>
      </w:pPr>
      <w:r>
        <w:rPr>
          <w:color w:val="000000"/>
        </w:rPr>
        <w:t>沿候选区域到达距离中心最近且仍可检测的位置；当与目标距离不超过20米时，启动光学定位并清除。</w:t>
      </w:r>
    </w:p>
    <w:p>
      <w:pPr>
        <w:pStyle w:val="ae"/>
      </w:pPr>
      <w:r>
        <w:rPr>
          <w:color w:val="000000"/>
        </w:rPr>
        <w:t>清除成功后从活动频道表和目标集合中删除该目标；若清除失败，则扩大局部搜索半径并重新定位。</w:t>
      </w:r>
    </w:p>
    <w:p>
      <w:pPr>
        <w:pStyle w:val="ae"/>
      </w:pPr>
      <w:r>
        <w:rPr>
          <w:color w:val="000000"/>
        </w:rPr>
        <w:t>当连续覆盖若干轮且所有频道均无新目标，或者达到模拟器返回的时间上限时退出。</w:t>
      </w:r>
    </w:p>
    <w:p>
      <w:pPr/>
      <w:r>
        <w:rPr>
          <w:color w:val="000000"/>
        </w:rPr>
        <w:t>对任一行动序列，时间函数为T=T_move+T_switch+5n_detect+3n_opt+2n_clear。优化目标是在保证全部干扰源均被清除的约束下最小化T。由于目标数量未知，算法以‘发现新目标的期望收益/单位时间’作为路径重规划依据。</w:t>
      </w:r>
    </w:p>
    <w:p>
      <w:pPr>
        <w:pStyle w:val="3"/>
      </w:pPr>
      <w:r>
        <w:rPr>
          <w:color w:val="000000"/>
        </w:rPr>
        <w:t>问题3正式测试结果</w:t>
      </w:r>
    </w:p>
    <w:tbl>
      <w:tblPr>
        <w:tblStyle w:val="ab"/>
        <w:tblW w:type="auto" w:w="0"/>
        <w:tblLook w:firstColumn="1" w:firstRow="1" w:lastColumn="0" w:lastRow="0" w:noHBand="0" w:noVBand="1" w:val="04A0"/>
      </w:tblPr>
      <w:tblGrid>
        <w:gridCol w:w="2211"/>
        <w:gridCol w:w="2211"/>
        <w:gridCol w:w="2211"/>
        <w:gridCol w:w="2211"/>
      </w:tblGrid>
      <w:tr>
        <w:tc>
          <w:tcPr>
            <w:tcW w:type="dxa" w:w="2211"/>
          </w:tcPr>
          <w:p>
            <w:r>
              <w:rPr>
                <w:b/>
              </w:rPr>
              <w:t>测试案例编码</w:t>
            </w:r>
          </w:p>
        </w:tc>
        <w:tc>
          <w:tcPr>
            <w:tcW w:type="dxa" w:w="2211"/>
          </w:tcPr>
          <w:p>
            <w:r>
              <w:rPr>
                <w:b/>
              </w:rPr>
              <w:t>清除干扰源个数</w:t>
            </w:r>
          </w:p>
        </w:tc>
        <w:tc>
          <w:tcPr>
            <w:tcW w:type="dxa" w:w="2211"/>
          </w:tcPr>
          <w:p>
            <w:r>
              <w:rPr>
                <w:b/>
              </w:rPr>
              <w:t>平均定位清除时间</w:t>
            </w:r>
          </w:p>
        </w:tc>
        <w:tc>
          <w:tcPr>
            <w:tcW w:type="dxa" w:w="2211"/>
          </w:tcPr>
          <w:p>
            <w:r>
              <w:rPr>
                <w:b/>
              </w:rPr>
              <w:t>程序运行时间</w:t>
            </w:r>
          </w:p>
        </w:tc>
      </w:tr>
      <w:tr>
        <w:tc>
          <w:tcPr>
            <w:tcW w:type="dxa" w:w="2211"/>
          </w:tcPr>
          <w:p>
            <w:r>
              <w:rPr>
                <w:color w:val="FF0000"/>
              </w:rPr>
              <w:t>测试1案例编码（待模拟器填写）</w:t>
            </w:r>
          </w:p>
        </w:tc>
        <w:tc>
          <w:tcPr>
            <w:tcW w:type="dxa" w:w="2211"/>
          </w:tcPr>
          <w:p>
            <w:r>
              <w:rPr>
                <w:color w:val="FF0000"/>
              </w:rPr>
              <w:t>待填写</w:t>
            </w:r>
          </w:p>
        </w:tc>
        <w:tc>
          <w:tcPr>
            <w:tcW w:type="dxa" w:w="2211"/>
          </w:tcPr>
          <w:p>
            <w:r>
              <w:rPr>
                <w:color w:val="FF0000"/>
              </w:rPr>
              <w:t>待填写 s</w:t>
            </w:r>
          </w:p>
        </w:tc>
        <w:tc>
          <w:tcPr>
            <w:tcW w:type="dxa" w:w="2211"/>
          </w:tcPr>
          <w:p>
            <w:r>
              <w:rPr>
                <w:color w:val="FF0000"/>
              </w:rPr>
              <w:t>待填写 s</w:t>
            </w:r>
          </w:p>
        </w:tc>
      </w:tr>
      <w:tr>
        <w:tc>
          <w:tcPr>
            <w:tcW w:type="dxa" w:w="2211"/>
          </w:tcPr>
          <w:p>
            <w:r>
              <w:rPr>
                <w:color w:val="FF0000"/>
              </w:rPr>
              <w:t>测试2案例编码（待模拟器填写）</w:t>
            </w:r>
          </w:p>
        </w:tc>
        <w:tc>
          <w:tcPr>
            <w:tcW w:type="dxa" w:w="2211"/>
          </w:tcPr>
          <w:p>
            <w:r>
              <w:rPr>
                <w:color w:val="FF0000"/>
              </w:rPr>
              <w:t>待填写</w:t>
            </w:r>
          </w:p>
        </w:tc>
        <w:tc>
          <w:tcPr>
            <w:tcW w:type="dxa" w:w="2211"/>
          </w:tcPr>
          <w:p>
            <w:r>
              <w:rPr>
                <w:color w:val="FF0000"/>
              </w:rPr>
              <w:t>待填写 s</w:t>
            </w:r>
          </w:p>
        </w:tc>
        <w:tc>
          <w:tcPr>
            <w:tcW w:type="dxa" w:w="2211"/>
          </w:tcPr>
          <w:p>
            <w:r>
              <w:rPr>
                <w:color w:val="FF0000"/>
              </w:rPr>
              <w:t>待填写 s</w:t>
            </w:r>
          </w:p>
        </w:tc>
      </w:tr>
      <w:tr>
        <w:tc>
          <w:tcPr>
            <w:tcW w:type="dxa" w:w="2211"/>
          </w:tcPr>
          <w:p>
            <w:r>
              <w:rPr>
                <w:color w:val="FF0000"/>
              </w:rPr>
              <w:t>测试3案例编码（待模拟器填写）</w:t>
            </w:r>
          </w:p>
        </w:tc>
        <w:tc>
          <w:tcPr>
            <w:tcW w:type="dxa" w:w="2211"/>
          </w:tcPr>
          <w:p>
            <w:r>
              <w:rPr>
                <w:color w:val="FF0000"/>
              </w:rPr>
              <w:t>待填写</w:t>
            </w:r>
          </w:p>
        </w:tc>
        <w:tc>
          <w:tcPr>
            <w:tcW w:type="dxa" w:w="2211"/>
          </w:tcPr>
          <w:p>
            <w:r>
              <w:rPr>
                <w:color w:val="FF0000"/>
              </w:rPr>
              <w:t>待填写 s</w:t>
            </w:r>
          </w:p>
        </w:tc>
        <w:tc>
          <w:tcPr>
            <w:tcW w:type="dxa" w:w="2211"/>
          </w:tcPr>
          <w:p>
            <w:r>
              <w:rPr>
                <w:color w:val="FF0000"/>
              </w:rPr>
              <w:t>待填写 s</w:t>
            </w:r>
          </w:p>
        </w:tc>
      </w:tr>
    </w:tbl>
    <w:p>
      <w:pPr/>
      <w:r>
        <w:rPr>
          <w:color w:val="FF0000"/>
        </w:rPr>
        <w:t>正式测试的三份日志文件应从模拟器导出后放入支撑材料，文件名保持模拟器原始文件名不变。</w:t>
      </w:r>
    </w:p>
    <w:p>
      <w:pPr>
        <w:pStyle w:val="2"/>
      </w:pPr>
      <w:r>
        <w:rPr>
          <w:color w:val="000000"/>
        </w:rPr>
        <w:t>问题四</w:t>
      </w:r>
    </w:p>
    <w:p>
      <w:pPr>
        <w:pStyle w:val="3"/>
      </w:pPr>
      <w:r>
        <w:rPr>
          <w:color w:val="000000"/>
        </w:rPr>
        <w:t>定向干扰源的检测特点</w:t>
      </w:r>
    </w:p>
    <w:p>
      <w:pPr/>
      <w:r>
        <w:rPr>
          <w:color w:val="000000"/>
        </w:rPr>
        <w:t>定向干扰源仅在定向方向两侧各90°的扇区内辐射。因此在某检测点无信号时，不能直接认为该频道不存在目标。对于已知有信号的检测点，示向度仍可作为目标方向约束；对于无信号检测点，只能加入‘目标位于该点不可见扇区之外’的排除约束，且排除结论依赖于当前检测点的空间位置。</w:t>
      </w:r>
    </w:p>
    <w:p>
      <w:pPr>
        <w:pStyle w:val="3"/>
      </w:pPr>
      <w:r>
        <w:rPr>
          <w:color w:val="000000"/>
        </w:rPr>
        <w:t>混合干扰源检测与清除算法</w:t>
      </w:r>
    </w:p>
    <w:p>
      <w:pPr/>
      <w:r>
        <w:rPr>
          <w:color w:val="000000"/>
        </w:rPr>
        <w:t>算法2：全向与定向干扰源混合搜索</w:t>
      </w:r>
    </w:p>
    <w:p>
      <w:pPr>
        <w:pStyle w:val="ae"/>
      </w:pPr>
      <w:r>
        <w:rPr>
          <w:color w:val="000000"/>
        </w:rPr>
        <w:t>先采用问题三的覆盖路径建立频道—空间观测表，区分有信号观测和无信号观测。</w:t>
      </w:r>
    </w:p>
    <w:p>
      <w:pPr>
        <w:pStyle w:val="ae"/>
      </w:pPr>
      <w:r>
        <w:rPr>
          <w:color w:val="000000"/>
        </w:rPr>
        <w:t>对有信号观测执行交会定位；对无信号观测不删除频道，而是在该检测点建立方向不可见扇区约束。</w:t>
      </w:r>
    </w:p>
    <w:p>
      <w:pPr>
        <w:pStyle w:val="ae"/>
      </w:pPr>
      <w:r>
        <w:rPr>
          <w:color w:val="000000"/>
        </w:rPr>
        <w:t>对每个疑似频道选择至少两个几何位置差异较大的复测点，优先选择能使候选定向角覆盖范围发生明显变化的位置。</w:t>
      </w:r>
    </w:p>
    <w:p>
      <w:pPr>
        <w:pStyle w:val="ae"/>
      </w:pPr>
      <w:r>
        <w:rPr>
          <w:color w:val="000000"/>
        </w:rPr>
        <w:t>若多个复测点在不同位置均有信号，则按全向源处理；若信号随位置呈扇区性出现，则估计定向方向区间，并在扇区内选择第二检测点。</w:t>
      </w:r>
    </w:p>
    <w:p>
      <w:pPr>
        <w:pStyle w:val="ae"/>
      </w:pPr>
      <w:r>
        <w:rPr>
          <w:color w:val="000000"/>
        </w:rPr>
        <w:t>将定位区域与定向可见域、目标圆域和有效接收域求交，得到混合约束下的候选区域。</w:t>
      </w:r>
    </w:p>
    <w:p>
      <w:pPr>
        <w:pStyle w:val="ae"/>
      </w:pPr>
      <w:r>
        <w:rPr>
          <w:color w:val="000000"/>
        </w:rPr>
        <w:t>机器狗只在已确认辐射扇区内逼近目标；距离不超过20米后执行光学精准定位和激光清除。</w:t>
      </w:r>
    </w:p>
    <w:p>
      <w:pPr/>
      <w:r>
        <w:rPr>
          <w:color w:val="000000"/>
        </w:rPr>
        <w:t>为了防止定向源漏检，设置‘频道复核’机制：当完成一轮搜索仍有未解释的空间信号，重新选择与原路径相差约90°的扫描方向；当连续两轮复核均无新目标时，才将该频道标记为暂时完成。复核角度、候选点数量和停止条件需结合演练测试确定。</w:t>
      </w:r>
    </w:p>
    <w:p>
      <w:r>
        <w:br w:type="page"/>
      </w:r>
    </w:p>
    <w:p>
      <w:pPr>
        <w:pStyle w:val="3"/>
      </w:pPr>
      <w:r>
        <w:rPr>
          <w:color w:val="000000"/>
        </w:rPr>
        <w:t>问题4正式测试结果</w:t>
      </w:r>
    </w:p>
    <w:tbl>
      <w:tblPr>
        <w:tblStyle w:val="ab"/>
        <w:tblW w:type="auto" w:w="0"/>
        <w:tblLook w:firstColumn="1" w:firstRow="1" w:lastColumn="0" w:lastRow="0" w:noHBand="0" w:noVBand="1" w:val="04A0"/>
      </w:tblPr>
      <w:tblGrid>
        <w:gridCol w:w="2211"/>
        <w:gridCol w:w="2211"/>
        <w:gridCol w:w="2211"/>
        <w:gridCol w:w="2211"/>
      </w:tblGrid>
      <w:tr>
        <w:tc>
          <w:tcPr>
            <w:tcW w:type="dxa" w:w="2211"/>
          </w:tcPr>
          <w:p>
            <w:r>
              <w:rPr>
                <w:b/>
              </w:rPr>
              <w:t>测试案例编码</w:t>
            </w:r>
          </w:p>
        </w:tc>
        <w:tc>
          <w:tcPr>
            <w:tcW w:type="dxa" w:w="2211"/>
          </w:tcPr>
          <w:p>
            <w:r>
              <w:rPr>
                <w:b/>
              </w:rPr>
              <w:t>清除干扰源个数</w:t>
            </w:r>
          </w:p>
        </w:tc>
        <w:tc>
          <w:tcPr>
            <w:tcW w:type="dxa" w:w="2211"/>
          </w:tcPr>
          <w:p>
            <w:r>
              <w:rPr>
                <w:b/>
              </w:rPr>
              <w:t>平均定位清除时间</w:t>
            </w:r>
          </w:p>
        </w:tc>
        <w:tc>
          <w:tcPr>
            <w:tcW w:type="dxa" w:w="2211"/>
          </w:tcPr>
          <w:p>
            <w:r>
              <w:rPr>
                <w:b/>
              </w:rPr>
              <w:t>程序运行时间</w:t>
            </w:r>
          </w:p>
        </w:tc>
      </w:tr>
      <w:tr>
        <w:tc>
          <w:tcPr>
            <w:tcW w:type="dxa" w:w="2211"/>
          </w:tcPr>
          <w:p>
            <w:r>
              <w:rPr>
                <w:color w:val="FF0000"/>
              </w:rPr>
              <w:t>测试1案例编码（待模拟器填写）</w:t>
            </w:r>
          </w:p>
        </w:tc>
        <w:tc>
          <w:tcPr>
            <w:tcW w:type="dxa" w:w="2211"/>
          </w:tcPr>
          <w:p>
            <w:r>
              <w:rPr>
                <w:color w:val="FF0000"/>
              </w:rPr>
              <w:t>待填写</w:t>
            </w:r>
          </w:p>
        </w:tc>
        <w:tc>
          <w:tcPr>
            <w:tcW w:type="dxa" w:w="2211"/>
          </w:tcPr>
          <w:p>
            <w:r>
              <w:rPr>
                <w:color w:val="FF0000"/>
              </w:rPr>
              <w:t>待填写 s</w:t>
            </w:r>
          </w:p>
        </w:tc>
        <w:tc>
          <w:tcPr>
            <w:tcW w:type="dxa" w:w="2211"/>
          </w:tcPr>
          <w:p>
            <w:r>
              <w:rPr>
                <w:color w:val="FF0000"/>
              </w:rPr>
              <w:t>待填写 s</w:t>
            </w:r>
          </w:p>
        </w:tc>
      </w:tr>
      <w:tr>
        <w:tc>
          <w:tcPr>
            <w:tcW w:type="dxa" w:w="2211"/>
          </w:tcPr>
          <w:p>
            <w:r>
              <w:rPr>
                <w:color w:val="FF0000"/>
              </w:rPr>
              <w:t>测试2案例编码（待模拟器填写）</w:t>
            </w:r>
          </w:p>
        </w:tc>
        <w:tc>
          <w:tcPr>
            <w:tcW w:type="dxa" w:w="2211"/>
          </w:tcPr>
          <w:p>
            <w:r>
              <w:rPr>
                <w:color w:val="FF0000"/>
              </w:rPr>
              <w:t>待填写</w:t>
            </w:r>
          </w:p>
        </w:tc>
        <w:tc>
          <w:tcPr>
            <w:tcW w:type="dxa" w:w="2211"/>
          </w:tcPr>
          <w:p>
            <w:r>
              <w:rPr>
                <w:color w:val="FF0000"/>
              </w:rPr>
              <w:t>待填写 s</w:t>
            </w:r>
          </w:p>
        </w:tc>
        <w:tc>
          <w:tcPr>
            <w:tcW w:type="dxa" w:w="2211"/>
          </w:tcPr>
          <w:p>
            <w:r>
              <w:rPr>
                <w:color w:val="FF0000"/>
              </w:rPr>
              <w:t>待填写 s</w:t>
            </w:r>
          </w:p>
        </w:tc>
      </w:tr>
      <w:tr>
        <w:tc>
          <w:tcPr>
            <w:tcW w:type="dxa" w:w="2211"/>
          </w:tcPr>
          <w:p>
            <w:r>
              <w:rPr>
                <w:color w:val="FF0000"/>
              </w:rPr>
              <w:t>测试3案例编码（待模拟器填写）</w:t>
            </w:r>
          </w:p>
        </w:tc>
        <w:tc>
          <w:tcPr>
            <w:tcW w:type="dxa" w:w="2211"/>
          </w:tcPr>
          <w:p>
            <w:r>
              <w:rPr>
                <w:color w:val="FF0000"/>
              </w:rPr>
              <w:t>待填写</w:t>
            </w:r>
          </w:p>
        </w:tc>
        <w:tc>
          <w:tcPr>
            <w:tcW w:type="dxa" w:w="2211"/>
          </w:tcPr>
          <w:p>
            <w:r>
              <w:rPr>
                <w:color w:val="FF0000"/>
              </w:rPr>
              <w:t>待填写 s</w:t>
            </w:r>
          </w:p>
        </w:tc>
        <w:tc>
          <w:tcPr>
            <w:tcW w:type="dxa" w:w="2211"/>
          </w:tcPr>
          <w:p>
            <w:r>
              <w:rPr>
                <w:color w:val="FF0000"/>
              </w:rPr>
              <w:t>待填写 s</w:t>
            </w:r>
          </w:p>
        </w:tc>
      </w:tr>
    </w:tbl>
    <w:p>
      <w:pPr/>
      <w:r>
        <w:rPr>
          <w:color w:val="FF0000"/>
        </w:rPr>
        <w:t>问题4的三份正式测试日志文件应从模拟器导出后放入支撑材料。</w:t>
      </w:r>
    </w:p>
    <w:p>
      <w:pPr>
        <w:pStyle w:val="1"/>
      </w:pPr>
      <w:r>
        <w:rPr>
          <w:color w:val="000000"/>
        </w:rPr>
        <w:t>模型评价</w:t>
      </w:r>
    </w:p>
    <w:p>
      <w:pPr>
        <w:pStyle w:val="2"/>
      </w:pPr>
      <w:r>
        <w:rPr>
          <w:color w:val="000000"/>
        </w:rPr>
        <w:t>模型优点</w:t>
      </w:r>
    </w:p>
    <w:p>
      <w:pPr>
        <w:pStyle w:val="ae"/>
      </w:pPr>
      <w:r>
        <w:rPr>
          <w:color w:val="000000"/>
        </w:rPr>
        <w:t>将示向度误差直接转化为几何约束，能够同时处理多检测点数据和目标区域边界。</w:t>
      </w:r>
    </w:p>
    <w:p>
      <w:pPr>
        <w:pStyle w:val="ae"/>
      </w:pPr>
      <w:r>
        <w:rPr>
          <w:color w:val="000000"/>
        </w:rPr>
        <w:t>以交会角为核心建立第二检测点选择策略，解释了误差放大的几何原因。</w:t>
      </w:r>
    </w:p>
    <w:p>
      <w:pPr>
        <w:pStyle w:val="ae"/>
      </w:pPr>
      <w:r>
        <w:rPr>
          <w:color w:val="000000"/>
        </w:rPr>
        <w:t>采用检测、定位、清除闭环，并把移动、切频、检测、光学定位和清除时间统一纳入目标函数。</w:t>
      </w:r>
    </w:p>
    <w:p>
      <w:pPr>
        <w:pStyle w:val="ae"/>
      </w:pPr>
      <w:r>
        <w:rPr>
          <w:color w:val="000000"/>
        </w:rPr>
        <w:t>针对定向干扰源保留无信号信息，避免将无信号误判为无目标，具有较好的鲁棒性。</w:t>
      </w:r>
    </w:p>
    <w:p>
      <w:pPr>
        <w:pStyle w:val="2"/>
      </w:pPr>
      <w:r>
        <w:rPr>
          <w:color w:val="000000"/>
        </w:rPr>
        <w:t>模型缺点与改进</w:t>
      </w:r>
    </w:p>
    <w:p>
      <w:pPr/>
      <w:r>
        <w:rPr>
          <w:color w:val="000000"/>
        </w:rPr>
        <w:t>本文的正式测试结果依赖题目提供的专用模拟器，当前文件中与案例编码、清除数量和运行时间有关的数值尚未生成。后续可用演练日志估计频道先验概率、检测点间距和复核停止阈值，并通过蒙特卡洛仿真比较螺旋线、同心圆和自适应Voronoi路径的效率。若能获得更精确的信号强度模型，还可以将二值有无信号观测扩展为带噪声的距离估计，进一步提高定位速度。</w:t>
      </w:r>
    </w:p>
    <w:p>
      <w:pPr>
        <w:pStyle w:val="1"/>
      </w:pPr>
      <w:r>
        <w:rPr>
          <w:color w:val="000000"/>
        </w:rPr>
        <w:t>参考文献</w:t>
      </w:r>
    </w:p>
    <w:p>
      <w:pPr/>
      <w:r>
        <w:rPr>
          <w:color w:val="000000"/>
        </w:rPr>
        <w:t>[1] 2026年高教社杯全国大学生数学建模竞赛题目：B题 无线电干扰源的快速自动定位与清除。</w:t>
      </w:r>
    </w:p>
    <w:p>
      <w:pPr/>
      <w:r>
        <w:rPr>
          <w:color w:val="000000"/>
        </w:rPr>
        <w:t>[2] 全国大学生数学建模竞赛论文格式规范。</w:t>
      </w:r>
    </w:p>
    <w:sectPr w:rsidR="00740192">
      <w:headerReference w:type="even" r:id="rId34"/>
      <w:headerReference w:type="default" r:id="rId35"/>
      <w:footerReference w:type="even" r:id="rId36"/>
      <w:footerReference w:type="default" r:id="rId37"/>
      <w:headerReference w:type="first" r:id="rId38"/>
      <w:footerReference w:type="first" r:id="rId39"/>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46F34" w14:textId="77777777" w:rsidR="001965BD" w:rsidRDefault="001965BD">
      <w:pPr>
        <w:ind w:firstLine="480"/>
      </w:pPr>
      <w:r>
        <w:separator/>
      </w:r>
    </w:p>
  </w:endnote>
  <w:endnote w:type="continuationSeparator" w:id="0">
    <w:p w14:paraId="3E69FD49" w14:textId="77777777" w:rsidR="001965BD" w:rsidRDefault="001965B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BookAntiqua">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62706" w14:textId="77777777" w:rsidR="006C392C" w:rsidRDefault="006C392C">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1FB" w14:textId="77777777" w:rsidR="006C392C" w:rsidRDefault="008F1706">
    <w:pPr>
      <w:pStyle w:val="a6"/>
      <w:ind w:firstLine="42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color w:val="000000" w:themeColor="text1"/>
        <w:sz w:val="21"/>
        <w:lang w:val="zh-CN"/>
      </w:rPr>
      <w:t>7</w:t>
    </w:r>
    <w:r>
      <w:rPr>
        <w:caps/>
        <w:color w:val="000000" w:themeColor="text1"/>
        <w:sz w:val="21"/>
      </w:rPr>
      <w:fldChar w:fldCharType="end"/>
    </w:r>
  </w:p>
  <w:p w14:paraId="4B58A31E" w14:textId="77777777" w:rsidR="006C392C" w:rsidRDefault="006C392C">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A3BC" w14:textId="77777777" w:rsidR="006C392C" w:rsidRDefault="006C392C">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89932" w14:textId="77777777" w:rsidR="001965BD" w:rsidRDefault="001965BD">
      <w:pPr>
        <w:ind w:firstLine="480"/>
      </w:pPr>
      <w:r>
        <w:separator/>
      </w:r>
    </w:p>
  </w:footnote>
  <w:footnote w:type="continuationSeparator" w:id="0">
    <w:p w14:paraId="1871B5E1" w14:textId="77777777" w:rsidR="001965BD" w:rsidRDefault="001965B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3027" w14:textId="77777777" w:rsidR="006C392C" w:rsidRDefault="006C392C">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76BEE" w14:textId="77777777" w:rsidR="006C392C" w:rsidRDefault="006C392C">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4C36" w14:textId="77777777" w:rsidR="006C392C" w:rsidRDefault="006C392C">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B802F"/>
    <w:multiLevelType w:val="singleLevel"/>
    <w:tmpl w:val="3FBB802F"/>
    <w:lvl w:ilvl="0">
      <w:start w:val="2"/>
      <w:numFmt w:val="decimal"/>
      <w:lvlText w:val="%1."/>
      <w:lvlJc w:val="left"/>
      <w:pPr>
        <w:tabs>
          <w:tab w:val="left" w:pos="312"/>
        </w:tabs>
      </w:pPr>
      <w:rPr>
        <w:rFonts w:ascii="Times New Roman" w:hAnsi="Times New Roman" w:cs="Times New Roman" w:hint="default"/>
      </w:rPr>
    </w:lvl>
  </w:abstractNum>
  <w:abstractNum w:abstractNumId="1" w15:restartNumberingAfterBreak="0">
    <w:nsid w:val="5978FFC2"/>
    <w:multiLevelType w:val="singleLevel"/>
    <w:tmpl w:val="5978FFC2"/>
    <w:lvl w:ilvl="0">
      <w:start w:val="2"/>
      <w:numFmt w:val="decimal"/>
      <w:lvlText w:val="%1."/>
      <w:lvlJc w:val="left"/>
      <w:pPr>
        <w:tabs>
          <w:tab w:val="left" w:pos="312"/>
        </w:tabs>
      </w:pPr>
    </w:lvl>
  </w:abstractNum>
  <w:abstractNum w:abstractNumId="2" w15:restartNumberingAfterBreak="0">
    <w:nsid w:val="69CA42E8"/>
    <w:multiLevelType w:val="multilevel"/>
    <w:tmpl w:val="69CA42E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3CD4293"/>
    <w:multiLevelType w:val="multilevel"/>
    <w:tmpl w:val="73CD4293"/>
    <w:lvl w:ilvl="0">
      <w:start w:val="1"/>
      <w:numFmt w:val="chineseCountingThousand"/>
      <w:pStyle w:val="1"/>
      <w:suff w:val="space"/>
      <w:lvlText w:val="%1、"/>
      <w:lvlJc w:val="left"/>
      <w:pPr>
        <w:ind w:left="425" w:hanging="425"/>
      </w:pPr>
      <w:rPr>
        <w:rFonts w:ascii="宋体" w:eastAsia="宋体" w:hAnsi="宋体" w:hint="eastAsia"/>
        <w:b/>
        <w:bCs w:val="0"/>
        <w:i w:val="0"/>
        <w:sz w:val="28"/>
      </w:rPr>
    </w:lvl>
    <w:lvl w:ilvl="1">
      <w:start w:val="1"/>
      <w:numFmt w:val="decimal"/>
      <w:pStyle w:val="2"/>
      <w:isLgl/>
      <w:suff w:val="space"/>
      <w:lvlText w:val="%1.%2"/>
      <w:lvlJc w:val="left"/>
      <w:pPr>
        <w:ind w:left="709" w:hanging="567"/>
      </w:pPr>
      <w:rPr>
        <w:rFonts w:ascii="宋体" w:eastAsia="宋体" w:hAnsi="宋体" w:hint="eastAsia"/>
        <w:b/>
        <w:bCs w:val="0"/>
        <w:i w:val="0"/>
        <w:sz w:val="24"/>
      </w:rPr>
    </w:lvl>
    <w:lvl w:ilvl="2">
      <w:start w:val="1"/>
      <w:numFmt w:val="decimal"/>
      <w:pStyle w:val="3"/>
      <w:isLgl/>
      <w:suff w:val="space"/>
      <w:lvlText w:val="%1.%2.%3"/>
      <w:lvlJc w:val="left"/>
      <w:pPr>
        <w:ind w:left="1134" w:hanging="567"/>
      </w:pPr>
      <w:rPr>
        <w:rFonts w:ascii="宋体" w:eastAsia="宋体" w:hAnsi="宋体" w:hint="eastAsia"/>
        <w:b/>
        <w:bCs/>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955013699">
    <w:abstractNumId w:val="3"/>
  </w:num>
  <w:num w:numId="2" w16cid:durableId="599604739">
    <w:abstractNumId w:val="2"/>
  </w:num>
  <w:num w:numId="3" w16cid:durableId="1063720445">
    <w:abstractNumId w:val="0"/>
  </w:num>
  <w:num w:numId="4" w16cid:durableId="1150906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2242D"/>
    <w:rsid w:val="0003010E"/>
    <w:rsid w:val="000331A6"/>
    <w:rsid w:val="00043ACB"/>
    <w:rsid w:val="000539F4"/>
    <w:rsid w:val="00053BC6"/>
    <w:rsid w:val="00055102"/>
    <w:rsid w:val="0005531C"/>
    <w:rsid w:val="00060C36"/>
    <w:rsid w:val="00064A61"/>
    <w:rsid w:val="0008029E"/>
    <w:rsid w:val="000815BE"/>
    <w:rsid w:val="00081ADB"/>
    <w:rsid w:val="00087A05"/>
    <w:rsid w:val="00090D69"/>
    <w:rsid w:val="00097513"/>
    <w:rsid w:val="000A1C75"/>
    <w:rsid w:val="000A6270"/>
    <w:rsid w:val="000B11C1"/>
    <w:rsid w:val="000B1CE4"/>
    <w:rsid w:val="000B258E"/>
    <w:rsid w:val="000B3676"/>
    <w:rsid w:val="000B78CB"/>
    <w:rsid w:val="000C0099"/>
    <w:rsid w:val="000D2E4E"/>
    <w:rsid w:val="000E03AA"/>
    <w:rsid w:val="000E4C21"/>
    <w:rsid w:val="000F192B"/>
    <w:rsid w:val="00131246"/>
    <w:rsid w:val="0013447A"/>
    <w:rsid w:val="00134651"/>
    <w:rsid w:val="0013547B"/>
    <w:rsid w:val="001374D3"/>
    <w:rsid w:val="00140354"/>
    <w:rsid w:val="00144B2A"/>
    <w:rsid w:val="00146A74"/>
    <w:rsid w:val="001569BA"/>
    <w:rsid w:val="00161DA2"/>
    <w:rsid w:val="00163DFA"/>
    <w:rsid w:val="00171A48"/>
    <w:rsid w:val="00172B82"/>
    <w:rsid w:val="001757CE"/>
    <w:rsid w:val="00181027"/>
    <w:rsid w:val="001873C2"/>
    <w:rsid w:val="001933BB"/>
    <w:rsid w:val="001939A1"/>
    <w:rsid w:val="00195CF3"/>
    <w:rsid w:val="00195F45"/>
    <w:rsid w:val="001965BD"/>
    <w:rsid w:val="0019771A"/>
    <w:rsid w:val="001A2F74"/>
    <w:rsid w:val="001A35B1"/>
    <w:rsid w:val="001B506A"/>
    <w:rsid w:val="001C239C"/>
    <w:rsid w:val="001C2D87"/>
    <w:rsid w:val="001C7D65"/>
    <w:rsid w:val="001E1F3D"/>
    <w:rsid w:val="001F3C75"/>
    <w:rsid w:val="001F460D"/>
    <w:rsid w:val="001F5C5A"/>
    <w:rsid w:val="001F73C8"/>
    <w:rsid w:val="00207013"/>
    <w:rsid w:val="00214D62"/>
    <w:rsid w:val="00215C26"/>
    <w:rsid w:val="00215CA7"/>
    <w:rsid w:val="00217314"/>
    <w:rsid w:val="00220121"/>
    <w:rsid w:val="00222A3C"/>
    <w:rsid w:val="00225389"/>
    <w:rsid w:val="0022698C"/>
    <w:rsid w:val="002319B3"/>
    <w:rsid w:val="00236AE3"/>
    <w:rsid w:val="00240B4E"/>
    <w:rsid w:val="00244109"/>
    <w:rsid w:val="00250F22"/>
    <w:rsid w:val="00254993"/>
    <w:rsid w:val="002633EC"/>
    <w:rsid w:val="0026708D"/>
    <w:rsid w:val="002828E5"/>
    <w:rsid w:val="002847B5"/>
    <w:rsid w:val="002A2B9A"/>
    <w:rsid w:val="002A7D40"/>
    <w:rsid w:val="002B2B01"/>
    <w:rsid w:val="002B2CE0"/>
    <w:rsid w:val="002B4B87"/>
    <w:rsid w:val="002C0172"/>
    <w:rsid w:val="002C23D9"/>
    <w:rsid w:val="002C7F4D"/>
    <w:rsid w:val="002D209F"/>
    <w:rsid w:val="002E1F19"/>
    <w:rsid w:val="002E2E98"/>
    <w:rsid w:val="002E5034"/>
    <w:rsid w:val="002E6CF9"/>
    <w:rsid w:val="002F520D"/>
    <w:rsid w:val="00300EB9"/>
    <w:rsid w:val="00307689"/>
    <w:rsid w:val="00311B30"/>
    <w:rsid w:val="00320BF2"/>
    <w:rsid w:val="0032160F"/>
    <w:rsid w:val="00324BF7"/>
    <w:rsid w:val="00327E16"/>
    <w:rsid w:val="003319A7"/>
    <w:rsid w:val="00333014"/>
    <w:rsid w:val="003331B8"/>
    <w:rsid w:val="00334475"/>
    <w:rsid w:val="003410E0"/>
    <w:rsid w:val="00343AFD"/>
    <w:rsid w:val="00350E14"/>
    <w:rsid w:val="00351507"/>
    <w:rsid w:val="00351A4A"/>
    <w:rsid w:val="003535F1"/>
    <w:rsid w:val="00354CD0"/>
    <w:rsid w:val="00362474"/>
    <w:rsid w:val="00371210"/>
    <w:rsid w:val="0037560E"/>
    <w:rsid w:val="00377EC8"/>
    <w:rsid w:val="003912A3"/>
    <w:rsid w:val="0039499D"/>
    <w:rsid w:val="003A2C5A"/>
    <w:rsid w:val="003A4D87"/>
    <w:rsid w:val="003A610A"/>
    <w:rsid w:val="003A6A65"/>
    <w:rsid w:val="003B51A9"/>
    <w:rsid w:val="003B75AF"/>
    <w:rsid w:val="003B7C68"/>
    <w:rsid w:val="003D59AA"/>
    <w:rsid w:val="003E0FF8"/>
    <w:rsid w:val="003E348E"/>
    <w:rsid w:val="003E5411"/>
    <w:rsid w:val="003F00F2"/>
    <w:rsid w:val="003F684D"/>
    <w:rsid w:val="0040113F"/>
    <w:rsid w:val="00417899"/>
    <w:rsid w:val="0042468F"/>
    <w:rsid w:val="0043280A"/>
    <w:rsid w:val="00432972"/>
    <w:rsid w:val="00440FEA"/>
    <w:rsid w:val="00443B9A"/>
    <w:rsid w:val="00451850"/>
    <w:rsid w:val="00466357"/>
    <w:rsid w:val="00467645"/>
    <w:rsid w:val="00471BD2"/>
    <w:rsid w:val="00476829"/>
    <w:rsid w:val="00480935"/>
    <w:rsid w:val="00484F1E"/>
    <w:rsid w:val="004873A8"/>
    <w:rsid w:val="004973A7"/>
    <w:rsid w:val="00497DAD"/>
    <w:rsid w:val="004A1340"/>
    <w:rsid w:val="004A5FEA"/>
    <w:rsid w:val="004B10D4"/>
    <w:rsid w:val="004B28C7"/>
    <w:rsid w:val="004B2EE5"/>
    <w:rsid w:val="004B446D"/>
    <w:rsid w:val="004B6988"/>
    <w:rsid w:val="004C26BA"/>
    <w:rsid w:val="004C2B1D"/>
    <w:rsid w:val="004C387D"/>
    <w:rsid w:val="004C7B5D"/>
    <w:rsid w:val="004D30D5"/>
    <w:rsid w:val="004D563D"/>
    <w:rsid w:val="004E0603"/>
    <w:rsid w:val="004E389B"/>
    <w:rsid w:val="004E4ED9"/>
    <w:rsid w:val="004E6053"/>
    <w:rsid w:val="004E70F4"/>
    <w:rsid w:val="004F0C45"/>
    <w:rsid w:val="004F1D30"/>
    <w:rsid w:val="004F42FC"/>
    <w:rsid w:val="004F4A07"/>
    <w:rsid w:val="00504110"/>
    <w:rsid w:val="00506771"/>
    <w:rsid w:val="00512146"/>
    <w:rsid w:val="0051597F"/>
    <w:rsid w:val="005175CE"/>
    <w:rsid w:val="00520A41"/>
    <w:rsid w:val="00520DBF"/>
    <w:rsid w:val="00527988"/>
    <w:rsid w:val="005325CA"/>
    <w:rsid w:val="00544C34"/>
    <w:rsid w:val="00546C2A"/>
    <w:rsid w:val="00547C4A"/>
    <w:rsid w:val="005539B1"/>
    <w:rsid w:val="00556FF9"/>
    <w:rsid w:val="00566E8C"/>
    <w:rsid w:val="005673E5"/>
    <w:rsid w:val="005731F5"/>
    <w:rsid w:val="0057491D"/>
    <w:rsid w:val="00574AC2"/>
    <w:rsid w:val="00575FCC"/>
    <w:rsid w:val="00576351"/>
    <w:rsid w:val="00581641"/>
    <w:rsid w:val="005816C7"/>
    <w:rsid w:val="0058269D"/>
    <w:rsid w:val="00595F12"/>
    <w:rsid w:val="0059661C"/>
    <w:rsid w:val="005A29A5"/>
    <w:rsid w:val="005A50CC"/>
    <w:rsid w:val="005A515F"/>
    <w:rsid w:val="005A5684"/>
    <w:rsid w:val="005A670E"/>
    <w:rsid w:val="005A6BBD"/>
    <w:rsid w:val="005B134D"/>
    <w:rsid w:val="005B1370"/>
    <w:rsid w:val="005B2174"/>
    <w:rsid w:val="005B7C6A"/>
    <w:rsid w:val="005C20C3"/>
    <w:rsid w:val="005C4E2D"/>
    <w:rsid w:val="005D0502"/>
    <w:rsid w:val="005D3815"/>
    <w:rsid w:val="005D4B4A"/>
    <w:rsid w:val="005D7036"/>
    <w:rsid w:val="005E45E8"/>
    <w:rsid w:val="005E79E1"/>
    <w:rsid w:val="005E7CF0"/>
    <w:rsid w:val="005F284C"/>
    <w:rsid w:val="005F53BA"/>
    <w:rsid w:val="005F5D59"/>
    <w:rsid w:val="006001B6"/>
    <w:rsid w:val="006004AF"/>
    <w:rsid w:val="00601733"/>
    <w:rsid w:val="00651157"/>
    <w:rsid w:val="0065334D"/>
    <w:rsid w:val="00665939"/>
    <w:rsid w:val="006666B1"/>
    <w:rsid w:val="00673803"/>
    <w:rsid w:val="006744CD"/>
    <w:rsid w:val="00683BB2"/>
    <w:rsid w:val="006860E1"/>
    <w:rsid w:val="00692CC4"/>
    <w:rsid w:val="00696B38"/>
    <w:rsid w:val="006C057D"/>
    <w:rsid w:val="006C0A3D"/>
    <w:rsid w:val="006C1914"/>
    <w:rsid w:val="006C392C"/>
    <w:rsid w:val="006C5041"/>
    <w:rsid w:val="006C637B"/>
    <w:rsid w:val="006D4342"/>
    <w:rsid w:val="006E1F53"/>
    <w:rsid w:val="006E6384"/>
    <w:rsid w:val="006E78E6"/>
    <w:rsid w:val="006F3BF2"/>
    <w:rsid w:val="006F48EA"/>
    <w:rsid w:val="00710749"/>
    <w:rsid w:val="007220C2"/>
    <w:rsid w:val="00724A9C"/>
    <w:rsid w:val="00725D6F"/>
    <w:rsid w:val="00726308"/>
    <w:rsid w:val="00737233"/>
    <w:rsid w:val="00740192"/>
    <w:rsid w:val="00746792"/>
    <w:rsid w:val="007514C2"/>
    <w:rsid w:val="007555EE"/>
    <w:rsid w:val="00765E8D"/>
    <w:rsid w:val="007669DB"/>
    <w:rsid w:val="0078181D"/>
    <w:rsid w:val="007841C9"/>
    <w:rsid w:val="00784B35"/>
    <w:rsid w:val="00785F59"/>
    <w:rsid w:val="00790079"/>
    <w:rsid w:val="007A4988"/>
    <w:rsid w:val="007A5476"/>
    <w:rsid w:val="007A7692"/>
    <w:rsid w:val="007B0757"/>
    <w:rsid w:val="007B2C6C"/>
    <w:rsid w:val="007C48BB"/>
    <w:rsid w:val="007D57BE"/>
    <w:rsid w:val="007E40F5"/>
    <w:rsid w:val="00803316"/>
    <w:rsid w:val="008036E6"/>
    <w:rsid w:val="00806A6F"/>
    <w:rsid w:val="00822022"/>
    <w:rsid w:val="00822932"/>
    <w:rsid w:val="00827436"/>
    <w:rsid w:val="00830348"/>
    <w:rsid w:val="00833C37"/>
    <w:rsid w:val="00840028"/>
    <w:rsid w:val="00840D57"/>
    <w:rsid w:val="0084226B"/>
    <w:rsid w:val="00843CBC"/>
    <w:rsid w:val="0084421F"/>
    <w:rsid w:val="008458DA"/>
    <w:rsid w:val="00846D58"/>
    <w:rsid w:val="00851A95"/>
    <w:rsid w:val="00852DFF"/>
    <w:rsid w:val="00856139"/>
    <w:rsid w:val="00865007"/>
    <w:rsid w:val="008721C2"/>
    <w:rsid w:val="00873978"/>
    <w:rsid w:val="008764D6"/>
    <w:rsid w:val="00880703"/>
    <w:rsid w:val="00884A05"/>
    <w:rsid w:val="00894C25"/>
    <w:rsid w:val="008A1A24"/>
    <w:rsid w:val="008A7A52"/>
    <w:rsid w:val="008C02B8"/>
    <w:rsid w:val="008D2A61"/>
    <w:rsid w:val="008D7A98"/>
    <w:rsid w:val="008E35E4"/>
    <w:rsid w:val="008E5CC4"/>
    <w:rsid w:val="008F1324"/>
    <w:rsid w:val="008F1706"/>
    <w:rsid w:val="008F25EE"/>
    <w:rsid w:val="008F7213"/>
    <w:rsid w:val="00902DB5"/>
    <w:rsid w:val="00903D2B"/>
    <w:rsid w:val="00904FA8"/>
    <w:rsid w:val="00907293"/>
    <w:rsid w:val="009111DF"/>
    <w:rsid w:val="009153AD"/>
    <w:rsid w:val="00917BFD"/>
    <w:rsid w:val="0093239C"/>
    <w:rsid w:val="00935461"/>
    <w:rsid w:val="0093758B"/>
    <w:rsid w:val="00942A54"/>
    <w:rsid w:val="00944789"/>
    <w:rsid w:val="00947C6E"/>
    <w:rsid w:val="0096242D"/>
    <w:rsid w:val="00962BD6"/>
    <w:rsid w:val="0096636C"/>
    <w:rsid w:val="0097383B"/>
    <w:rsid w:val="00974778"/>
    <w:rsid w:val="0098022C"/>
    <w:rsid w:val="009819C9"/>
    <w:rsid w:val="00985F7C"/>
    <w:rsid w:val="009935A8"/>
    <w:rsid w:val="009B1874"/>
    <w:rsid w:val="009B2428"/>
    <w:rsid w:val="009B443A"/>
    <w:rsid w:val="009B6062"/>
    <w:rsid w:val="009B6845"/>
    <w:rsid w:val="009C36DF"/>
    <w:rsid w:val="009D5781"/>
    <w:rsid w:val="009D72C7"/>
    <w:rsid w:val="009E70B3"/>
    <w:rsid w:val="009F044C"/>
    <w:rsid w:val="009F41A5"/>
    <w:rsid w:val="00A01CB8"/>
    <w:rsid w:val="00A01EA3"/>
    <w:rsid w:val="00A10DAA"/>
    <w:rsid w:val="00A11EC7"/>
    <w:rsid w:val="00A154AB"/>
    <w:rsid w:val="00A249FA"/>
    <w:rsid w:val="00A41D3C"/>
    <w:rsid w:val="00A422BF"/>
    <w:rsid w:val="00A44988"/>
    <w:rsid w:val="00A45E4A"/>
    <w:rsid w:val="00A51F7B"/>
    <w:rsid w:val="00A60C17"/>
    <w:rsid w:val="00A618DB"/>
    <w:rsid w:val="00A6619A"/>
    <w:rsid w:val="00A66C4B"/>
    <w:rsid w:val="00A80F87"/>
    <w:rsid w:val="00A825AE"/>
    <w:rsid w:val="00A84A4E"/>
    <w:rsid w:val="00A9124F"/>
    <w:rsid w:val="00A9165E"/>
    <w:rsid w:val="00A92CDA"/>
    <w:rsid w:val="00A94FB5"/>
    <w:rsid w:val="00AA26EA"/>
    <w:rsid w:val="00AB0137"/>
    <w:rsid w:val="00AB567B"/>
    <w:rsid w:val="00AC0C64"/>
    <w:rsid w:val="00AC5569"/>
    <w:rsid w:val="00AC6BE4"/>
    <w:rsid w:val="00AD735E"/>
    <w:rsid w:val="00AE33B8"/>
    <w:rsid w:val="00B03F26"/>
    <w:rsid w:val="00B047E4"/>
    <w:rsid w:val="00B35BE9"/>
    <w:rsid w:val="00B4351B"/>
    <w:rsid w:val="00B44C8B"/>
    <w:rsid w:val="00B45CDA"/>
    <w:rsid w:val="00B523CE"/>
    <w:rsid w:val="00B541B8"/>
    <w:rsid w:val="00B567DC"/>
    <w:rsid w:val="00B57F5F"/>
    <w:rsid w:val="00B734B3"/>
    <w:rsid w:val="00B86F26"/>
    <w:rsid w:val="00B91230"/>
    <w:rsid w:val="00B9313C"/>
    <w:rsid w:val="00B9341E"/>
    <w:rsid w:val="00B94A1F"/>
    <w:rsid w:val="00B96C3D"/>
    <w:rsid w:val="00BB222D"/>
    <w:rsid w:val="00BB4AD8"/>
    <w:rsid w:val="00BB516B"/>
    <w:rsid w:val="00BC04A1"/>
    <w:rsid w:val="00BD4D76"/>
    <w:rsid w:val="00BD59DD"/>
    <w:rsid w:val="00BD7758"/>
    <w:rsid w:val="00BE5596"/>
    <w:rsid w:val="00BF195B"/>
    <w:rsid w:val="00C04E01"/>
    <w:rsid w:val="00C055B7"/>
    <w:rsid w:val="00C243A6"/>
    <w:rsid w:val="00C24EEA"/>
    <w:rsid w:val="00C31742"/>
    <w:rsid w:val="00C34ECB"/>
    <w:rsid w:val="00C34FCA"/>
    <w:rsid w:val="00C3760F"/>
    <w:rsid w:val="00C4238B"/>
    <w:rsid w:val="00C47CAE"/>
    <w:rsid w:val="00C52304"/>
    <w:rsid w:val="00C5346E"/>
    <w:rsid w:val="00C56266"/>
    <w:rsid w:val="00C56FA5"/>
    <w:rsid w:val="00C62257"/>
    <w:rsid w:val="00C63D2B"/>
    <w:rsid w:val="00C642CD"/>
    <w:rsid w:val="00C72126"/>
    <w:rsid w:val="00C80518"/>
    <w:rsid w:val="00C83BAF"/>
    <w:rsid w:val="00C84719"/>
    <w:rsid w:val="00C8788B"/>
    <w:rsid w:val="00C90E60"/>
    <w:rsid w:val="00CA6DEC"/>
    <w:rsid w:val="00CB1FA0"/>
    <w:rsid w:val="00CB5E86"/>
    <w:rsid w:val="00CB6FE0"/>
    <w:rsid w:val="00CC00CE"/>
    <w:rsid w:val="00CC0AD5"/>
    <w:rsid w:val="00CC204B"/>
    <w:rsid w:val="00CD17F6"/>
    <w:rsid w:val="00CD79B1"/>
    <w:rsid w:val="00CE5A23"/>
    <w:rsid w:val="00CF3D82"/>
    <w:rsid w:val="00CF5967"/>
    <w:rsid w:val="00CF73CB"/>
    <w:rsid w:val="00D0304F"/>
    <w:rsid w:val="00D034CB"/>
    <w:rsid w:val="00D039DF"/>
    <w:rsid w:val="00D07CA3"/>
    <w:rsid w:val="00D12186"/>
    <w:rsid w:val="00D12CEF"/>
    <w:rsid w:val="00D23260"/>
    <w:rsid w:val="00D25ACD"/>
    <w:rsid w:val="00D26445"/>
    <w:rsid w:val="00D2705E"/>
    <w:rsid w:val="00D30C2F"/>
    <w:rsid w:val="00D371B9"/>
    <w:rsid w:val="00D37C10"/>
    <w:rsid w:val="00D40FD6"/>
    <w:rsid w:val="00D43770"/>
    <w:rsid w:val="00D505F5"/>
    <w:rsid w:val="00D66C2F"/>
    <w:rsid w:val="00D73511"/>
    <w:rsid w:val="00D77D75"/>
    <w:rsid w:val="00D801F8"/>
    <w:rsid w:val="00D81331"/>
    <w:rsid w:val="00D829B4"/>
    <w:rsid w:val="00D90A79"/>
    <w:rsid w:val="00D90C20"/>
    <w:rsid w:val="00D9278D"/>
    <w:rsid w:val="00DA1E6C"/>
    <w:rsid w:val="00DA347F"/>
    <w:rsid w:val="00DB070E"/>
    <w:rsid w:val="00DB6E28"/>
    <w:rsid w:val="00DC2413"/>
    <w:rsid w:val="00DD0B07"/>
    <w:rsid w:val="00DD2281"/>
    <w:rsid w:val="00DE3F7D"/>
    <w:rsid w:val="00DE447F"/>
    <w:rsid w:val="00DF0459"/>
    <w:rsid w:val="00DF134B"/>
    <w:rsid w:val="00DF2DC0"/>
    <w:rsid w:val="00E0211B"/>
    <w:rsid w:val="00E04450"/>
    <w:rsid w:val="00E20055"/>
    <w:rsid w:val="00E26A2F"/>
    <w:rsid w:val="00E43276"/>
    <w:rsid w:val="00E44B7B"/>
    <w:rsid w:val="00E46B1C"/>
    <w:rsid w:val="00E50560"/>
    <w:rsid w:val="00E559BC"/>
    <w:rsid w:val="00E60E45"/>
    <w:rsid w:val="00E6321F"/>
    <w:rsid w:val="00E63F6D"/>
    <w:rsid w:val="00E647FE"/>
    <w:rsid w:val="00E707B5"/>
    <w:rsid w:val="00E73113"/>
    <w:rsid w:val="00E73331"/>
    <w:rsid w:val="00E73E33"/>
    <w:rsid w:val="00E779FE"/>
    <w:rsid w:val="00E821AC"/>
    <w:rsid w:val="00E8290D"/>
    <w:rsid w:val="00E94D23"/>
    <w:rsid w:val="00E97B25"/>
    <w:rsid w:val="00EA1041"/>
    <w:rsid w:val="00EA22FB"/>
    <w:rsid w:val="00EA6245"/>
    <w:rsid w:val="00EB244D"/>
    <w:rsid w:val="00EC1596"/>
    <w:rsid w:val="00EC515F"/>
    <w:rsid w:val="00EC588D"/>
    <w:rsid w:val="00ED11D3"/>
    <w:rsid w:val="00ED668A"/>
    <w:rsid w:val="00ED7075"/>
    <w:rsid w:val="00EE0A8E"/>
    <w:rsid w:val="00EE2107"/>
    <w:rsid w:val="00EE7CF8"/>
    <w:rsid w:val="00EF1CA6"/>
    <w:rsid w:val="00EF7CCF"/>
    <w:rsid w:val="00F03383"/>
    <w:rsid w:val="00F04662"/>
    <w:rsid w:val="00F114B1"/>
    <w:rsid w:val="00F174EF"/>
    <w:rsid w:val="00F21999"/>
    <w:rsid w:val="00F2291D"/>
    <w:rsid w:val="00F37242"/>
    <w:rsid w:val="00F40352"/>
    <w:rsid w:val="00F43CDD"/>
    <w:rsid w:val="00F51D42"/>
    <w:rsid w:val="00F63512"/>
    <w:rsid w:val="00F664D2"/>
    <w:rsid w:val="00F76451"/>
    <w:rsid w:val="00F77691"/>
    <w:rsid w:val="00F77E99"/>
    <w:rsid w:val="00F82F73"/>
    <w:rsid w:val="00F86208"/>
    <w:rsid w:val="00F91D20"/>
    <w:rsid w:val="00F9561D"/>
    <w:rsid w:val="00FA2AA2"/>
    <w:rsid w:val="00FB417A"/>
    <w:rsid w:val="00FB55E4"/>
    <w:rsid w:val="00FB7BFE"/>
    <w:rsid w:val="00FC1946"/>
    <w:rsid w:val="00FC41D2"/>
    <w:rsid w:val="00FC4919"/>
    <w:rsid w:val="00FE033D"/>
    <w:rsid w:val="00FE0444"/>
    <w:rsid w:val="00FF19BF"/>
    <w:rsid w:val="00FF3A95"/>
    <w:rsid w:val="00FF46AB"/>
    <w:rsid w:val="00FF4B8D"/>
    <w:rsid w:val="50E6437C"/>
    <w:rsid w:val="5D8A6083"/>
    <w:rsid w:val="63977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11CFE"/>
  <w15:docId w15:val="{5C6D3DB9-AD9E-4EAA-83C4-0F92E697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242"/>
    <w:pPr>
      <w:widowControl w:val="0"/>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numPr>
        <w:numId w:val="1"/>
      </w:numPr>
      <w:spacing w:before="120" w:after="120"/>
      <w:ind w:left="0" w:firstLineChars="0" w:firstLine="0"/>
      <w:jc w:val="center"/>
      <w:outlineLvl w:val="0"/>
    </w:pPr>
    <w:rPr>
      <w:rFonts w:ascii="黑体" w:hAnsi="黑体"/>
      <w:b/>
      <w:bCs/>
      <w:kern w:val="44"/>
      <w:sz w:val="28"/>
      <w:szCs w:val="44"/>
    </w:rPr>
  </w:style>
  <w:style w:type="paragraph" w:styleId="2">
    <w:name w:val="heading 2"/>
    <w:basedOn w:val="a"/>
    <w:next w:val="a"/>
    <w:link w:val="20"/>
    <w:uiPriority w:val="9"/>
    <w:unhideWhenUsed/>
    <w:qFormat/>
    <w:pPr>
      <w:keepNext/>
      <w:keepLines/>
      <w:numPr>
        <w:ilvl w:val="1"/>
        <w:numId w:val="1"/>
      </w:numPr>
      <w:spacing w:afterLines="50" w:after="50"/>
      <w:ind w:left="0" w:firstLineChars="0" w:firstLine="0"/>
      <w:jc w:val="left"/>
      <w:outlineLvl w:val="1"/>
    </w:pPr>
    <w:rPr>
      <w:rFonts w:ascii="黑体" w:hAnsi="黑体" w:cstheme="majorBidi"/>
      <w:b/>
      <w:bCs/>
      <w:szCs w:val="32"/>
    </w:rPr>
  </w:style>
  <w:style w:type="paragraph" w:styleId="3">
    <w:name w:val="heading 3"/>
    <w:basedOn w:val="a"/>
    <w:next w:val="a"/>
    <w:link w:val="30"/>
    <w:uiPriority w:val="9"/>
    <w:unhideWhenUsed/>
    <w:qFormat/>
    <w:pPr>
      <w:keepNext/>
      <w:keepLines/>
      <w:numPr>
        <w:ilvl w:val="2"/>
        <w:numId w:val="1"/>
      </w:numPr>
      <w:ind w:left="0" w:firstLineChars="0" w:firstLine="0"/>
      <w:jc w:val="left"/>
      <w:outlineLvl w:val="2"/>
    </w:pPr>
    <w:rPr>
      <w:rFonts w:ascii="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pPr>
      <w:ind w:leftChars="400" w:left="84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a">
    <w:name w:val="Normal (Web)"/>
    <w:basedOn w:val="a"/>
    <w:uiPriority w:val="99"/>
    <w:semiHidden/>
    <w:unhideWhenUsed/>
    <w:qFormat/>
    <w:pPr>
      <w:widowControl/>
      <w:spacing w:before="100" w:beforeAutospacing="1" w:after="100" w:afterAutospacing="1"/>
      <w:ind w:firstLineChars="0" w:firstLine="0"/>
      <w:jc w:val="left"/>
    </w:pPr>
    <w:rPr>
      <w:rFonts w:ascii="宋体" w:hAnsi="宋体" w:cs="宋体"/>
      <w:kern w:val="0"/>
      <w:szCs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qFormat/>
    <w:rPr>
      <w:color w:val="954F72" w:themeColor="followedHyperlink"/>
      <w:u w:val="single"/>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link w:val="1"/>
    <w:uiPriority w:val="9"/>
    <w:qFormat/>
    <w:rPr>
      <w:rFonts w:ascii="黑体" w:eastAsia="宋体" w:hAnsi="黑体"/>
      <w:b/>
      <w:bCs/>
      <w:kern w:val="44"/>
      <w:sz w:val="28"/>
      <w:szCs w:val="44"/>
    </w:rPr>
  </w:style>
  <w:style w:type="character" w:customStyle="1" w:styleId="20">
    <w:name w:val="标题 2 字符"/>
    <w:basedOn w:val="a0"/>
    <w:link w:val="2"/>
    <w:uiPriority w:val="9"/>
    <w:qFormat/>
    <w:rPr>
      <w:rFonts w:ascii="黑体" w:eastAsia="宋体" w:hAnsi="黑体" w:cstheme="majorBidi"/>
      <w:b/>
      <w:bCs/>
      <w:sz w:val="24"/>
      <w:szCs w:val="32"/>
    </w:rPr>
  </w:style>
  <w:style w:type="character" w:customStyle="1" w:styleId="30">
    <w:name w:val="标题 3 字符"/>
    <w:basedOn w:val="a0"/>
    <w:link w:val="3"/>
    <w:uiPriority w:val="9"/>
    <w:qFormat/>
    <w:rPr>
      <w:rFonts w:ascii="黑体" w:eastAsia="宋体" w:hAnsi="黑体"/>
      <w:bCs/>
      <w:sz w:val="24"/>
      <w:szCs w:val="32"/>
    </w:rPr>
  </w:style>
  <w:style w:type="paragraph" w:styleId="ae">
    <w:name w:val="List Paragraph"/>
    <w:basedOn w:val="a"/>
    <w:uiPriority w:val="34"/>
    <w:qFormat/>
    <w:pPr>
      <w:ind w:firstLine="420"/>
    </w:pPr>
  </w:style>
  <w:style w:type="paragraph" w:customStyle="1" w:styleId="af">
    <w:name w:val="图表"/>
    <w:basedOn w:val="a"/>
    <w:next w:val="a"/>
    <w:qFormat/>
    <w:pPr>
      <w:ind w:firstLineChars="0" w:firstLine="0"/>
      <w:jc w:val="center"/>
    </w:pPr>
    <w:rPr>
      <w:b/>
      <w:sz w:val="21"/>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12">
    <w:name w:val="书目1"/>
    <w:basedOn w:val="a"/>
    <w:next w:val="a"/>
    <w:uiPriority w:val="37"/>
    <w:unhideWhenUsed/>
    <w:qFormat/>
  </w:style>
  <w:style w:type="character" w:customStyle="1" w:styleId="a5">
    <w:name w:val="批注框文本 字符"/>
    <w:basedOn w:val="a0"/>
    <w:link w:val="a4"/>
    <w:uiPriority w:val="99"/>
    <w:semiHidden/>
    <w:qFormat/>
    <w:rPr>
      <w:rFonts w:ascii="Times New Roman" w:eastAsia="宋体" w:hAnsi="Times New Roman"/>
      <w:sz w:val="18"/>
      <w:szCs w:val="18"/>
    </w:rPr>
  </w:style>
  <w:style w:type="table" w:customStyle="1" w:styleId="af0">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f1">
    <w:name w:val="Placeholder Text"/>
    <w:basedOn w:val="a0"/>
    <w:uiPriority w:val="99"/>
    <w:semiHidden/>
    <w:qFormat/>
    <w:rPr>
      <w:color w:val="808080"/>
    </w:rPr>
  </w:style>
  <w:style w:type="character" w:customStyle="1" w:styleId="AMEquationSection">
    <w:name w:val="AMEquationSection"/>
    <w:basedOn w:val="a0"/>
    <w:qFormat/>
    <w:rPr>
      <w:rFonts w:ascii="黑体" w:eastAsia="黑体" w:hAnsi="黑体"/>
      <w:color w:val="FF0000"/>
      <w:sz w:val="32"/>
      <w:szCs w:val="32"/>
    </w:rPr>
  </w:style>
  <w:style w:type="paragraph" w:customStyle="1" w:styleId="AMDisplayEquation">
    <w:name w:val="AMDisplayEquation"/>
    <w:basedOn w:val="1"/>
    <w:next w:val="a"/>
    <w:link w:val="AMDisplayEquation0"/>
    <w:qFormat/>
    <w:pPr>
      <w:tabs>
        <w:tab w:val="center" w:pos="4420"/>
        <w:tab w:val="right" w:pos="8840"/>
      </w:tabs>
    </w:pPr>
    <w:rPr>
      <w:color w:val="FF0000"/>
    </w:rPr>
  </w:style>
  <w:style w:type="character" w:customStyle="1" w:styleId="AMDisplayEquation0">
    <w:name w:val="AMDisplayEquation 字符"/>
    <w:basedOn w:val="a0"/>
    <w:link w:val="AMDisplayEquation"/>
    <w:qFormat/>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sz w:val="24"/>
    </w:rPr>
  </w:style>
  <w:style w:type="paragraph" w:customStyle="1" w:styleId="EndNoteBibliography">
    <w:name w:val="EndNote Bibliography"/>
    <w:basedOn w:val="a"/>
    <w:link w:val="EndNoteBibliography0"/>
    <w:qFormat/>
    <w:rPr>
      <w:rFonts w:cs="Times New Roman"/>
    </w:rPr>
  </w:style>
  <w:style w:type="character" w:customStyle="1" w:styleId="EndNoteBibliography0">
    <w:name w:val="EndNote Bibliography 字符"/>
    <w:basedOn w:val="a0"/>
    <w:link w:val="EndNoteBibliography"/>
    <w:qFormat/>
    <w:rPr>
      <w:rFonts w:ascii="Times New Roman" w:eastAsia="宋体" w:hAnsi="Times New Roman" w:cs="Times New Roman"/>
      <w:sz w:val="24"/>
    </w:rPr>
  </w:style>
  <w:style w:type="character" w:customStyle="1" w:styleId="21">
    <w:name w:val="未处理的提及2"/>
    <w:basedOn w:val="a0"/>
    <w:uiPriority w:val="99"/>
    <w:semiHidden/>
    <w:unhideWhenUsed/>
    <w:qFormat/>
    <w:rPr>
      <w:color w:val="605E5C"/>
      <w:shd w:val="clear" w:color="auto" w:fill="E1DFDD"/>
    </w:rPr>
  </w:style>
  <w:style w:type="character" w:customStyle="1" w:styleId="tit">
    <w:name w:val="tit"/>
    <w:basedOn w:val="a0"/>
    <w:qFormat/>
  </w:style>
  <w:style w:type="character" w:customStyle="1" w:styleId="fontstyle01">
    <w:name w:val="fontstyle01"/>
    <w:basedOn w:val="a0"/>
    <w:qFormat/>
    <w:rPr>
      <w:rFonts w:ascii="BookAntiqua" w:hAnsi="BookAntiqua" w:hint="defaul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E:\&#25968;&#23398;&#24314;&#27169;\&#21103;&#26412;&#38468;&#2021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25968;&#23398;&#24314;&#27169;\&#21103;&#26412;&#38468;&#20214;.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dk1">
                  <a:tint val="88500"/>
                </a:schemeClr>
              </a:solidFill>
              <a:ln w="9525">
                <a:solidFill>
                  <a:schemeClr val="dk1">
                    <a:tint val="88500"/>
                  </a:schemeClr>
                </a:solidFill>
              </a:ln>
              <a:effectLst/>
            </c:spPr>
          </c:marker>
          <c:trendline>
            <c:spPr>
              <a:ln w="19050" cap="rnd">
                <a:solidFill>
                  <a:schemeClr val="dk1">
                    <a:tint val="88500"/>
                  </a:schemeClr>
                </a:solidFill>
                <a:prstDash val="sysDot"/>
              </a:ln>
              <a:effectLst/>
            </c:spPr>
            <c:trendlineType val="linear"/>
            <c:dispRSqr val="0"/>
            <c:dispEq val="0"/>
          </c:trendline>
          <c:xVal>
            <c:numRef>
              <c:f>Sheet1!$J$1:$J$100</c:f>
              <c:numCache>
                <c:formatCode>General</c:formatCode>
                <c:ptCount val="100"/>
                <c:pt idx="0">
                  <c:v>11</c:v>
                </c:pt>
                <c:pt idx="1">
                  <c:v>17</c:v>
                </c:pt>
                <c:pt idx="2">
                  <c:v>15.857142</c:v>
                </c:pt>
                <c:pt idx="3">
                  <c:v>12.428570000000001</c:v>
                </c:pt>
                <c:pt idx="4">
                  <c:v>24</c:v>
                </c:pt>
              </c:numCache>
            </c:numRef>
          </c:xVal>
          <c:yVal>
            <c:numRef>
              <c:f>Sheet1!$K$1:$K$100</c:f>
              <c:numCache>
                <c:formatCode>General</c:formatCode>
                <c:ptCount val="100"/>
                <c:pt idx="0">
                  <c:v>4.9031999999999999E-2</c:v>
                </c:pt>
                <c:pt idx="1">
                  <c:v>6.7678000000000002E-2</c:v>
                </c:pt>
                <c:pt idx="2">
                  <c:v>7.6163999999999996E-2</c:v>
                </c:pt>
                <c:pt idx="3">
                  <c:v>5.2704000000000001E-2</c:v>
                </c:pt>
                <c:pt idx="4">
                  <c:v>0.108413</c:v>
                </c:pt>
              </c:numCache>
            </c:numRef>
          </c:yVal>
          <c:smooth val="0"/>
          <c:extLst>
            <c:ext xmlns:c16="http://schemas.microsoft.com/office/drawing/2014/chart" uri="{C3380CC4-5D6E-409C-BE32-E72D297353CC}">
              <c16:uniqueId val="{00000001-CF23-4175-9E97-75167D110626}"/>
            </c:ext>
          </c:extLst>
        </c:ser>
        <c:dLbls>
          <c:showLegendKey val="0"/>
          <c:showVal val="0"/>
          <c:showCatName val="0"/>
          <c:showSerName val="0"/>
          <c:showPercent val="0"/>
          <c:showBubbleSize val="0"/>
        </c:dLbls>
        <c:axId val="1460484143"/>
        <c:axId val="1460485583"/>
      </c:scatterChart>
      <c:valAx>
        <c:axId val="1460484143"/>
        <c:scaling>
          <c:orientation val="minMax"/>
          <c:min val="10"/>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latin typeface="+mn-ea"/>
                    <a:ea typeface="+mn-ea"/>
                  </a:rPr>
                  <a:t>孕周数</a:t>
                </a:r>
                <a:r>
                  <a:rPr lang="en-US" altLang="zh-CN">
                    <a:latin typeface="+mn-ea"/>
                    <a:ea typeface="+mn-ea"/>
                  </a:rPr>
                  <a:t>/</a:t>
                </a:r>
                <a:r>
                  <a:rPr lang="zh-CN" altLang="en-US">
                    <a:latin typeface="+mn-ea"/>
                    <a:ea typeface="+mn-ea"/>
                  </a:rPr>
                  <a:t>周</a:t>
                </a:r>
              </a:p>
            </c:rich>
          </c:tx>
          <c:layout>
            <c:manualLayout>
              <c:xMode val="edge"/>
              <c:yMode val="edge"/>
              <c:x val="0.46838757655293101"/>
              <c:y val="0.88425925925925897"/>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460485583"/>
        <c:crosses val="autoZero"/>
        <c:crossBetween val="midCat"/>
      </c:valAx>
      <c:valAx>
        <c:axId val="1460485583"/>
        <c:scaling>
          <c:orientation val="minMax"/>
          <c:min val="0.04"/>
        </c:scaling>
        <c:delete val="0"/>
        <c:axPos val="l"/>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latin typeface="+mn-ea"/>
                    <a:ea typeface="+mn-ea"/>
                  </a:rPr>
                  <a:t>Y</a:t>
                </a:r>
                <a:r>
                  <a:rPr lang="zh-CN" altLang="en-US">
                    <a:latin typeface="+mn-ea"/>
                    <a:ea typeface="+mn-ea"/>
                  </a:rPr>
                  <a:t>染色体浓度</a:t>
                </a:r>
                <a:r>
                  <a:rPr lang="en-US" altLang="zh-CN">
                    <a:latin typeface="+mn-ea"/>
                    <a:ea typeface="+mn-ea"/>
                  </a:rPr>
                  <a:t>/</a:t>
                </a:r>
                <a:r>
                  <a:rPr lang="zh-CN" altLang="en-US">
                    <a:latin typeface="+mn-ea"/>
                    <a:ea typeface="+mn-ea"/>
                  </a:rPr>
                  <a:t>（拷贝</a:t>
                </a:r>
                <a:r>
                  <a:rPr lang="en-US" altLang="zh-CN">
                    <a:latin typeface="+mn-ea"/>
                    <a:ea typeface="+mn-ea"/>
                  </a:rPr>
                  <a:t>/</a:t>
                </a:r>
                <a:r>
                  <a:rPr lang="zh-CN" altLang="en-US">
                    <a:latin typeface="+mn-ea"/>
                    <a:ea typeface="+mn-ea"/>
                  </a:rPr>
                  <a:t>微升）</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460484143"/>
        <c:crosses val="autoZero"/>
        <c:crossBetween val="midCat"/>
      </c:valAx>
      <c:spPr>
        <a:noFill/>
        <a:ln>
          <a:noFill/>
        </a:ln>
        <a:effectLst/>
      </c:spPr>
    </c:plotArea>
    <c:plotVisOnly val="1"/>
    <c:dispBlanksAs val="gap"/>
    <c:showDLblsOverMax val="0"/>
    <c:extLst>
      <c:ext uri="{0b15fc19-7d7d-44ad-8c2d-2c3a37ce22c3}">
        <chartProps xmlns="https://web.wps.cn/et/2018/main" chartId="{69856baa-7478-44f1-9c3f-5020050ca336}"/>
      </c:ext>
    </c:extLst>
  </c:chart>
  <c:spPr>
    <a:solidFill>
      <a:schemeClr val="bg1"/>
    </a:solidFill>
    <a:ln w="9525" cap="flat" cmpd="sng" algn="ctr">
      <a:solidFill>
        <a:schemeClr val="bg1"/>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dk1">
                  <a:tint val="88500"/>
                </a:schemeClr>
              </a:solidFill>
              <a:ln w="9525">
                <a:solidFill>
                  <a:schemeClr val="dk1">
                    <a:tint val="88500"/>
                  </a:schemeClr>
                </a:solidFill>
              </a:ln>
              <a:effectLst/>
            </c:spPr>
          </c:marker>
          <c:trendline>
            <c:spPr>
              <a:ln w="19050" cap="rnd">
                <a:solidFill>
                  <a:schemeClr val="dk1">
                    <a:tint val="88500"/>
                  </a:schemeClr>
                </a:solidFill>
                <a:prstDash val="sysDot"/>
              </a:ln>
              <a:effectLst/>
            </c:spPr>
            <c:trendlineType val="linear"/>
            <c:dispRSqr val="0"/>
            <c:dispEq val="0"/>
          </c:trendline>
          <c:xVal>
            <c:numRef>
              <c:f>Sheet1!$U$1:$U$100</c:f>
              <c:numCache>
                <c:formatCode>General</c:formatCode>
                <c:ptCount val="100"/>
                <c:pt idx="0">
                  <c:v>31.559109179429399</c:v>
                </c:pt>
                <c:pt idx="1">
                  <c:v>31.640625</c:v>
                </c:pt>
                <c:pt idx="2">
                  <c:v>32.925892211866099</c:v>
                </c:pt>
                <c:pt idx="3">
                  <c:v>33.144739227242802</c:v>
                </c:pt>
                <c:pt idx="4">
                  <c:v>34.927679159999997</c:v>
                </c:pt>
                <c:pt idx="5">
                  <c:v>34.997470059999998</c:v>
                </c:pt>
              </c:numCache>
            </c:numRef>
          </c:xVal>
          <c:yVal>
            <c:numRef>
              <c:f>Sheet1!$V$1:$V$100</c:f>
              <c:numCache>
                <c:formatCode>General</c:formatCode>
                <c:ptCount val="100"/>
                <c:pt idx="0">
                  <c:v>8.1721178000000005E-2</c:v>
                </c:pt>
                <c:pt idx="1">
                  <c:v>0.12681975700000001</c:v>
                </c:pt>
                <c:pt idx="2">
                  <c:v>6.2103965999999997E-2</c:v>
                </c:pt>
                <c:pt idx="3">
                  <c:v>8.2017712000000007E-2</c:v>
                </c:pt>
                <c:pt idx="4">
                  <c:v>3.9301746999999998E-2</c:v>
                </c:pt>
                <c:pt idx="5">
                  <c:v>6.7848557000000004E-2</c:v>
                </c:pt>
              </c:numCache>
            </c:numRef>
          </c:yVal>
          <c:smooth val="0"/>
          <c:extLst>
            <c:ext xmlns:c16="http://schemas.microsoft.com/office/drawing/2014/chart" uri="{C3380CC4-5D6E-409C-BE32-E72D297353CC}">
              <c16:uniqueId val="{00000001-1728-4EC6-A715-71D3857B7FA0}"/>
            </c:ext>
          </c:extLst>
        </c:ser>
        <c:dLbls>
          <c:showLegendKey val="0"/>
          <c:showVal val="0"/>
          <c:showCatName val="0"/>
          <c:showSerName val="0"/>
          <c:showPercent val="0"/>
          <c:showBubbleSize val="0"/>
        </c:dLbls>
        <c:axId val="1456888239"/>
        <c:axId val="1456889679"/>
      </c:scatterChart>
      <c:valAx>
        <c:axId val="1456888239"/>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latin typeface="+mn-ea"/>
                    <a:ea typeface="+mn-ea"/>
                  </a:rPr>
                  <a:t>孕妇</a:t>
                </a:r>
                <a:r>
                  <a:rPr lang="en-US" altLang="zh-CN">
                    <a:latin typeface="+mn-ea"/>
                    <a:ea typeface="+mn-ea"/>
                  </a:rPr>
                  <a:t>BMI</a:t>
                </a:r>
                <a:r>
                  <a:rPr lang="zh-CN" altLang="en-US">
                    <a:latin typeface="+mn-ea"/>
                    <a:ea typeface="+mn-ea"/>
                  </a:rPr>
                  <a:t>值</a:t>
                </a:r>
                <a:r>
                  <a:rPr lang="en-US" altLang="zh-CN">
                    <a:latin typeface="+mn-ea"/>
                    <a:ea typeface="+mn-ea"/>
                  </a:rPr>
                  <a:t>/</a:t>
                </a:r>
                <a:r>
                  <a:rPr lang="zh-CN" altLang="en-US">
                    <a:latin typeface="+mn-ea"/>
                    <a:ea typeface="+mn-ea"/>
                  </a:rPr>
                  <a:t>（</a:t>
                </a:r>
                <a:r>
                  <a:rPr lang="en-US" altLang="zh-CN" sz="1000" b="0" i="0" u="none" strike="noStrike" baseline="0">
                    <a:effectLst/>
                    <a:latin typeface="+mn-ea"/>
                    <a:ea typeface="+mn-ea"/>
                  </a:rPr>
                  <a:t>kg/m</a:t>
                </a:r>
                <a:r>
                  <a:rPr lang="en-US" altLang="zh-CN" sz="1000" b="0" i="0" u="none" strike="noStrike" baseline="30000">
                    <a:effectLst/>
                    <a:latin typeface="+mn-ea"/>
                    <a:ea typeface="+mn-ea"/>
                  </a:rPr>
                  <a:t>2</a:t>
                </a:r>
                <a:r>
                  <a:rPr lang="zh-CN" altLang="en-US">
                    <a:latin typeface="+mn-ea"/>
                    <a:ea typeface="+mn-ea"/>
                  </a:rPr>
                  <a:t>）</a:t>
                </a:r>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456889679"/>
        <c:crosses val="autoZero"/>
        <c:crossBetween val="midCat"/>
      </c:valAx>
      <c:valAx>
        <c:axId val="1456889679"/>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000" b="0" i="0" u="none" strike="noStrike" kern="1200" baseline="0">
                    <a:solidFill>
                      <a:sysClr val="windowText" lastClr="000000">
                        <a:lumMod val="65000"/>
                        <a:lumOff val="35000"/>
                      </a:sysClr>
                    </a:solidFill>
                    <a:latin typeface="+mn-ea"/>
                    <a:ea typeface="+mn-ea"/>
                  </a:rPr>
                  <a:t>Y</a:t>
                </a:r>
                <a:r>
                  <a:rPr lang="zh-CN" altLang="en-US" sz="1000" b="0" i="0" u="none" strike="noStrike" kern="1200" baseline="0">
                    <a:solidFill>
                      <a:sysClr val="windowText" lastClr="000000">
                        <a:lumMod val="65000"/>
                        <a:lumOff val="35000"/>
                      </a:sysClr>
                    </a:solidFill>
                    <a:latin typeface="+mn-ea"/>
                    <a:ea typeface="+mn-ea"/>
                  </a:rPr>
                  <a:t>染色体浓度</a:t>
                </a:r>
                <a:r>
                  <a:rPr lang="en-US" altLang="zh-CN" sz="1000" b="0" i="0" u="none" strike="noStrike" kern="1200" baseline="0">
                    <a:solidFill>
                      <a:sysClr val="windowText" lastClr="000000">
                        <a:lumMod val="65000"/>
                        <a:lumOff val="35000"/>
                      </a:sysClr>
                    </a:solidFill>
                    <a:latin typeface="+mn-ea"/>
                    <a:ea typeface="+mn-ea"/>
                  </a:rPr>
                  <a:t>/</a:t>
                </a:r>
                <a:r>
                  <a:rPr lang="zh-CN" altLang="en-US" sz="1000" b="0" i="0" u="none" strike="noStrike" kern="1200" baseline="0">
                    <a:solidFill>
                      <a:sysClr val="windowText" lastClr="000000">
                        <a:lumMod val="65000"/>
                        <a:lumOff val="35000"/>
                      </a:sysClr>
                    </a:solidFill>
                    <a:latin typeface="+mn-ea"/>
                    <a:ea typeface="+mn-ea"/>
                  </a:rPr>
                  <a:t>（拷贝</a:t>
                </a:r>
                <a:r>
                  <a:rPr lang="en-US" altLang="zh-CN" sz="1000" b="0" i="0" u="none" strike="noStrike" kern="1200" baseline="0">
                    <a:solidFill>
                      <a:sysClr val="windowText" lastClr="000000">
                        <a:lumMod val="65000"/>
                        <a:lumOff val="35000"/>
                      </a:sysClr>
                    </a:solidFill>
                    <a:latin typeface="+mn-ea"/>
                    <a:ea typeface="+mn-ea"/>
                  </a:rPr>
                  <a:t>/</a:t>
                </a:r>
                <a:r>
                  <a:rPr lang="zh-CN" altLang="en-US" sz="1000" b="0" i="0" u="none" strike="noStrike" kern="1200" baseline="0">
                    <a:solidFill>
                      <a:sysClr val="windowText" lastClr="000000">
                        <a:lumMod val="65000"/>
                        <a:lumOff val="35000"/>
                      </a:sysClr>
                    </a:solidFill>
                    <a:latin typeface="+mn-ea"/>
                    <a:ea typeface="+mn-ea"/>
                  </a:rPr>
                  <a:t>微升）</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456888239"/>
        <c:crosses val="autoZero"/>
        <c:crossBetween val="midCat"/>
      </c:valAx>
      <c:spPr>
        <a:noFill/>
        <a:ln>
          <a:noFill/>
        </a:ln>
        <a:effectLst/>
      </c:spPr>
    </c:plotArea>
    <c:plotVisOnly val="1"/>
    <c:dispBlanksAs val="gap"/>
    <c:showDLblsOverMax val="0"/>
    <c:extLst>
      <c:ext uri="{0b15fc19-7d7d-44ad-8c2d-2c3a37ce22c3}">
        <chartProps xmlns="https://web.wps.cn/et/2018/main" chartId="{75dcae20-e265-4fe6-8efb-663b5e8014b7}"/>
      </c:ext>
    </c:extLst>
  </c:chart>
  <c:spPr>
    <a:solidFill>
      <a:schemeClr val="bg1"/>
    </a:solidFill>
    <a:ln w="9525" cap="flat" cmpd="sng" algn="ctr">
      <a:solidFill>
        <a:schemeClr val="bg1"/>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38</Pages>
  <Words>3256</Words>
  <Characters>18561</Characters>
  <Application>Microsoft Office Word</Application>
  <DocSecurity>0</DocSecurity>
  <Lines>154</Lines>
  <Paragraphs>43</Paragraphs>
  <ScaleCrop>false</ScaleCrop>
  <Company>中山大学</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梓希 王</cp:lastModifiedBy>
  <cp:revision>6</cp:revision>
  <cp:lastPrinted>2020-11-30T03:40:00Z</cp:lastPrinted>
  <dcterms:created xsi:type="dcterms:W3CDTF">2025-09-06T09:13:00Z</dcterms:created>
  <dcterms:modified xsi:type="dcterms:W3CDTF">2025-09-06T12:49:00Z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eyJoZGlkIjoiN2Y1NDI1M2YyNzVjYThiNmI1ZDAyZWJlNjk1OGViOGQiLCJ1c2VySWQiOiIxMjM2ODg1NDI4In0=</vt:lpwstr>
  </property>
  <property fmtid="{D5CDD505-2E9C-101B-9397-08002B2CF9AE}" pid="8" name="KSOProductBuildVer">
    <vt:lpwstr>2052-12.1.0.21915</vt:lpwstr>
  </property>
  <property fmtid="{D5CDD505-2E9C-101B-9397-08002B2CF9AE}" pid="9" name="ICV">
    <vt:lpwstr>9861CE2ABE9C4C44A21769C2DFEA38DE_13</vt:lpwstr>
  </property>
</Properties>
</file>