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120"/>
        <w:jc w:val="center"/>
      </w:pPr>
      <w:r>
        <w:rPr>
          <w:b/>
          <w:bCs/>
          <w:color w:val="0F172A"/>
          <w:sz w:val="52"/>
          <w:szCs w:val="52"/>
        </w:rPr>
        <w:t xml:space="preserve">AI-BUILT APP PROMOTION RUNBOOK</w:t>
      </w:r>
    </w:p>
    <w:p>
      <w:pPr>
        <w:spacing w:after="240"/>
        <w:jc w:val="center"/>
      </w:pPr>
      <w:r>
        <w:rPr>
          <w:i/>
          <w:iCs/>
          <w:color w:val="64748B"/>
          <w:sz w:val="26"/>
          <w:szCs w:val="26"/>
        </w:rPr>
        <w:t xml:space="preserve">Six stages from generation to production</w:t>
      </w:r>
    </w:p>
    <w:p>
      <w:pPr>
        <w:spacing w:after="600"/>
        <w:jc w:val="center"/>
      </w:pPr>
      <w:r>
        <w:rPr>
          <w:color w:val="64748B"/>
          <w:sz w:val="18"/>
          <w:szCs w:val="18"/>
        </w:rPr>
        <w:t xml:space="preserve">Aligned to NIST SSDF (SP 800-218) · SLSA v1.0 · CycloneDX AI/ML BOM · OWASP LLM Top 10 · ISO/IEC 5338:2023</w:t>
      </w:r>
    </w:p>
    <w:p>
      <w:pPr>
        <w:spacing w:before="2400"/>
      </w:pPr>
      <w:r>
        <w:t xml:space="preserve"/>
      </w:r>
    </w:p>
    <w:p>
      <w:pPr>
        <w:spacing w:after="120"/>
        <w:jc w:val="center"/>
      </w:pPr>
      <w:r>
        <w:rPr>
          <w:b/>
          <w:bCs/>
          <w:sz w:val="28"/>
          <w:szCs w:val="28"/>
        </w:rPr>
        <w:t xml:space="preserve">[Organization Name]</w:t>
      </w:r>
    </w:p>
    <w:p>
      <w:pPr>
        <w:jc w:val="center"/>
      </w:pPr>
      <w:r>
        <w:rPr>
          <w:color w:val="64748B"/>
          <w:sz w:val="22"/>
          <w:szCs w:val="22"/>
        </w:rPr>
        <w:t xml:space="preserve">Version 1.0  |  [Effective Date]</w:t>
      </w:r>
    </w:p>
    <w:p>
      <w:r>
        <w:br w:type="page"/>
      </w:r>
    </w:p>
    <w:p>
      <w:pPr>
        <w:pStyle w:val="Heading1"/>
        <w:spacing w:after="160" w:before="320"/>
      </w:pPr>
      <w:r>
        <w:rPr>
          <w:b/>
          <w:bCs/>
          <w:color w:val="0F172A"/>
          <w:sz w:val="36"/>
          <w:szCs w:val="36"/>
        </w:rPr>
        <w:t xml:space="preserve">1.  Purpose</w:t>
      </w:r>
    </w:p>
    <w:p>
      <w:pPr>
        <w:spacing w:after="120"/>
        <w:jc w:val="both"/>
      </w:pPr>
      <w:r>
        <w:rPr>
          <w:sz w:val="22"/>
          <w:szCs w:val="22"/>
        </w:rPr>
        <w:t xml:space="preserve">This runbook defines the mandatory promotion path for any application or service developed with material assistance from AI coding tools (Claude Code, Codex, GitHub Copilot, Cursor, Copilot agents, custom AI agents). The objective: catch the predictable failure modes of AI-generated code before it reaches production, while preserving the velocity that AI tools provide.</w:t>
      </w:r>
    </w:p>
    <w:p>
      <w:pPr>
        <w:spacing w:after="120"/>
        <w:jc w:val="both"/>
      </w:pPr>
      <w:r>
        <w:rPr>
          <w:sz w:val="22"/>
          <w:szCs w:val="22"/>
        </w:rPr>
        <w:t xml:space="preserve">Six stages, each with a named owner, a hard exit criterion, and a documented gate. Stages 3 (sandbox), 4 (security review) and 5 (sign-off) are mandatory and non-skippable for any externally-facing or production-data-touching application.</w:t>
      </w:r>
    </w:p>
    <w:p>
      <w:pPr>
        <w:pStyle w:val="Heading2"/>
        <w:spacing w:after="120" w:before="240"/>
      </w:pPr>
      <w:r>
        <w:rPr>
          <w:b/>
          <w:bCs/>
          <w:color w:val="0F172A"/>
          <w:sz w:val="28"/>
          <w:szCs w:val="28"/>
        </w:rPr>
        <w:t xml:space="preserve">1.1  Scope</w:t>
      </w:r>
    </w:p>
    <w:p>
      <w:pPr>
        <w:pStyle w:val="ListParagraph"/>
        <w:numPr>
          <w:ilvl w:val="0"/>
          <w:numId w:val="2"/>
        </w:numPr>
        <w:spacing w:after="80"/>
      </w:pPr>
      <w:r>
        <w:rPr>
          <w:sz w:val="22"/>
          <w:szCs w:val="22"/>
        </w:rPr>
        <w:t xml:space="preserve">Applies to internally-developed applications where AI coding tools wrote ≥ 25% of the source, or where AI agents authored any part of the production deployment.</w:t>
      </w:r>
    </w:p>
    <w:p>
      <w:pPr>
        <w:pStyle w:val="ListParagraph"/>
        <w:numPr>
          <w:ilvl w:val="0"/>
          <w:numId w:val="2"/>
        </w:numPr>
        <w:spacing w:after="80"/>
      </w:pPr>
      <w:r>
        <w:rPr>
          <w:sz w:val="22"/>
          <w:szCs w:val="22"/>
        </w:rPr>
        <w:t xml:space="preserve">Applies to AI agents themselves (Claude skills, Copilot extensions, custom agents).</w:t>
      </w:r>
    </w:p>
    <w:p>
      <w:pPr>
        <w:pStyle w:val="ListParagraph"/>
        <w:numPr>
          <w:ilvl w:val="0"/>
          <w:numId w:val="2"/>
        </w:numPr>
        <w:spacing w:after="80"/>
      </w:pPr>
      <w:r>
        <w:rPr>
          <w:sz w:val="22"/>
          <w:szCs w:val="22"/>
        </w:rPr>
        <w:t xml:space="preserve">Does not apply to throw-away scripts, internal one-off automations, or POCs that handle no organisation data.</w:t>
      </w:r>
    </w:p>
    <w:p>
      <w:pPr>
        <w:pStyle w:val="Heading2"/>
        <w:spacing w:after="120" w:before="240"/>
      </w:pPr>
      <w:r>
        <w:rPr>
          <w:b/>
          <w:bCs/>
          <w:color w:val="0F172A"/>
          <w:sz w:val="28"/>
          <w:szCs w:val="28"/>
        </w:rPr>
        <w:t xml:space="preserve">1.2  Framework alignment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BD5E1" w:sz="4"/>
              <w:left w:val="single" w:color="CBD5E1" w:sz="4"/>
              <w:bottom w:val="single" w:color="CBD5E1" w:sz="4"/>
              <w:right w:val="single" w:color="CBD5E1" w:sz="4"/>
            </w:tcBorders>
            <w:shd w:fill="0F172A" w:color="auto" w:val="clear"/>
            <w:tcMar>
              <w:top w:type="dxa" w:w="80"/>
              <w:left w:type="dxa" w:w="120"/>
              <w:bottom w:type="dxa" w:w="80"/>
              <w:right w:type="dxa" w:w="120"/>
            </w:tcMar>
          </w:tcPr>
          <w:p>
            <w:r>
              <w:rPr>
                <w:b/>
                <w:bCs/>
                <w:color w:val="FFFFFF"/>
                <w:sz w:val="20"/>
                <w:szCs w:val="20"/>
              </w:rPr>
              <w:t xml:space="preserve">Framework</w:t>
            </w:r>
          </w:p>
        </w:tc>
        <w:tc>
          <w:tcPr>
            <w:tcW w:type="dxa" w:w="5040"/>
            <w:tcBorders>
              <w:top w:val="single" w:color="CBD5E1" w:sz="4"/>
              <w:left w:val="single" w:color="CBD5E1" w:sz="4"/>
              <w:bottom w:val="single" w:color="CBD5E1" w:sz="4"/>
              <w:right w:val="single" w:color="CBD5E1" w:sz="4"/>
            </w:tcBorders>
            <w:shd w:fill="0F172A" w:color="auto" w:val="clear"/>
            <w:tcMar>
              <w:top w:type="dxa" w:w="80"/>
              <w:left w:type="dxa" w:w="120"/>
              <w:bottom w:type="dxa" w:w="80"/>
              <w:right w:type="dxa" w:w="120"/>
            </w:tcMar>
          </w:tcPr>
          <w:p>
            <w:r>
              <w:rPr>
                <w:b/>
                <w:bCs/>
                <w:color w:val="FFFFFF"/>
                <w:sz w:val="20"/>
                <w:szCs w:val="20"/>
              </w:rPr>
              <w:t xml:space="preserve">Mapping</w:t>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NIST SP 800-218 (SSDF)</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PS.1, PS.2, PS.3, PW.4, PW.7, PW.8, RV.1, RV.2</w:t>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NIST AI RMF 1.0</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MANAGE-1.3, MANAGE-2.1, MEASURE-2.4</w:t>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ISO/IEC 42001:2023</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A.6.2.7, A.10.2, A.10.5</w:t>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ISO/IEC 5338:2023</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AI lifecycle: development, transition, operation</w:t>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SLSA v1.0</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Production deploy requires SLSA Build L3 attestation</w:t>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OWASP LLM Top 10</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LLM01, LLM02, LLM03, LLM05, LLM06, LLM09</w:t>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OWASP ML Top 10 (2023)</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ML02, ML06</w:t>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CycloneDX AI/ML BOM</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Required at promotion to record model + dependencies</w:t>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NCSC / CISA Secure AI</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Secure design, development, deployment, operation</w:t>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MITRE ATLAS</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ML Supply Chain, ML Attack Staging</w:t>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NIST CSF 2.0</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PR.PS-04, PR.PS-05, DE.CM-01</w:t>
            </w:r>
          </w:p>
        </w:tc>
      </w:tr>
    </w:tbl>
    <w:p>
      <w:r>
        <w:br w:type="page"/>
      </w:r>
    </w:p>
    <w:p>
      <w:pPr>
        <w:pStyle w:val="Heading1"/>
        <w:spacing w:after="160" w:before="320"/>
      </w:pPr>
      <w:r>
        <w:rPr>
          <w:b/>
          <w:bCs/>
          <w:color w:val="0F172A"/>
          <w:sz w:val="36"/>
          <w:szCs w:val="36"/>
        </w:rPr>
        <w:t xml:space="preserve">2.  The six stages 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BD5E1" w:sz="4"/>
              <w:left w:val="single" w:color="CBD5E1" w:sz="4"/>
              <w:bottom w:val="single" w:color="CBD5E1" w:sz="4"/>
              <w:right w:val="single" w:color="CBD5E1" w:sz="4"/>
            </w:tcBorders>
            <w:shd w:fill="0F172A" w:color="auto" w:val="clear"/>
            <w:tcMar>
              <w:top w:type="dxa" w:w="80"/>
              <w:left w:type="dxa" w:w="120"/>
              <w:bottom w:type="dxa" w:w="80"/>
              <w:right w:type="dxa" w:w="120"/>
            </w:tcMar>
          </w:tcPr>
          <w:p>
            <w:r>
              <w:rPr>
                <w:b/>
                <w:bCs/>
                <w:color w:val="FFFFFF"/>
                <w:sz w:val="20"/>
                <w:szCs w:val="20"/>
              </w:rPr>
              <w:t xml:space="preserve">Stage</w:t>
            </w:r>
          </w:p>
        </w:tc>
        <w:tc>
          <w:tcPr>
            <w:tcW w:type="dxa" w:w="2520"/>
            <w:tcBorders>
              <w:top w:val="single" w:color="CBD5E1" w:sz="4"/>
              <w:left w:val="single" w:color="CBD5E1" w:sz="4"/>
              <w:bottom w:val="single" w:color="CBD5E1" w:sz="4"/>
              <w:right w:val="single" w:color="CBD5E1" w:sz="4"/>
            </w:tcBorders>
            <w:shd w:fill="0F172A" w:color="auto" w:val="clear"/>
            <w:tcMar>
              <w:top w:type="dxa" w:w="80"/>
              <w:left w:type="dxa" w:w="120"/>
              <w:bottom w:type="dxa" w:w="80"/>
              <w:right w:type="dxa" w:w="120"/>
            </w:tcMar>
          </w:tcPr>
          <w:p>
            <w:r>
              <w:rPr>
                <w:b/>
                <w:bCs/>
                <w:color w:val="FFFFFF"/>
                <w:sz w:val="20"/>
                <w:szCs w:val="20"/>
              </w:rPr>
              <w:t xml:space="preserve">Activity</w:t>
            </w:r>
          </w:p>
        </w:tc>
        <w:tc>
          <w:tcPr>
            <w:tcW w:type="dxa" w:w="2520"/>
            <w:tcBorders>
              <w:top w:val="single" w:color="CBD5E1" w:sz="4"/>
              <w:left w:val="single" w:color="CBD5E1" w:sz="4"/>
              <w:bottom w:val="single" w:color="CBD5E1" w:sz="4"/>
              <w:right w:val="single" w:color="CBD5E1" w:sz="4"/>
            </w:tcBorders>
            <w:shd w:fill="0F172A" w:color="auto" w:val="clear"/>
            <w:tcMar>
              <w:top w:type="dxa" w:w="80"/>
              <w:left w:type="dxa" w:w="120"/>
              <w:bottom w:type="dxa" w:w="80"/>
              <w:right w:type="dxa" w:w="120"/>
            </w:tcMar>
          </w:tcPr>
          <w:p>
            <w:r>
              <w:rPr>
                <w:b/>
                <w:bCs/>
                <w:color w:val="FFFFFF"/>
                <w:sz w:val="20"/>
                <w:szCs w:val="20"/>
              </w:rPr>
              <w:t xml:space="preserve">Owner</w:t>
            </w:r>
          </w:p>
        </w:tc>
        <w:tc>
          <w:tcPr>
            <w:tcW w:type="dxa" w:w="2520"/>
            <w:tcBorders>
              <w:top w:val="single" w:color="CBD5E1" w:sz="4"/>
              <w:left w:val="single" w:color="CBD5E1" w:sz="4"/>
              <w:bottom w:val="single" w:color="CBD5E1" w:sz="4"/>
              <w:right w:val="single" w:color="CBD5E1" w:sz="4"/>
            </w:tcBorders>
            <w:shd w:fill="0F172A" w:color="auto" w:val="clear"/>
            <w:tcMar>
              <w:top w:type="dxa" w:w="80"/>
              <w:left w:type="dxa" w:w="120"/>
              <w:bottom w:type="dxa" w:w="80"/>
              <w:right w:type="dxa" w:w="120"/>
            </w:tcMar>
          </w:tcPr>
          <w:p>
            <w:r>
              <w:rPr>
                <w:b/>
                <w:bCs/>
                <w:color w:val="FFFFFF"/>
                <w:sz w:val="20"/>
                <w:szCs w:val="20"/>
              </w:rPr>
              <w:t xml:space="preserve">Gate / Exit Criterion</w:t>
            </w:r>
          </w:p>
        </w:tc>
      </w:tr>
      <w:tr>
        <w:tc>
          <w:tcPr>
            <w:tcW w:type="dxa" w:w="252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0. Generation</w:t>
            </w:r>
          </w:p>
        </w:tc>
        <w:tc>
          <w:tcPr>
            <w:tcW w:type="dxa" w:w="252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Author uses AI tool inside the Dev Drive policy.</w:t>
            </w:r>
          </w:p>
        </w:tc>
        <w:tc>
          <w:tcPr>
            <w:tcW w:type="dxa" w:w="252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Developer</w:t>
            </w:r>
          </w:p>
        </w:tc>
        <w:tc>
          <w:tcPr>
            <w:tcW w:type="dxa" w:w="252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Local commit lands in feature branch.</w:t>
            </w:r>
          </w:p>
        </w:tc>
      </w:tr>
      <w:tr>
        <w:tc>
          <w:tcPr>
            <w:tcW w:type="dxa" w:w="252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1. Self-review</w:t>
            </w:r>
          </w:p>
        </w:tc>
        <w:tc>
          <w:tcPr>
            <w:tcW w:type="dxa" w:w="252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Diff walk-through, manual test, README, security self-check.</w:t>
            </w:r>
          </w:p>
        </w:tc>
        <w:tc>
          <w:tcPr>
            <w:tcW w:type="dxa" w:w="252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Developer</w:t>
            </w:r>
          </w:p>
        </w:tc>
        <w:tc>
          <w:tcPr>
            <w:tcW w:type="dxa" w:w="252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PR checklist signed in PR description.</w:t>
            </w:r>
          </w:p>
        </w:tc>
      </w:tr>
      <w:tr>
        <w:tc>
          <w:tcPr>
            <w:tcW w:type="dxa" w:w="252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2. Automated gates</w:t>
            </w:r>
          </w:p>
        </w:tc>
        <w:tc>
          <w:tcPr>
            <w:tcW w:type="dxa" w:w="252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SAST, secrets, SBOM, licence, dependency provenance, container scan.</w:t>
            </w:r>
          </w:p>
        </w:tc>
        <w:tc>
          <w:tcPr>
            <w:tcW w:type="dxa" w:w="252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CI runner</w:t>
            </w:r>
          </w:p>
        </w:tc>
        <w:tc>
          <w:tcPr>
            <w:tcW w:type="dxa" w:w="252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All required checks green; merge unblocked.</w:t>
            </w:r>
          </w:p>
        </w:tc>
      </w:tr>
      <w:tr>
        <w:tc>
          <w:tcPr>
            <w:tcW w:type="dxa" w:w="252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3. Sandbox deploy</w:t>
            </w:r>
          </w:p>
        </w:tc>
        <w:tc>
          <w:tcPr>
            <w:tcW w:type="dxa" w:w="252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Isolated env, no prod data, security-team-only auth, full traffic logging.</w:t>
            </w:r>
          </w:p>
        </w:tc>
        <w:tc>
          <w:tcPr>
            <w:tcW w:type="dxa" w:w="252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Platform Engineering</w:t>
            </w:r>
          </w:p>
        </w:tc>
        <w:tc>
          <w:tcPr>
            <w:tcW w:type="dxa" w:w="252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Sandbox URL live; logs flowing to SIEM; sandbox owner notified.</w:t>
            </w:r>
          </w:p>
        </w:tc>
      </w:tr>
      <w:tr>
        <w:tc>
          <w:tcPr>
            <w:tcW w:type="dxa" w:w="252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4. Security review</w:t>
            </w:r>
          </w:p>
        </w:tc>
        <w:tc>
          <w:tcPr>
            <w:tcW w:type="dxa" w:w="252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Reviewer runs the AI Code Review Checklist; pen-tests sandbox URL.</w:t>
            </w:r>
          </w:p>
        </w:tc>
        <w:tc>
          <w:tcPr>
            <w:tcW w:type="dxa" w:w="252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Security Engineering</w:t>
            </w:r>
          </w:p>
        </w:tc>
        <w:tc>
          <w:tcPr>
            <w:tcW w:type="dxa" w:w="252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Checklist completed; findings triaged; high/critical findings closed or risk-accepted.</w:t>
            </w:r>
          </w:p>
        </w:tc>
      </w:tr>
      <w:tr>
        <w:tc>
          <w:tcPr>
            <w:tcW w:type="dxa" w:w="252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5. Promotion sign-off</w:t>
            </w:r>
          </w:p>
        </w:tc>
        <w:tc>
          <w:tcPr>
            <w:tcW w:type="dxa" w:w="252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Decision Log entry; evidence pack attached; named approvers.</w:t>
            </w:r>
          </w:p>
        </w:tc>
        <w:tc>
          <w:tcPr>
            <w:tcW w:type="dxa" w:w="252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Security Manager + Product</w:t>
            </w:r>
          </w:p>
        </w:tc>
        <w:tc>
          <w:tcPr>
            <w:tcW w:type="dxa" w:w="252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Signed-off entry in the Decision Log; expiry date set.</w:t>
            </w:r>
          </w:p>
        </w:tc>
      </w:tr>
      <w:tr>
        <w:tc>
          <w:tcPr>
            <w:tcW w:type="dxa" w:w="252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6. Production deploy</w:t>
            </w:r>
          </w:p>
        </w:tc>
        <w:tc>
          <w:tcPr>
            <w:tcW w:type="dxa" w:w="252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Canary 1% → 10% → 100%; auto-rollback triggers; post-deploy review at 24h and 7d.</w:t>
            </w:r>
          </w:p>
        </w:tc>
        <w:tc>
          <w:tcPr>
            <w:tcW w:type="dxa" w:w="252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SRE / Platform</w:t>
            </w:r>
          </w:p>
        </w:tc>
        <w:tc>
          <w:tcPr>
            <w:tcW w:type="dxa" w:w="252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Post-deploy review filed; KPIs nominal; runbook handoff to oncall.</w:t>
            </w:r>
          </w:p>
        </w:tc>
      </w:tr>
    </w:tbl>
    <w:p>
      <w:pPr>
        <w:spacing w:after="120"/>
        <w:jc w:val="both"/>
      </w:pPr>
      <w:r>
        <w:rPr>
          <w:sz w:val="22"/>
          <w:szCs w:val="22"/>
        </w:rPr>
        <w:t xml:space="preserve">No production deploy without stages 3, 4 and 5 evidenced. Exceptions follow the [Exception Procedure] and require executive sign-off.</w:t>
      </w:r>
    </w:p>
    <w:p>
      <w:r>
        <w:br w:type="page"/>
      </w:r>
    </w:p>
    <w:p>
      <w:pPr>
        <w:pStyle w:val="Heading1"/>
        <w:spacing w:after="160" w:before="320"/>
      </w:pPr>
      <w:r>
        <w:rPr>
          <w:b/>
          <w:bCs/>
          <w:color w:val="0F172A"/>
          <w:sz w:val="36"/>
          <w:szCs w:val="36"/>
        </w:rPr>
        <w:t xml:space="preserve">Stage 0.  Generation</w:t>
      </w:r>
    </w:p>
    <w:p>
      <w:pPr>
        <w:pStyle w:val="Heading3"/>
        <w:spacing w:after="100" w:before="200"/>
      </w:pPr>
      <w:r>
        <w:rPr>
          <w:b/>
          <w:bCs/>
          <w:color w:val="334155"/>
          <w:sz w:val="24"/>
          <w:szCs w:val="24"/>
        </w:rPr>
        <w:t xml:space="preserve">Owner</w:t>
      </w:r>
    </w:p>
    <w:p>
      <w:pPr>
        <w:spacing w:after="120"/>
        <w:jc w:val="both"/>
      </w:pPr>
      <w:r>
        <w:rPr>
          <w:sz w:val="22"/>
          <w:szCs w:val="22"/>
        </w:rPr>
        <w:t xml:space="preserve">Developer (the human who initiated the AI tool).</w:t>
      </w:r>
    </w:p>
    <w:p>
      <w:pPr>
        <w:pStyle w:val="Heading3"/>
        <w:spacing w:after="100" w:before="200"/>
      </w:pPr>
      <w:r>
        <w:rPr>
          <w:b/>
          <w:bCs/>
          <w:color w:val="334155"/>
          <w:sz w:val="24"/>
          <w:szCs w:val="24"/>
        </w:rPr>
        <w:t xml:space="preserve">Framework anchors</w:t>
      </w:r>
    </w:p>
    <w:p>
      <w:pPr>
        <w:spacing w:after="120"/>
        <w:jc w:val="both"/>
      </w:pPr>
      <w:r>
        <w:rPr>
          <w:sz w:val="22"/>
          <w:szCs w:val="22"/>
        </w:rPr>
        <w:t xml:space="preserve">NIST SSDF PS.1 (Protect Software). The Dev Drive / sandbox-volume containment from the AI Endpoint Hardening Policy applies throughout.</w:t>
      </w:r>
    </w:p>
    <w:p>
      <w:pPr>
        <w:pStyle w:val="Heading3"/>
        <w:spacing w:after="100" w:before="200"/>
      </w:pPr>
      <w:r>
        <w:rPr>
          <w:b/>
          <w:bCs/>
          <w:color w:val="334155"/>
          <w:sz w:val="24"/>
          <w:szCs w:val="24"/>
        </w:rPr>
        <w:t xml:space="preserve">Activities</w:t>
      </w:r>
    </w:p>
    <w:p>
      <w:pPr>
        <w:pStyle w:val="ListParagraph"/>
        <w:numPr>
          <w:ilvl w:val="0"/>
          <w:numId w:val="2"/>
        </w:numPr>
        <w:spacing w:after="80"/>
      </w:pPr>
      <w:r>
        <w:rPr>
          <w:sz w:val="22"/>
          <w:szCs w:val="22"/>
        </w:rPr>
        <w:t xml:space="preserve">Author works inside the AI working folder defined by the endpoint policy (Dev Drive on Windows, dedicated APFS volume on macOS, firejail on Linux).</w:t>
      </w:r>
    </w:p>
    <w:p>
      <w:pPr>
        <w:pStyle w:val="ListParagraph"/>
        <w:numPr>
          <w:ilvl w:val="0"/>
          <w:numId w:val="2"/>
        </w:numPr>
        <w:spacing w:after="80"/>
      </w:pPr>
      <w:r>
        <w:rPr>
          <w:sz w:val="22"/>
          <w:szCs w:val="22"/>
        </w:rPr>
        <w:t xml:space="preserve">AI tool's MCP allow-list, plugin allow-list, and network egress controls are in force (verified by the pre-flight script on login).</w:t>
      </w:r>
    </w:p>
    <w:p>
      <w:pPr>
        <w:pStyle w:val="ListParagraph"/>
        <w:numPr>
          <w:ilvl w:val="0"/>
          <w:numId w:val="2"/>
        </w:numPr>
        <w:spacing w:after="80"/>
      </w:pPr>
      <w:r>
        <w:rPr>
          <w:sz w:val="22"/>
          <w:szCs w:val="22"/>
        </w:rPr>
        <w:t xml:space="preserve">Author commits AI-suggested code to a feature branch; commits include the AI co-author marker (e.g. Co-Authored-By: Claude &lt;noreply@anthropic.com&gt;).</w:t>
      </w:r>
    </w:p>
    <w:p>
      <w:pPr>
        <w:pStyle w:val="ListParagraph"/>
        <w:numPr>
          <w:ilvl w:val="0"/>
          <w:numId w:val="2"/>
        </w:numPr>
        <w:spacing w:after="80"/>
      </w:pPr>
      <w:r>
        <w:rPr>
          <w:sz w:val="22"/>
          <w:szCs w:val="22"/>
        </w:rPr>
        <w:t xml:space="preserve">Author preserves the prompt(s) used as a comment block at the top of the PR description for review traceability.</w:t>
      </w:r>
    </w:p>
    <w:p>
      <w:pPr>
        <w:pStyle w:val="ListParagraph"/>
        <w:numPr>
          <w:ilvl w:val="0"/>
          <w:numId w:val="2"/>
        </w:numPr>
        <w:spacing w:after="80"/>
      </w:pPr>
      <w:r>
        <w:rPr>
          <w:sz w:val="22"/>
          <w:szCs w:val="22"/>
        </w:rPr>
        <w:t xml:space="preserve">Secrets never typed into the AI prompt or pasted into AI-generated test fixtures.</w:t>
      </w:r>
    </w:p>
    <w:p>
      <w:pPr>
        <w:pStyle w:val="Heading3"/>
        <w:spacing w:after="100" w:before="200"/>
      </w:pPr>
      <w:r>
        <w:rPr>
          <w:b/>
          <w:bCs/>
          <w:color w:val="334155"/>
          <w:sz w:val="24"/>
          <w:szCs w:val="24"/>
        </w:rPr>
        <w:t xml:space="preserve">Exit criterion (hard gate)</w:t>
      </w:r>
    </w:p>
    <w:p>
      <w:pPr>
        <w:spacing w:after="120"/>
        <w:jc w:val="both"/>
      </w:pPr>
      <w:r>
        <w:rPr>
          <w:b/>
          <w:bCs/>
          <w:sz w:val="22"/>
          <w:szCs w:val="22"/>
        </w:rPr>
        <w:t xml:space="preserve">Code lands in a feature branch with AI co-author markers and prompt provenance recorded.</w:t>
      </w:r>
    </w:p>
    <w:p>
      <w:pPr>
        <w:pStyle w:val="Heading3"/>
        <w:spacing w:after="100" w:before="200"/>
      </w:pPr>
      <w:r>
        <w:rPr>
          <w:b/>
          <w:bCs/>
          <w:color w:val="334155"/>
          <w:sz w:val="24"/>
          <w:szCs w:val="24"/>
        </w:rPr>
        <w:t xml:space="preserve">Sign-off form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BD5E1" w:sz="4"/>
              <w:left w:val="single" w:color="CBD5E1" w:sz="4"/>
              <w:bottom w:val="single" w:color="CBD5E1" w:sz="4"/>
              <w:right w:val="single" w:color="CBD5E1" w:sz="4"/>
            </w:tcBorders>
            <w:shd w:fill="0F172A" w:color="auto" w:val="clear"/>
            <w:tcMar>
              <w:top w:type="dxa" w:w="80"/>
              <w:left w:type="dxa" w:w="120"/>
              <w:bottom w:type="dxa" w:w="80"/>
              <w:right w:type="dxa" w:w="120"/>
            </w:tcMar>
          </w:tcPr>
          <w:p>
            <w:r>
              <w:rPr>
                <w:b/>
                <w:bCs/>
                <w:color w:val="FFFFFF"/>
                <w:sz w:val="20"/>
                <w:szCs w:val="20"/>
              </w:rPr>
              <w:t xml:space="preserve">Field</w:t>
            </w:r>
          </w:p>
        </w:tc>
        <w:tc>
          <w:tcPr>
            <w:tcW w:type="dxa" w:w="5040"/>
            <w:tcBorders>
              <w:top w:val="single" w:color="CBD5E1" w:sz="4"/>
              <w:left w:val="single" w:color="CBD5E1" w:sz="4"/>
              <w:bottom w:val="single" w:color="CBD5E1" w:sz="4"/>
              <w:right w:val="single" w:color="CBD5E1" w:sz="4"/>
            </w:tcBorders>
            <w:shd w:fill="0F172A" w:color="auto" w:val="clear"/>
            <w:tcMar>
              <w:top w:type="dxa" w:w="80"/>
              <w:left w:type="dxa" w:w="120"/>
              <w:bottom w:type="dxa" w:w="80"/>
              <w:right w:type="dxa" w:w="120"/>
            </w:tcMar>
          </w:tcPr>
          <w:p>
            <w:r>
              <w:rPr>
                <w:b/>
                <w:bCs/>
                <w:color w:val="FFFFFF"/>
                <w:sz w:val="20"/>
                <w:szCs w:val="20"/>
              </w:rPr>
              <w:t xml:space="preserve">Value</w:t>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Branch name</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Commit SHAs (AI-authored)</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AI tool + version</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Prompts preserved (Y/N)</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Developer name</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Date</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
            </w:r>
          </w:p>
        </w:tc>
      </w:tr>
    </w:tbl>
    <w:p>
      <w:r>
        <w:br w:type="page"/>
      </w:r>
    </w:p>
    <w:p>
      <w:pPr>
        <w:pStyle w:val="Heading1"/>
        <w:spacing w:after="160" w:before="320"/>
      </w:pPr>
      <w:r>
        <w:rPr>
          <w:b/>
          <w:bCs/>
          <w:color w:val="0F172A"/>
          <w:sz w:val="36"/>
          <w:szCs w:val="36"/>
        </w:rPr>
        <w:t xml:space="preserve">Stage 1.  Self-review</w:t>
      </w:r>
    </w:p>
    <w:p>
      <w:pPr>
        <w:pStyle w:val="Heading3"/>
        <w:spacing w:after="100" w:before="200"/>
      </w:pPr>
      <w:r>
        <w:rPr>
          <w:b/>
          <w:bCs/>
          <w:color w:val="334155"/>
          <w:sz w:val="24"/>
          <w:szCs w:val="24"/>
        </w:rPr>
        <w:t xml:space="preserve">Owner</w:t>
      </w:r>
    </w:p>
    <w:p>
      <w:pPr>
        <w:spacing w:after="120"/>
        <w:jc w:val="both"/>
      </w:pPr>
      <w:r>
        <w:rPr>
          <w:sz w:val="22"/>
          <w:szCs w:val="22"/>
        </w:rPr>
        <w:t xml:space="preserve">Developer.</w:t>
      </w:r>
    </w:p>
    <w:p>
      <w:pPr>
        <w:pStyle w:val="Heading3"/>
        <w:spacing w:after="100" w:before="200"/>
      </w:pPr>
      <w:r>
        <w:rPr>
          <w:b/>
          <w:bCs/>
          <w:color w:val="334155"/>
          <w:sz w:val="24"/>
          <w:szCs w:val="24"/>
        </w:rPr>
        <w:t xml:space="preserve">Framework anchors</w:t>
      </w:r>
    </w:p>
    <w:p>
      <w:pPr>
        <w:spacing w:after="120"/>
        <w:jc w:val="both"/>
      </w:pPr>
      <w:r>
        <w:rPr>
          <w:sz w:val="22"/>
          <w:szCs w:val="22"/>
        </w:rPr>
        <w:t xml:space="preserve">NIST SSDF PS.2, PW.7. OWASP LLM06 (Excessive Agency).</w:t>
      </w:r>
    </w:p>
    <w:p>
      <w:pPr>
        <w:pStyle w:val="Heading3"/>
        <w:spacing w:after="100" w:before="200"/>
      </w:pPr>
      <w:r>
        <w:rPr>
          <w:b/>
          <w:bCs/>
          <w:color w:val="334155"/>
          <w:sz w:val="24"/>
          <w:szCs w:val="24"/>
        </w:rPr>
        <w:t xml:space="preserve">Activities</w:t>
      </w:r>
    </w:p>
    <w:p>
      <w:pPr>
        <w:pStyle w:val="ListParagraph"/>
        <w:numPr>
          <w:ilvl w:val="0"/>
          <w:numId w:val="2"/>
        </w:numPr>
        <w:spacing w:after="80"/>
      </w:pPr>
      <w:r>
        <w:rPr>
          <w:sz w:val="22"/>
          <w:szCs w:val="22"/>
        </w:rPr>
        <w:t xml:space="preserve">Walk the entire diff. Read every AI-added line. Re-read the parts you'd skim.</w:t>
      </w:r>
    </w:p>
    <w:p>
      <w:pPr>
        <w:pStyle w:val="ListParagraph"/>
        <w:numPr>
          <w:ilvl w:val="0"/>
          <w:numId w:val="2"/>
        </w:numPr>
        <w:spacing w:after="80"/>
      </w:pPr>
      <w:r>
        <w:rPr>
          <w:sz w:val="22"/>
          <w:szCs w:val="22"/>
        </w:rPr>
        <w:t xml:space="preserve">Check for the predictable AI failure modes: hardcoded secrets / placeholders, missing input validation, broken error handling, weak auth/authz checks, SQLi / SSRF / XSS patterns, dependency hijacking, AI-suggested package names that don't exist (slop-squatting risk).</w:t>
      </w:r>
    </w:p>
    <w:p>
      <w:pPr>
        <w:pStyle w:val="ListParagraph"/>
        <w:numPr>
          <w:ilvl w:val="0"/>
          <w:numId w:val="2"/>
        </w:numPr>
        <w:spacing w:after="80"/>
      </w:pPr>
      <w:r>
        <w:rPr>
          <w:sz w:val="22"/>
          <w:szCs w:val="22"/>
        </w:rPr>
        <w:t xml:space="preserve">Run the unit tests locally. Run the linter. Run the type-checker. All green.</w:t>
      </w:r>
    </w:p>
    <w:p>
      <w:pPr>
        <w:pStyle w:val="ListParagraph"/>
        <w:numPr>
          <w:ilvl w:val="0"/>
          <w:numId w:val="2"/>
        </w:numPr>
        <w:spacing w:after="80"/>
      </w:pPr>
      <w:r>
        <w:rPr>
          <w:sz w:val="22"/>
          <w:szCs w:val="22"/>
        </w:rPr>
        <w:t xml:space="preserve">Update the README. Add or update documentation. Add a 'How was this built?' note linking the AI provenance.</w:t>
      </w:r>
    </w:p>
    <w:p>
      <w:pPr>
        <w:pStyle w:val="ListParagraph"/>
        <w:numPr>
          <w:ilvl w:val="0"/>
          <w:numId w:val="2"/>
        </w:numPr>
        <w:spacing w:after="80"/>
      </w:pPr>
      <w:r>
        <w:rPr>
          <w:sz w:val="22"/>
          <w:szCs w:val="22"/>
        </w:rPr>
        <w:t xml:space="preserve">Self-fill the PR template's security questions.</w:t>
      </w:r>
    </w:p>
    <w:p>
      <w:pPr>
        <w:pStyle w:val="Heading3"/>
        <w:spacing w:after="100" w:before="200"/>
      </w:pPr>
      <w:r>
        <w:rPr>
          <w:b/>
          <w:bCs/>
          <w:color w:val="334155"/>
          <w:sz w:val="24"/>
          <w:szCs w:val="24"/>
        </w:rPr>
        <w:t xml:space="preserve">Exit criterion (hard gate)</w:t>
      </w:r>
    </w:p>
    <w:p>
      <w:pPr>
        <w:spacing w:after="120"/>
        <w:jc w:val="both"/>
      </w:pPr>
      <w:r>
        <w:rPr>
          <w:b/>
          <w:bCs/>
          <w:sz w:val="22"/>
          <w:szCs w:val="22"/>
        </w:rPr>
        <w:t xml:space="preserve">PR opened with self-review checklist completed and AI provenance documented.</w:t>
      </w:r>
    </w:p>
    <w:p>
      <w:pPr>
        <w:pStyle w:val="Heading3"/>
        <w:spacing w:after="100" w:before="200"/>
      </w:pPr>
      <w:r>
        <w:rPr>
          <w:b/>
          <w:bCs/>
          <w:color w:val="334155"/>
          <w:sz w:val="24"/>
          <w:szCs w:val="24"/>
        </w:rPr>
        <w:t xml:space="preserve">Sign-off form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BD5E1" w:sz="4"/>
              <w:left w:val="single" w:color="CBD5E1" w:sz="4"/>
              <w:bottom w:val="single" w:color="CBD5E1" w:sz="4"/>
              <w:right w:val="single" w:color="CBD5E1" w:sz="4"/>
            </w:tcBorders>
            <w:shd w:fill="0F172A" w:color="auto" w:val="clear"/>
            <w:tcMar>
              <w:top w:type="dxa" w:w="80"/>
              <w:left w:type="dxa" w:w="120"/>
              <w:bottom w:type="dxa" w:w="80"/>
              <w:right w:type="dxa" w:w="120"/>
            </w:tcMar>
          </w:tcPr>
          <w:p>
            <w:r>
              <w:rPr>
                <w:b/>
                <w:bCs/>
                <w:color w:val="FFFFFF"/>
                <w:sz w:val="20"/>
                <w:szCs w:val="20"/>
              </w:rPr>
              <w:t xml:space="preserve">Field</w:t>
            </w:r>
          </w:p>
        </w:tc>
        <w:tc>
          <w:tcPr>
            <w:tcW w:type="dxa" w:w="5040"/>
            <w:tcBorders>
              <w:top w:val="single" w:color="CBD5E1" w:sz="4"/>
              <w:left w:val="single" w:color="CBD5E1" w:sz="4"/>
              <w:bottom w:val="single" w:color="CBD5E1" w:sz="4"/>
              <w:right w:val="single" w:color="CBD5E1" w:sz="4"/>
            </w:tcBorders>
            <w:shd w:fill="0F172A" w:color="auto" w:val="clear"/>
            <w:tcMar>
              <w:top w:type="dxa" w:w="80"/>
              <w:left w:type="dxa" w:w="120"/>
              <w:bottom w:type="dxa" w:w="80"/>
              <w:right w:type="dxa" w:w="120"/>
            </w:tcMar>
          </w:tcPr>
          <w:p>
            <w:r>
              <w:rPr>
                <w:b/>
                <w:bCs/>
                <w:color w:val="FFFFFF"/>
                <w:sz w:val="20"/>
                <w:szCs w:val="20"/>
              </w:rPr>
              <w:t xml:space="preserve">Value</w:t>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PR URL</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Self-review checklist complete (Y/N)</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Tests passing locally (Y/N)</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Lint clean (Y/N)</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Self-rated risk (Low/Med/High)</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Signed by</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Date</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
            </w:r>
          </w:p>
        </w:tc>
      </w:tr>
    </w:tbl>
    <w:p>
      <w:r>
        <w:br w:type="page"/>
      </w:r>
    </w:p>
    <w:p>
      <w:pPr>
        <w:pStyle w:val="Heading1"/>
        <w:spacing w:after="160" w:before="320"/>
      </w:pPr>
      <w:r>
        <w:rPr>
          <w:b/>
          <w:bCs/>
          <w:color w:val="0F172A"/>
          <w:sz w:val="36"/>
          <w:szCs w:val="36"/>
        </w:rPr>
        <w:t xml:space="preserve">Stage 2.  Pre-merge gates — CI + peer review</w:t>
      </w:r>
    </w:p>
    <w:p>
      <w:pPr>
        <w:pStyle w:val="Heading3"/>
        <w:spacing w:after="100" w:before="200"/>
      </w:pPr>
      <w:r>
        <w:rPr>
          <w:b/>
          <w:bCs/>
          <w:color w:val="334155"/>
          <w:sz w:val="24"/>
          <w:szCs w:val="24"/>
        </w:rPr>
        <w:t xml:space="preserve">Owner</w:t>
      </w:r>
    </w:p>
    <w:p>
      <w:pPr>
        <w:spacing w:after="120"/>
        <w:jc w:val="both"/>
      </w:pPr>
      <w:r>
        <w:rPr>
          <w:sz w:val="22"/>
          <w:szCs w:val="22"/>
        </w:rPr>
        <w:t xml:space="preserve">Joint owner: the CI runner for the automated checks, plus named human peer reviewer(s) for the approval. Failures on either side route back to the developer and block merge.</w:t>
      </w:r>
    </w:p>
    <w:p>
      <w:pPr>
        <w:pStyle w:val="Heading3"/>
        <w:spacing w:after="100" w:before="200"/>
      </w:pPr>
      <w:r>
        <w:rPr>
          <w:b/>
          <w:bCs/>
          <w:color w:val="334155"/>
          <w:sz w:val="24"/>
          <w:szCs w:val="24"/>
        </w:rPr>
        <w:t xml:space="preserve">Framework anchors</w:t>
      </w:r>
    </w:p>
    <w:p>
      <w:pPr>
        <w:spacing w:after="120"/>
        <w:jc w:val="both"/>
      </w:pPr>
      <w:r>
        <w:rPr>
          <w:sz w:val="22"/>
          <w:szCs w:val="22"/>
        </w:rPr>
        <w:t xml:space="preserve">NIST SSDF PS.3, PW.4, PW.7, PW.8. SLSA Build L1+ minimum here. Branch protection on main enforces both halves of the gate.</w:t>
      </w:r>
    </w:p>
    <w:p>
      <w:pPr>
        <w:pStyle w:val="Heading3"/>
        <w:spacing w:after="100" w:before="200"/>
      </w:pPr>
      <w:r>
        <w:rPr>
          <w:b/>
          <w:bCs/>
          <w:color w:val="334155"/>
          <w:sz w:val="24"/>
          <w:szCs w:val="24"/>
        </w:rPr>
        <w:t xml:space="preserve">Activities</w:t>
      </w:r>
    </w:p>
    <w:p>
      <w:pPr>
        <w:pStyle w:val="ListParagraph"/>
        <w:numPr>
          <w:ilvl w:val="0"/>
          <w:numId w:val="2"/>
        </w:numPr>
        <w:spacing w:after="80"/>
      </w:pPr>
      <w:r>
        <w:rPr>
          <w:sz w:val="22"/>
          <w:szCs w:val="22"/>
        </w:rPr>
        <w:t xml:space="preserve">AUTOMATED HALF — Secrets scan: gitleaks + trufflehog + custom org pattern set. Zero high-severity findings allowed.</w:t>
      </w:r>
    </w:p>
    <w:p>
      <w:pPr>
        <w:pStyle w:val="ListParagraph"/>
        <w:numPr>
          <w:ilvl w:val="0"/>
          <w:numId w:val="2"/>
        </w:numPr>
        <w:spacing w:after="80"/>
      </w:pPr>
      <w:r>
        <w:rPr>
          <w:sz w:val="22"/>
          <w:szCs w:val="22"/>
        </w:rPr>
        <w:t xml:space="preserve">AUTOMATED HALF — SAST: Semgrep with the AI-rules pack (semgrep registry: 'p/llm-security' + custom rules for AI failure modes). Block on Error severity.</w:t>
      </w:r>
    </w:p>
    <w:p>
      <w:pPr>
        <w:pStyle w:val="ListParagraph"/>
        <w:numPr>
          <w:ilvl w:val="0"/>
          <w:numId w:val="2"/>
        </w:numPr>
        <w:spacing w:after="80"/>
      </w:pPr>
      <w:r>
        <w:rPr>
          <w:sz w:val="22"/>
          <w:szCs w:val="22"/>
        </w:rPr>
        <w:t xml:space="preserve">AUTOMATED HALF — Dependency scan: OSV-Scanner + Trivy fs. Block on High/Critical CVEs unless waived.</w:t>
      </w:r>
    </w:p>
    <w:p>
      <w:pPr>
        <w:pStyle w:val="ListParagraph"/>
        <w:numPr>
          <w:ilvl w:val="0"/>
          <w:numId w:val="2"/>
        </w:numPr>
        <w:spacing w:after="80"/>
      </w:pPr>
      <w:r>
        <w:rPr>
          <w:sz w:val="22"/>
          <w:szCs w:val="22"/>
        </w:rPr>
        <w:t xml:space="preserve">AUTOMATED HALF — Licence scan: FOSSA / ScanCode. Block on copyleft licences in commercially-distributed code unless waived.</w:t>
      </w:r>
    </w:p>
    <w:p>
      <w:pPr>
        <w:pStyle w:val="ListParagraph"/>
        <w:numPr>
          <w:ilvl w:val="0"/>
          <w:numId w:val="2"/>
        </w:numPr>
        <w:spacing w:after="80"/>
      </w:pPr>
      <w:r>
        <w:rPr>
          <w:sz w:val="22"/>
          <w:szCs w:val="22"/>
        </w:rPr>
        <w:t xml:space="preserve">AUTOMATED HALF — Container scan: Trivy image / Grype. Block on Critical OS-package CVEs.</w:t>
      </w:r>
    </w:p>
    <w:p>
      <w:pPr>
        <w:pStyle w:val="ListParagraph"/>
        <w:numPr>
          <w:ilvl w:val="0"/>
          <w:numId w:val="2"/>
        </w:numPr>
        <w:spacing w:after="80"/>
      </w:pPr>
      <w:r>
        <w:rPr>
          <w:sz w:val="22"/>
          <w:szCs w:val="22"/>
        </w:rPr>
        <w:t xml:space="preserve">AUTOMATED HALF — SBOM generation: Syft → CycloneDX format with AI/ML extension recording the foundation model used, prompt corpus version, agent dependencies. Pinned in OCI annotations.</w:t>
      </w:r>
    </w:p>
    <w:p>
      <w:pPr>
        <w:pStyle w:val="ListParagraph"/>
        <w:numPr>
          <w:ilvl w:val="0"/>
          <w:numId w:val="2"/>
        </w:numPr>
        <w:spacing w:after="80"/>
      </w:pPr>
      <w:r>
        <w:rPr>
          <w:sz w:val="22"/>
          <w:szCs w:val="22"/>
        </w:rPr>
        <w:t xml:space="preserve">AUTOMATED HALF — Provenance: build runs on a SLSA-compliant builder (GitHub Actions hosted runner with provenance attestation, or equivalent).</w:t>
      </w:r>
    </w:p>
    <w:p>
      <w:pPr>
        <w:pStyle w:val="ListParagraph"/>
        <w:numPr>
          <w:ilvl w:val="0"/>
          <w:numId w:val="2"/>
        </w:numPr>
        <w:spacing w:after="80"/>
      </w:pPr>
      <w:r>
        <w:rPr>
          <w:sz w:val="22"/>
          <w:szCs w:val="22"/>
        </w:rPr>
        <w:t xml:space="preserve">AUTOMATED HALF — Tests: unit + integration. Coverage threshold met. AI-generated tests pass-marked but inspected for false-pass patterns (assertions that don't actually assert).</w:t>
      </w:r>
    </w:p>
    <w:p>
      <w:pPr>
        <w:pStyle w:val="ListParagraph"/>
        <w:numPr>
          <w:ilvl w:val="0"/>
          <w:numId w:val="2"/>
        </w:numPr>
        <w:spacing w:after="80"/>
      </w:pPr>
      <w:r>
        <w:rPr>
          <w:sz w:val="22"/>
          <w:szCs w:val="22"/>
        </w:rPr>
        <w:t xml:space="preserve">HUMAN HALF — At least one named human peer reviewer must approve the PR. For changes greater than 50 lines of code, or for changes touching security-sensitive paths (auth, crypto, IAM, payments, IaC, .github/workflows), at least two reviewers including a senior engineer.</w:t>
      </w:r>
    </w:p>
    <w:p>
      <w:pPr>
        <w:pStyle w:val="ListParagraph"/>
        <w:numPr>
          <w:ilvl w:val="0"/>
          <w:numId w:val="2"/>
        </w:numPr>
        <w:spacing w:after="80"/>
      </w:pPr>
      <w:r>
        <w:rPr>
          <w:sz w:val="22"/>
          <w:szCs w:val="22"/>
        </w:rPr>
        <w:t xml:space="preserve">HUMAN HALF — CODEOWNERS approval is required for every affected path. The CODEOWNERS file is itself a protected path requiring senior approval to change.</w:t>
      </w:r>
    </w:p>
    <w:p>
      <w:pPr>
        <w:pStyle w:val="ListParagraph"/>
        <w:numPr>
          <w:ilvl w:val="0"/>
          <w:numId w:val="2"/>
        </w:numPr>
        <w:spacing w:after="80"/>
      </w:pPr>
      <w:r>
        <w:rPr>
          <w:sz w:val="22"/>
          <w:szCs w:val="22"/>
        </w:rPr>
        <w:t xml:space="preserve">HUMAN HALF — Branch protection on the main branch is configured to: require pull-request reviews; dismiss stale approvals on new commits; require approval from CODEOWNERS; require status checks to pass; restrict who can push; disable auto-merge for bot-authored PRs.</w:t>
      </w:r>
    </w:p>
    <w:p>
      <w:pPr>
        <w:pStyle w:val="ListParagraph"/>
        <w:numPr>
          <w:ilvl w:val="0"/>
          <w:numId w:val="2"/>
        </w:numPr>
        <w:spacing w:after="80"/>
      </w:pPr>
      <w:r>
        <w:rPr>
          <w:sz w:val="22"/>
          <w:szCs w:val="22"/>
        </w:rPr>
        <w:t xml:space="preserve">HUMAN HALF — AI-authored PRs (detected by the Co-Authored-By trailer) are flagged for senior reviewer regardless of size.</w:t>
      </w:r>
    </w:p>
    <w:p>
      <w:pPr>
        <w:pStyle w:val="ListParagraph"/>
        <w:numPr>
          <w:ilvl w:val="0"/>
          <w:numId w:val="2"/>
        </w:numPr>
        <w:spacing w:after="80"/>
      </w:pPr>
      <w:r>
        <w:rPr>
          <w:sz w:val="22"/>
          <w:szCs w:val="22"/>
        </w:rPr>
        <w:t xml:space="preserve">HUMAN HALF — The reviewer reads every changed line. Rubber-stamp approvals are a policy violation captured in the PR culture review.</w:t>
      </w:r>
    </w:p>
    <w:p>
      <w:pPr>
        <w:pStyle w:val="Heading3"/>
        <w:spacing w:after="100" w:before="200"/>
      </w:pPr>
      <w:r>
        <w:rPr>
          <w:b/>
          <w:bCs/>
          <w:color w:val="334155"/>
          <w:sz w:val="24"/>
          <w:szCs w:val="24"/>
        </w:rPr>
        <w:t xml:space="preserve">Exit criterion (hard gate)</w:t>
      </w:r>
    </w:p>
    <w:p>
      <w:pPr>
        <w:spacing w:after="120"/>
        <w:jc w:val="both"/>
      </w:pPr>
      <w:r>
        <w:rPr>
          <w:b/>
          <w:bCs/>
          <w:sz w:val="22"/>
          <w:szCs w:val="22"/>
        </w:rPr>
        <w:t xml:space="preserve">All CI checks green AND all required peer-review approvals recorded AND CODEOWNERS approvals recorded. Only then does branch protection allow the PR to merge to main.</w:t>
      </w:r>
    </w:p>
    <w:p>
      <w:pPr>
        <w:pStyle w:val="Heading3"/>
        <w:spacing w:after="100" w:before="200"/>
      </w:pPr>
      <w:r>
        <w:rPr>
          <w:b/>
          <w:bCs/>
          <w:color w:val="334155"/>
          <w:sz w:val="24"/>
          <w:szCs w:val="24"/>
        </w:rPr>
        <w:t xml:space="preserve">Sign-off form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BD5E1" w:sz="4"/>
              <w:left w:val="single" w:color="CBD5E1" w:sz="4"/>
              <w:bottom w:val="single" w:color="CBD5E1" w:sz="4"/>
              <w:right w:val="single" w:color="CBD5E1" w:sz="4"/>
            </w:tcBorders>
            <w:shd w:fill="0F172A" w:color="auto" w:val="clear"/>
            <w:tcMar>
              <w:top w:type="dxa" w:w="80"/>
              <w:left w:type="dxa" w:w="120"/>
              <w:bottom w:type="dxa" w:w="80"/>
              <w:right w:type="dxa" w:w="120"/>
            </w:tcMar>
          </w:tcPr>
          <w:p>
            <w:r>
              <w:rPr>
                <w:b/>
                <w:bCs/>
                <w:color w:val="FFFFFF"/>
                <w:sz w:val="20"/>
                <w:szCs w:val="20"/>
              </w:rPr>
              <w:t xml:space="preserve">Field</w:t>
            </w:r>
          </w:p>
        </w:tc>
        <w:tc>
          <w:tcPr>
            <w:tcW w:type="dxa" w:w="5040"/>
            <w:tcBorders>
              <w:top w:val="single" w:color="CBD5E1" w:sz="4"/>
              <w:left w:val="single" w:color="CBD5E1" w:sz="4"/>
              <w:bottom w:val="single" w:color="CBD5E1" w:sz="4"/>
              <w:right w:val="single" w:color="CBD5E1" w:sz="4"/>
            </w:tcBorders>
            <w:shd w:fill="0F172A" w:color="auto" w:val="clear"/>
            <w:tcMar>
              <w:top w:type="dxa" w:w="80"/>
              <w:left w:type="dxa" w:w="120"/>
              <w:bottom w:type="dxa" w:w="80"/>
              <w:right w:type="dxa" w:w="120"/>
            </w:tcMar>
          </w:tcPr>
          <w:p>
            <w:r>
              <w:rPr>
                <w:b/>
                <w:bCs/>
                <w:color w:val="FFFFFF"/>
                <w:sz w:val="20"/>
                <w:szCs w:val="20"/>
              </w:rPr>
              <w:t xml:space="preserve">Value</w:t>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Build run URL</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SBOM artefact URL</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SLSA provenance attestation URL</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All scans clean (Y/N)</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Peer reviewer name(s)</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CODEOWNERS approver(s)</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Reviewer count vs change size</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AI-authored flag (Y/N)</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Waivers + reasons</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Branch-protection policy ID</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Merge timestamp</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
            </w:r>
          </w:p>
        </w:tc>
      </w:tr>
    </w:tbl>
    <w:p>
      <w:r>
        <w:br w:type="page"/>
      </w:r>
    </w:p>
    <w:p>
      <w:pPr>
        <w:pStyle w:val="Heading1"/>
        <w:spacing w:after="160" w:before="320"/>
      </w:pPr>
      <w:r>
        <w:rPr>
          <w:b/>
          <w:bCs/>
          <w:color w:val="0F172A"/>
          <w:sz w:val="36"/>
          <w:szCs w:val="36"/>
        </w:rPr>
        <w:t xml:space="preserve">Stage 3.  Sandbox deploy</w:t>
      </w:r>
    </w:p>
    <w:p>
      <w:pPr>
        <w:pStyle w:val="Heading3"/>
        <w:spacing w:after="100" w:before="200"/>
      </w:pPr>
      <w:r>
        <w:rPr>
          <w:b/>
          <w:bCs/>
          <w:color w:val="334155"/>
          <w:sz w:val="24"/>
          <w:szCs w:val="24"/>
        </w:rPr>
        <w:t xml:space="preserve">Owner</w:t>
      </w:r>
    </w:p>
    <w:p>
      <w:pPr>
        <w:spacing w:after="120"/>
        <w:jc w:val="both"/>
      </w:pPr>
      <w:r>
        <w:rPr>
          <w:sz w:val="22"/>
          <w:szCs w:val="22"/>
        </w:rPr>
        <w:t xml:space="preserve">Platform Engineering. Sandbox tenant owner notified.</w:t>
      </w:r>
    </w:p>
    <w:p>
      <w:pPr>
        <w:pStyle w:val="Heading3"/>
        <w:spacing w:after="100" w:before="200"/>
      </w:pPr>
      <w:r>
        <w:rPr>
          <w:b/>
          <w:bCs/>
          <w:color w:val="334155"/>
          <w:sz w:val="24"/>
          <w:szCs w:val="24"/>
        </w:rPr>
        <w:t xml:space="preserve">Framework anchors</w:t>
      </w:r>
    </w:p>
    <w:p>
      <w:pPr>
        <w:spacing w:after="120"/>
        <w:jc w:val="both"/>
      </w:pPr>
      <w:r>
        <w:rPr>
          <w:sz w:val="22"/>
          <w:szCs w:val="22"/>
        </w:rPr>
        <w:t xml:space="preserve">NIST AI RMF MANAGE-1.3. ISO/IEC 42001 A.6.2.7. NCSC Secure AI — Secure Deployment.</w:t>
      </w:r>
    </w:p>
    <w:p>
      <w:pPr>
        <w:pStyle w:val="Heading3"/>
        <w:spacing w:after="100" w:before="200"/>
      </w:pPr>
      <w:r>
        <w:rPr>
          <w:b/>
          <w:bCs/>
          <w:color w:val="334155"/>
          <w:sz w:val="24"/>
          <w:szCs w:val="24"/>
        </w:rPr>
        <w:t xml:space="preserve">Activities</w:t>
      </w:r>
    </w:p>
    <w:p>
      <w:pPr>
        <w:pStyle w:val="ListParagraph"/>
        <w:numPr>
          <w:ilvl w:val="0"/>
          <w:numId w:val="2"/>
        </w:numPr>
        <w:spacing w:after="80"/>
      </w:pPr>
      <w:r>
        <w:rPr>
          <w:sz w:val="22"/>
          <w:szCs w:val="22"/>
        </w:rPr>
        <w:t xml:space="preserve">Deploy artefact to an isolated sandbox tenant. Two reference architectures shipped: Cloudflare Pages preview + Workers + Access (low-friction); self-hosted Docker Compose stack with OAuth proxy + Vector log shipping.</w:t>
      </w:r>
    </w:p>
    <w:p>
      <w:pPr>
        <w:pStyle w:val="ListParagraph"/>
        <w:numPr>
          <w:ilvl w:val="0"/>
          <w:numId w:val="2"/>
        </w:numPr>
        <w:spacing w:after="80"/>
      </w:pPr>
      <w:r>
        <w:rPr>
          <w:sz w:val="22"/>
          <w:szCs w:val="22"/>
        </w:rPr>
        <w:t xml:space="preserve">Sandbox carries no production data — synthetic data only, generated through the documented synthetic-data pipeline.</w:t>
      </w:r>
    </w:p>
    <w:p>
      <w:pPr>
        <w:pStyle w:val="ListParagraph"/>
        <w:numPr>
          <w:ilvl w:val="0"/>
          <w:numId w:val="2"/>
        </w:numPr>
        <w:spacing w:after="80"/>
      </w:pPr>
      <w:r>
        <w:rPr>
          <w:sz w:val="22"/>
          <w:szCs w:val="22"/>
        </w:rPr>
        <w:t xml:space="preserve">Sandbox network egress denies prod VPC ranges. Inbound only via Cloudflare Access / OAuth proxy; reviewer SSO group owns the URL.</w:t>
      </w:r>
    </w:p>
    <w:p>
      <w:pPr>
        <w:pStyle w:val="ListParagraph"/>
        <w:numPr>
          <w:ilvl w:val="0"/>
          <w:numId w:val="2"/>
        </w:numPr>
        <w:spacing w:after="80"/>
      </w:pPr>
      <w:r>
        <w:rPr>
          <w:sz w:val="22"/>
          <w:szCs w:val="22"/>
        </w:rPr>
        <w:t xml:space="preserve">Full request / response logging to the sandbox-segregated log stream. Forwarded to SIEM with sandbox tag.</w:t>
      </w:r>
    </w:p>
    <w:p>
      <w:pPr>
        <w:pStyle w:val="ListParagraph"/>
        <w:numPr>
          <w:ilvl w:val="0"/>
          <w:numId w:val="2"/>
        </w:numPr>
        <w:spacing w:after="80"/>
      </w:pPr>
      <w:r>
        <w:rPr>
          <w:sz w:val="22"/>
          <w:szCs w:val="22"/>
        </w:rPr>
        <w:t xml:space="preserve">Sandbox automatically tears down after 14 days unless the developer files a renewal ticket.</w:t>
      </w:r>
    </w:p>
    <w:p>
      <w:pPr>
        <w:pStyle w:val="ListParagraph"/>
        <w:numPr>
          <w:ilvl w:val="0"/>
          <w:numId w:val="2"/>
        </w:numPr>
        <w:spacing w:after="80"/>
      </w:pPr>
      <w:r>
        <w:rPr>
          <w:sz w:val="22"/>
          <w:szCs w:val="22"/>
        </w:rPr>
        <w:t xml:space="preserve">URL, log stream, and credentials posted to the security review queue.</w:t>
      </w:r>
    </w:p>
    <w:p>
      <w:pPr>
        <w:pStyle w:val="Heading3"/>
        <w:spacing w:after="100" w:before="200"/>
      </w:pPr>
      <w:r>
        <w:rPr>
          <w:b/>
          <w:bCs/>
          <w:color w:val="334155"/>
          <w:sz w:val="24"/>
          <w:szCs w:val="24"/>
        </w:rPr>
        <w:t xml:space="preserve">Exit criterion (hard gate)</w:t>
      </w:r>
    </w:p>
    <w:p>
      <w:pPr>
        <w:spacing w:after="120"/>
        <w:jc w:val="both"/>
      </w:pPr>
      <w:r>
        <w:rPr>
          <w:b/>
          <w:bCs/>
          <w:sz w:val="22"/>
          <w:szCs w:val="22"/>
        </w:rPr>
        <w:t xml:space="preserve">Sandbox URL is live, gated by SSO, logging confirmed, sandbox-owner ticket filed.</w:t>
      </w:r>
    </w:p>
    <w:p>
      <w:pPr>
        <w:pStyle w:val="Heading3"/>
        <w:spacing w:after="100" w:before="200"/>
      </w:pPr>
      <w:r>
        <w:rPr>
          <w:b/>
          <w:bCs/>
          <w:color w:val="334155"/>
          <w:sz w:val="24"/>
          <w:szCs w:val="24"/>
        </w:rPr>
        <w:t xml:space="preserve">Sign-off form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BD5E1" w:sz="4"/>
              <w:left w:val="single" w:color="CBD5E1" w:sz="4"/>
              <w:bottom w:val="single" w:color="CBD5E1" w:sz="4"/>
              <w:right w:val="single" w:color="CBD5E1" w:sz="4"/>
            </w:tcBorders>
            <w:shd w:fill="0F172A" w:color="auto" w:val="clear"/>
            <w:tcMar>
              <w:top w:type="dxa" w:w="80"/>
              <w:left w:type="dxa" w:w="120"/>
              <w:bottom w:type="dxa" w:w="80"/>
              <w:right w:type="dxa" w:w="120"/>
            </w:tcMar>
          </w:tcPr>
          <w:p>
            <w:r>
              <w:rPr>
                <w:b/>
                <w:bCs/>
                <w:color w:val="FFFFFF"/>
                <w:sz w:val="20"/>
                <w:szCs w:val="20"/>
              </w:rPr>
              <w:t xml:space="preserve">Field</w:t>
            </w:r>
          </w:p>
        </w:tc>
        <w:tc>
          <w:tcPr>
            <w:tcW w:type="dxa" w:w="5040"/>
            <w:tcBorders>
              <w:top w:val="single" w:color="CBD5E1" w:sz="4"/>
              <w:left w:val="single" w:color="CBD5E1" w:sz="4"/>
              <w:bottom w:val="single" w:color="CBD5E1" w:sz="4"/>
              <w:right w:val="single" w:color="CBD5E1" w:sz="4"/>
            </w:tcBorders>
            <w:shd w:fill="0F172A" w:color="auto" w:val="clear"/>
            <w:tcMar>
              <w:top w:type="dxa" w:w="80"/>
              <w:left w:type="dxa" w:w="120"/>
              <w:bottom w:type="dxa" w:w="80"/>
              <w:right w:type="dxa" w:w="120"/>
            </w:tcMar>
          </w:tcPr>
          <w:p>
            <w:r>
              <w:rPr>
                <w:b/>
                <w:bCs/>
                <w:color w:val="FFFFFF"/>
                <w:sz w:val="20"/>
                <w:szCs w:val="20"/>
              </w:rPr>
              <w:t xml:space="preserve">Value</w:t>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Sandbox URL</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Tenant ID</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Reviewer SSO group</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Synthetic data pipeline run ID</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Log stream identifier</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Auto-expiry date</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Deployed by</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Timestamp</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
            </w:r>
          </w:p>
        </w:tc>
      </w:tr>
    </w:tbl>
    <w:p>
      <w:r>
        <w:br w:type="page"/>
      </w:r>
    </w:p>
    <w:p>
      <w:pPr>
        <w:pStyle w:val="Heading1"/>
        <w:spacing w:after="160" w:before="320"/>
      </w:pPr>
      <w:r>
        <w:rPr>
          <w:b/>
          <w:bCs/>
          <w:color w:val="0F172A"/>
          <w:sz w:val="36"/>
          <w:szCs w:val="36"/>
        </w:rPr>
        <w:t xml:space="preserve">Stage 4.  Security review</w:t>
      </w:r>
    </w:p>
    <w:p>
      <w:pPr>
        <w:pStyle w:val="Heading3"/>
        <w:spacing w:after="100" w:before="200"/>
      </w:pPr>
      <w:r>
        <w:rPr>
          <w:b/>
          <w:bCs/>
          <w:color w:val="334155"/>
          <w:sz w:val="24"/>
          <w:szCs w:val="24"/>
        </w:rPr>
        <w:t xml:space="preserve">Owner</w:t>
      </w:r>
    </w:p>
    <w:p>
      <w:pPr>
        <w:spacing w:after="120"/>
        <w:jc w:val="both"/>
      </w:pPr>
      <w:r>
        <w:rPr>
          <w:sz w:val="22"/>
          <w:szCs w:val="22"/>
        </w:rPr>
        <w:t xml:space="preserve">Security Engineering (named reviewer). Escalates to the AppSec lead for High/Critical findings.</w:t>
      </w:r>
    </w:p>
    <w:p>
      <w:pPr>
        <w:pStyle w:val="Heading3"/>
        <w:spacing w:after="100" w:before="200"/>
      </w:pPr>
      <w:r>
        <w:rPr>
          <w:b/>
          <w:bCs/>
          <w:color w:val="334155"/>
          <w:sz w:val="24"/>
          <w:szCs w:val="24"/>
        </w:rPr>
        <w:t xml:space="preserve">Framework anchors</w:t>
      </w:r>
    </w:p>
    <w:p>
      <w:pPr>
        <w:spacing w:after="120"/>
        <w:jc w:val="both"/>
      </w:pPr>
      <w:r>
        <w:rPr>
          <w:sz w:val="22"/>
          <w:szCs w:val="22"/>
        </w:rPr>
        <w:t xml:space="preserve">NIST SSDF RV.1, RV.2. OWASP LLM Top 10 (full coverage). OWASP ML Top 10. CWE Top 25. NCSC / CISA Secure AI Development guidelines (Nov 2023).</w:t>
      </w:r>
    </w:p>
    <w:p>
      <w:pPr>
        <w:pStyle w:val="Heading3"/>
        <w:spacing w:after="100" w:before="200"/>
      </w:pPr>
      <w:r>
        <w:rPr>
          <w:b/>
          <w:bCs/>
          <w:color w:val="334155"/>
          <w:sz w:val="24"/>
          <w:szCs w:val="24"/>
        </w:rPr>
        <w:t xml:space="preserve">Activities</w:t>
      </w:r>
    </w:p>
    <w:p>
      <w:pPr>
        <w:pStyle w:val="ListParagraph"/>
        <w:numPr>
          <w:ilvl w:val="0"/>
          <w:numId w:val="2"/>
        </w:numPr>
        <w:spacing w:after="80"/>
      </w:pPr>
      <w:r>
        <w:rPr>
          <w:sz w:val="22"/>
          <w:szCs w:val="22"/>
        </w:rPr>
        <w:t xml:space="preserve">Reviewer runs the AI Code Review Checklist — see the companion document. Every section either passed or noted as findings.</w:t>
      </w:r>
    </w:p>
    <w:p>
      <w:pPr>
        <w:pStyle w:val="ListParagraph"/>
        <w:numPr>
          <w:ilvl w:val="0"/>
          <w:numId w:val="2"/>
        </w:numPr>
        <w:spacing w:after="80"/>
      </w:pPr>
      <w:r>
        <w:rPr>
          <w:sz w:val="22"/>
          <w:szCs w:val="22"/>
        </w:rPr>
        <w:t xml:space="preserve">Reviewer pen-tests the sandbox URL: auth bypass, SSRF, IDOR, prompt-injection (if the app exposes an LLM surface), excessive agency on any agent endpoints.</w:t>
      </w:r>
    </w:p>
    <w:p>
      <w:pPr>
        <w:pStyle w:val="ListParagraph"/>
        <w:numPr>
          <w:ilvl w:val="0"/>
          <w:numId w:val="2"/>
        </w:numPr>
        <w:spacing w:after="80"/>
      </w:pPr>
      <w:r>
        <w:rPr>
          <w:sz w:val="22"/>
          <w:szCs w:val="22"/>
        </w:rPr>
        <w:t xml:space="preserve">Reviewer inspects the SBOM, SLSA provenance, and signed artefacts. Verifies signature with cosign.</w:t>
      </w:r>
    </w:p>
    <w:p>
      <w:pPr>
        <w:pStyle w:val="ListParagraph"/>
        <w:numPr>
          <w:ilvl w:val="0"/>
          <w:numId w:val="2"/>
        </w:numPr>
        <w:spacing w:after="80"/>
      </w:pPr>
      <w:r>
        <w:rPr>
          <w:sz w:val="22"/>
          <w:szCs w:val="22"/>
        </w:rPr>
        <w:t xml:space="preserve">Findings raised via the standard issue tracker tied to the PR. High/Critical findings either closed or formally risk-accepted by an authorised owner before sign-off.</w:t>
      </w:r>
    </w:p>
    <w:p>
      <w:pPr>
        <w:pStyle w:val="ListParagraph"/>
        <w:numPr>
          <w:ilvl w:val="0"/>
          <w:numId w:val="2"/>
        </w:numPr>
        <w:spacing w:after="80"/>
      </w:pPr>
      <w:r>
        <w:rPr>
          <w:sz w:val="22"/>
          <w:szCs w:val="22"/>
        </w:rPr>
        <w:t xml:space="preserve">Reviewer writes a one-paragraph 'why this is safe' summary for the Decision Log.</w:t>
      </w:r>
    </w:p>
    <w:p>
      <w:pPr>
        <w:pStyle w:val="Heading3"/>
        <w:spacing w:after="100" w:before="200"/>
      </w:pPr>
      <w:r>
        <w:rPr>
          <w:b/>
          <w:bCs/>
          <w:color w:val="334155"/>
          <w:sz w:val="24"/>
          <w:szCs w:val="24"/>
        </w:rPr>
        <w:t xml:space="preserve">Exit criterion (hard gate)</w:t>
      </w:r>
    </w:p>
    <w:p>
      <w:pPr>
        <w:spacing w:after="120"/>
        <w:jc w:val="both"/>
      </w:pPr>
      <w:r>
        <w:rPr>
          <w:b/>
          <w:bCs/>
          <w:sz w:val="22"/>
          <w:szCs w:val="22"/>
        </w:rPr>
        <w:t xml:space="preserve">Checklist completed; all High/Critical findings closed or risk-accepted.</w:t>
      </w:r>
    </w:p>
    <w:p>
      <w:pPr>
        <w:pStyle w:val="Heading3"/>
        <w:spacing w:after="100" w:before="200"/>
      </w:pPr>
      <w:r>
        <w:rPr>
          <w:b/>
          <w:bCs/>
          <w:color w:val="334155"/>
          <w:sz w:val="24"/>
          <w:szCs w:val="24"/>
        </w:rPr>
        <w:t xml:space="preserve">Sign-off form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BD5E1" w:sz="4"/>
              <w:left w:val="single" w:color="CBD5E1" w:sz="4"/>
              <w:bottom w:val="single" w:color="CBD5E1" w:sz="4"/>
              <w:right w:val="single" w:color="CBD5E1" w:sz="4"/>
            </w:tcBorders>
            <w:shd w:fill="0F172A" w:color="auto" w:val="clear"/>
            <w:tcMar>
              <w:top w:type="dxa" w:w="80"/>
              <w:left w:type="dxa" w:w="120"/>
              <w:bottom w:type="dxa" w:w="80"/>
              <w:right w:type="dxa" w:w="120"/>
            </w:tcMar>
          </w:tcPr>
          <w:p>
            <w:r>
              <w:rPr>
                <w:b/>
                <w:bCs/>
                <w:color w:val="FFFFFF"/>
                <w:sz w:val="20"/>
                <w:szCs w:val="20"/>
              </w:rPr>
              <w:t xml:space="preserve">Field</w:t>
            </w:r>
          </w:p>
        </w:tc>
        <w:tc>
          <w:tcPr>
            <w:tcW w:type="dxa" w:w="5040"/>
            <w:tcBorders>
              <w:top w:val="single" w:color="CBD5E1" w:sz="4"/>
              <w:left w:val="single" w:color="CBD5E1" w:sz="4"/>
              <w:bottom w:val="single" w:color="CBD5E1" w:sz="4"/>
              <w:right w:val="single" w:color="CBD5E1" w:sz="4"/>
            </w:tcBorders>
            <w:shd w:fill="0F172A" w:color="auto" w:val="clear"/>
            <w:tcMar>
              <w:top w:type="dxa" w:w="80"/>
              <w:left w:type="dxa" w:w="120"/>
              <w:bottom w:type="dxa" w:w="80"/>
              <w:right w:type="dxa" w:w="120"/>
            </w:tcMar>
          </w:tcPr>
          <w:p>
            <w:r>
              <w:rPr>
                <w:b/>
                <w:bCs/>
                <w:color w:val="FFFFFF"/>
                <w:sz w:val="20"/>
                <w:szCs w:val="20"/>
              </w:rPr>
              <w:t xml:space="preserve">Value</w:t>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Reviewer name</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Checklist version applied</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Findings raised (count)</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High/Critical findings count</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Risk acceptances + owner</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Reviewer summary</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Sign-off date</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
            </w:r>
          </w:p>
        </w:tc>
      </w:tr>
    </w:tbl>
    <w:p>
      <w:r>
        <w:br w:type="page"/>
      </w:r>
    </w:p>
    <w:p>
      <w:pPr>
        <w:pStyle w:val="Heading1"/>
        <w:spacing w:after="160" w:before="320"/>
      </w:pPr>
      <w:r>
        <w:rPr>
          <w:b/>
          <w:bCs/>
          <w:color w:val="0F172A"/>
          <w:sz w:val="36"/>
          <w:szCs w:val="36"/>
        </w:rPr>
        <w:t xml:space="preserve">Stage 5.  Promotion sign-off</w:t>
      </w:r>
    </w:p>
    <w:p>
      <w:pPr>
        <w:pStyle w:val="Heading3"/>
        <w:spacing w:after="100" w:before="200"/>
      </w:pPr>
      <w:r>
        <w:rPr>
          <w:b/>
          <w:bCs/>
          <w:color w:val="334155"/>
          <w:sz w:val="24"/>
          <w:szCs w:val="24"/>
        </w:rPr>
        <w:t xml:space="preserve">Owner</w:t>
      </w:r>
    </w:p>
    <w:p>
      <w:pPr>
        <w:spacing w:after="120"/>
        <w:jc w:val="both"/>
      </w:pPr>
      <w:r>
        <w:rPr>
          <w:sz w:val="22"/>
          <w:szCs w:val="22"/>
        </w:rPr>
        <w:t xml:space="preserve">Security Manager + Product Manager + Engineering Manager (three signatures).</w:t>
      </w:r>
    </w:p>
    <w:p>
      <w:pPr>
        <w:pStyle w:val="Heading3"/>
        <w:spacing w:after="100" w:before="200"/>
      </w:pPr>
      <w:r>
        <w:rPr>
          <w:b/>
          <w:bCs/>
          <w:color w:val="334155"/>
          <w:sz w:val="24"/>
          <w:szCs w:val="24"/>
        </w:rPr>
        <w:t xml:space="preserve">Framework anchors</w:t>
      </w:r>
    </w:p>
    <w:p>
      <w:pPr>
        <w:spacing w:after="120"/>
        <w:jc w:val="both"/>
      </w:pPr>
      <w:r>
        <w:rPr>
          <w:sz w:val="22"/>
          <w:szCs w:val="22"/>
        </w:rPr>
        <w:t xml:space="preserve">NIST AI RMF GOVERN-1.1. ISO/IEC 42001 A.5.2. SLSA L3 verification at admission.</w:t>
      </w:r>
    </w:p>
    <w:p>
      <w:pPr>
        <w:pStyle w:val="Heading3"/>
        <w:spacing w:after="100" w:before="200"/>
      </w:pPr>
      <w:r>
        <w:rPr>
          <w:b/>
          <w:bCs/>
          <w:color w:val="334155"/>
          <w:sz w:val="24"/>
          <w:szCs w:val="24"/>
        </w:rPr>
        <w:t xml:space="preserve">Activities</w:t>
      </w:r>
    </w:p>
    <w:p>
      <w:pPr>
        <w:pStyle w:val="ListParagraph"/>
        <w:numPr>
          <w:ilvl w:val="0"/>
          <w:numId w:val="2"/>
        </w:numPr>
        <w:spacing w:after="80"/>
      </w:pPr>
      <w:r>
        <w:rPr>
          <w:sz w:val="22"/>
          <w:szCs w:val="22"/>
        </w:rPr>
        <w:t xml:space="preserve">Decision Log entry created. Evidence pack attached (CI run URL, SBOM, SLSA provenance, sandbox URL, security review checklist, reviewer summary).</w:t>
      </w:r>
    </w:p>
    <w:p>
      <w:pPr>
        <w:pStyle w:val="ListParagraph"/>
        <w:numPr>
          <w:ilvl w:val="0"/>
          <w:numId w:val="2"/>
        </w:numPr>
        <w:spacing w:after="80"/>
      </w:pPr>
      <w:r>
        <w:rPr>
          <w:sz w:val="22"/>
          <w:szCs w:val="22"/>
        </w:rPr>
        <w:t xml:space="preserve">Three named approvers sign the Decision Log row. Promotion is blocked without all three.</w:t>
      </w:r>
    </w:p>
    <w:p>
      <w:pPr>
        <w:pStyle w:val="ListParagraph"/>
        <w:numPr>
          <w:ilvl w:val="0"/>
          <w:numId w:val="2"/>
        </w:numPr>
        <w:spacing w:after="80"/>
      </w:pPr>
      <w:r>
        <w:rPr>
          <w:sz w:val="22"/>
          <w:szCs w:val="22"/>
        </w:rPr>
        <w:t xml:space="preserve">Approvers verify the promotion does not violate any organisational risk threshold (e.g. AI tool processing personal data without DPIA — auto-flag).</w:t>
      </w:r>
    </w:p>
    <w:p>
      <w:pPr>
        <w:pStyle w:val="ListParagraph"/>
        <w:numPr>
          <w:ilvl w:val="0"/>
          <w:numId w:val="2"/>
        </w:numPr>
        <w:spacing w:after="80"/>
      </w:pPr>
      <w:r>
        <w:rPr>
          <w:sz w:val="22"/>
          <w:szCs w:val="22"/>
        </w:rPr>
        <w:t xml:space="preserve">Expiry date set on the approval (default 12 months). Re-promotion required if the AI tool / model is materially upgraded.</w:t>
      </w:r>
    </w:p>
    <w:p>
      <w:pPr>
        <w:pStyle w:val="ListParagraph"/>
        <w:numPr>
          <w:ilvl w:val="0"/>
          <w:numId w:val="2"/>
        </w:numPr>
        <w:spacing w:after="80"/>
      </w:pPr>
      <w:r>
        <w:rPr>
          <w:sz w:val="22"/>
          <w:szCs w:val="22"/>
        </w:rPr>
        <w:t xml:space="preserve">Production admission controller (Kyverno / OPA Gatekeeper / Sigstore policy-controller) configured by the platform team to verify the cosign signature on the artefact before allowing deploy. (Admission-controller manifests are not shipped with this kit — they live in your platform repo.)</w:t>
      </w:r>
    </w:p>
    <w:p>
      <w:pPr>
        <w:pStyle w:val="Heading3"/>
        <w:spacing w:after="100" w:before="200"/>
      </w:pPr>
      <w:r>
        <w:rPr>
          <w:b/>
          <w:bCs/>
          <w:color w:val="334155"/>
          <w:sz w:val="24"/>
          <w:szCs w:val="24"/>
        </w:rPr>
        <w:t xml:space="preserve">Exit criterion (hard gate)</w:t>
      </w:r>
    </w:p>
    <w:p>
      <w:pPr>
        <w:spacing w:after="120"/>
        <w:jc w:val="both"/>
      </w:pPr>
      <w:r>
        <w:rPr>
          <w:b/>
          <w:bCs/>
          <w:sz w:val="22"/>
          <w:szCs w:val="22"/>
        </w:rPr>
        <w:t xml:space="preserve">Decision Log row signed by all three approvers; expiry date set.</w:t>
      </w:r>
    </w:p>
    <w:p>
      <w:pPr>
        <w:pStyle w:val="Heading3"/>
        <w:spacing w:after="100" w:before="200"/>
      </w:pPr>
      <w:r>
        <w:rPr>
          <w:b/>
          <w:bCs/>
          <w:color w:val="334155"/>
          <w:sz w:val="24"/>
          <w:szCs w:val="24"/>
        </w:rPr>
        <w:t xml:space="preserve">Sign-off form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BD5E1" w:sz="4"/>
              <w:left w:val="single" w:color="CBD5E1" w:sz="4"/>
              <w:bottom w:val="single" w:color="CBD5E1" w:sz="4"/>
              <w:right w:val="single" w:color="CBD5E1" w:sz="4"/>
            </w:tcBorders>
            <w:shd w:fill="0F172A" w:color="auto" w:val="clear"/>
            <w:tcMar>
              <w:top w:type="dxa" w:w="80"/>
              <w:left w:type="dxa" w:w="120"/>
              <w:bottom w:type="dxa" w:w="80"/>
              <w:right w:type="dxa" w:w="120"/>
            </w:tcMar>
          </w:tcPr>
          <w:p>
            <w:r>
              <w:rPr>
                <w:b/>
                <w:bCs/>
                <w:color w:val="FFFFFF"/>
                <w:sz w:val="20"/>
                <w:szCs w:val="20"/>
              </w:rPr>
              <w:t xml:space="preserve">Field</w:t>
            </w:r>
          </w:p>
        </w:tc>
        <w:tc>
          <w:tcPr>
            <w:tcW w:type="dxa" w:w="5040"/>
            <w:tcBorders>
              <w:top w:val="single" w:color="CBD5E1" w:sz="4"/>
              <w:left w:val="single" w:color="CBD5E1" w:sz="4"/>
              <w:bottom w:val="single" w:color="CBD5E1" w:sz="4"/>
              <w:right w:val="single" w:color="CBD5E1" w:sz="4"/>
            </w:tcBorders>
            <w:shd w:fill="0F172A" w:color="auto" w:val="clear"/>
            <w:tcMar>
              <w:top w:type="dxa" w:w="80"/>
              <w:left w:type="dxa" w:w="120"/>
              <w:bottom w:type="dxa" w:w="80"/>
              <w:right w:type="dxa" w:w="120"/>
            </w:tcMar>
          </w:tcPr>
          <w:p>
            <w:r>
              <w:rPr>
                <w:b/>
                <w:bCs/>
                <w:color w:val="FFFFFF"/>
                <w:sz w:val="20"/>
                <w:szCs w:val="20"/>
              </w:rPr>
              <w:t xml:space="preserve">Value</w:t>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Decision Log row ID</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Security Manager (signature)</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Product Manager (signature)</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Engineering Manager (signature)</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Approval expiry date</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Risk acceptances inherited</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Date</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
            </w:r>
          </w:p>
        </w:tc>
      </w:tr>
    </w:tbl>
    <w:p>
      <w:r>
        <w:br w:type="page"/>
      </w:r>
    </w:p>
    <w:p>
      <w:pPr>
        <w:pStyle w:val="Heading1"/>
        <w:spacing w:after="160" w:before="320"/>
      </w:pPr>
      <w:r>
        <w:rPr>
          <w:b/>
          <w:bCs/>
          <w:color w:val="0F172A"/>
          <w:sz w:val="36"/>
          <w:szCs w:val="36"/>
        </w:rPr>
        <w:t xml:space="preserve">Stage 6.  Production deploy</w:t>
      </w:r>
    </w:p>
    <w:p>
      <w:pPr>
        <w:pStyle w:val="Heading3"/>
        <w:spacing w:after="100" w:before="200"/>
      </w:pPr>
      <w:r>
        <w:rPr>
          <w:b/>
          <w:bCs/>
          <w:color w:val="334155"/>
          <w:sz w:val="24"/>
          <w:szCs w:val="24"/>
        </w:rPr>
        <w:t xml:space="preserve">Owner</w:t>
      </w:r>
    </w:p>
    <w:p>
      <w:pPr>
        <w:spacing w:after="120"/>
        <w:jc w:val="both"/>
      </w:pPr>
      <w:r>
        <w:rPr>
          <w:sz w:val="22"/>
          <w:szCs w:val="22"/>
        </w:rPr>
        <w:t xml:space="preserve">SRE / Platform. Oncall on receipt of handover.</w:t>
      </w:r>
    </w:p>
    <w:p>
      <w:pPr>
        <w:pStyle w:val="Heading3"/>
        <w:spacing w:after="100" w:before="200"/>
      </w:pPr>
      <w:r>
        <w:rPr>
          <w:b/>
          <w:bCs/>
          <w:color w:val="334155"/>
          <w:sz w:val="24"/>
          <w:szCs w:val="24"/>
        </w:rPr>
        <w:t xml:space="preserve">Framework anchors</w:t>
      </w:r>
    </w:p>
    <w:p>
      <w:pPr>
        <w:spacing w:after="120"/>
        <w:jc w:val="both"/>
      </w:pPr>
      <w:r>
        <w:rPr>
          <w:sz w:val="22"/>
          <w:szCs w:val="22"/>
        </w:rPr>
        <w:t xml:space="preserve">NIST CSF DE.CM-01. ISO/IEC 42001 A.9.4. NCSC Secure AI — Operation.</w:t>
      </w:r>
    </w:p>
    <w:p>
      <w:pPr>
        <w:pStyle w:val="Heading3"/>
        <w:spacing w:after="100" w:before="200"/>
      </w:pPr>
      <w:r>
        <w:rPr>
          <w:b/>
          <w:bCs/>
          <w:color w:val="334155"/>
          <w:sz w:val="24"/>
          <w:szCs w:val="24"/>
        </w:rPr>
        <w:t xml:space="preserve">Activities</w:t>
      </w:r>
    </w:p>
    <w:p>
      <w:pPr>
        <w:pStyle w:val="ListParagraph"/>
        <w:numPr>
          <w:ilvl w:val="0"/>
          <w:numId w:val="2"/>
        </w:numPr>
        <w:spacing w:after="80"/>
      </w:pPr>
      <w:r>
        <w:rPr>
          <w:sz w:val="22"/>
          <w:szCs w:val="22"/>
        </w:rPr>
        <w:t xml:space="preserve">Canary stages: 1% → 10% → 50% → 100%. Each stage waits for SLO / error-rate / saturation signals to confirm health.</w:t>
      </w:r>
    </w:p>
    <w:p>
      <w:pPr>
        <w:pStyle w:val="ListParagraph"/>
        <w:numPr>
          <w:ilvl w:val="0"/>
          <w:numId w:val="2"/>
        </w:numPr>
        <w:spacing w:after="80"/>
      </w:pPr>
      <w:r>
        <w:rPr>
          <w:sz w:val="22"/>
          <w:szCs w:val="22"/>
        </w:rPr>
        <w:t xml:space="preserve">Auto-rollback triggers configured in the deployment platform on the signals that fit the workload (typical: 5xx rate, p95 latency, custom AI-quality KPI). The triggers are not pre-bundled with this kit — wire them up to your platform of choice.</w:t>
      </w:r>
    </w:p>
    <w:p>
      <w:pPr>
        <w:pStyle w:val="ListParagraph"/>
        <w:numPr>
          <w:ilvl w:val="0"/>
          <w:numId w:val="2"/>
        </w:numPr>
        <w:spacing w:after="80"/>
      </w:pPr>
      <w:r>
        <w:rPr>
          <w:sz w:val="22"/>
          <w:szCs w:val="22"/>
        </w:rPr>
        <w:t xml:space="preserve">Observability: traces + metrics + logs flowing to the production observability platform with the AI-app tag.</w:t>
      </w:r>
    </w:p>
    <w:p>
      <w:pPr>
        <w:pStyle w:val="ListParagraph"/>
        <w:numPr>
          <w:ilvl w:val="0"/>
          <w:numId w:val="2"/>
        </w:numPr>
        <w:spacing w:after="80"/>
      </w:pPr>
      <w:r>
        <w:rPr>
          <w:sz w:val="22"/>
          <w:szCs w:val="22"/>
        </w:rPr>
        <w:t xml:space="preserve">On-call runbook updated. Oncall is briefed via the standard handover.</w:t>
      </w:r>
    </w:p>
    <w:p>
      <w:pPr>
        <w:pStyle w:val="ListParagraph"/>
        <w:numPr>
          <w:ilvl w:val="0"/>
          <w:numId w:val="2"/>
        </w:numPr>
        <w:spacing w:after="80"/>
      </w:pPr>
      <w:r>
        <w:rPr>
          <w:sz w:val="22"/>
          <w:szCs w:val="22"/>
        </w:rPr>
        <w:t xml:space="preserve">Post-deploy review at 24h and 7d: KPIs nominal, no incidents, no regressions in user-impact metrics.</w:t>
      </w:r>
    </w:p>
    <w:p>
      <w:pPr>
        <w:pStyle w:val="ListParagraph"/>
        <w:numPr>
          <w:ilvl w:val="0"/>
          <w:numId w:val="2"/>
        </w:numPr>
        <w:spacing w:after="80"/>
      </w:pPr>
      <w:r>
        <w:rPr>
          <w:sz w:val="22"/>
          <w:szCs w:val="22"/>
        </w:rPr>
        <w:t xml:space="preserve">Re-evaluate at 90 days for AI-specific drift (e.g. model behaviour change, dependency drift, new vulnerabilities).</w:t>
      </w:r>
    </w:p>
    <w:p>
      <w:pPr>
        <w:pStyle w:val="Heading3"/>
        <w:spacing w:after="100" w:before="200"/>
      </w:pPr>
      <w:r>
        <w:rPr>
          <w:b/>
          <w:bCs/>
          <w:color w:val="334155"/>
          <w:sz w:val="24"/>
          <w:szCs w:val="24"/>
        </w:rPr>
        <w:t xml:space="preserve">Exit criterion (hard gate)</w:t>
      </w:r>
    </w:p>
    <w:p>
      <w:pPr>
        <w:spacing w:after="120"/>
        <w:jc w:val="both"/>
      </w:pPr>
      <w:r>
        <w:rPr>
          <w:b/>
          <w:bCs/>
          <w:sz w:val="22"/>
          <w:szCs w:val="22"/>
        </w:rPr>
        <w:t xml:space="preserve">Post-deploy review filed; oncall confirms ownership; promotion record closed.</w:t>
      </w:r>
    </w:p>
    <w:p>
      <w:pPr>
        <w:pStyle w:val="Heading3"/>
        <w:spacing w:after="100" w:before="200"/>
      </w:pPr>
      <w:r>
        <w:rPr>
          <w:b/>
          <w:bCs/>
          <w:color w:val="334155"/>
          <w:sz w:val="24"/>
          <w:szCs w:val="24"/>
        </w:rPr>
        <w:t xml:space="preserve">Sign-off form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BD5E1" w:sz="4"/>
              <w:left w:val="single" w:color="CBD5E1" w:sz="4"/>
              <w:bottom w:val="single" w:color="CBD5E1" w:sz="4"/>
              <w:right w:val="single" w:color="CBD5E1" w:sz="4"/>
            </w:tcBorders>
            <w:shd w:fill="0F172A" w:color="auto" w:val="clear"/>
            <w:tcMar>
              <w:top w:type="dxa" w:w="80"/>
              <w:left w:type="dxa" w:w="120"/>
              <w:bottom w:type="dxa" w:w="80"/>
              <w:right w:type="dxa" w:w="120"/>
            </w:tcMar>
          </w:tcPr>
          <w:p>
            <w:r>
              <w:rPr>
                <w:b/>
                <w:bCs/>
                <w:color w:val="FFFFFF"/>
                <w:sz w:val="20"/>
                <w:szCs w:val="20"/>
              </w:rPr>
              <w:t xml:space="preserve">Field</w:t>
            </w:r>
          </w:p>
        </w:tc>
        <w:tc>
          <w:tcPr>
            <w:tcW w:type="dxa" w:w="5040"/>
            <w:tcBorders>
              <w:top w:val="single" w:color="CBD5E1" w:sz="4"/>
              <w:left w:val="single" w:color="CBD5E1" w:sz="4"/>
              <w:bottom w:val="single" w:color="CBD5E1" w:sz="4"/>
              <w:right w:val="single" w:color="CBD5E1" w:sz="4"/>
            </w:tcBorders>
            <w:shd w:fill="0F172A" w:color="auto" w:val="clear"/>
            <w:tcMar>
              <w:top w:type="dxa" w:w="80"/>
              <w:left w:type="dxa" w:w="120"/>
              <w:bottom w:type="dxa" w:w="80"/>
              <w:right w:type="dxa" w:w="120"/>
            </w:tcMar>
          </w:tcPr>
          <w:p>
            <w:r>
              <w:rPr>
                <w:b/>
                <w:bCs/>
                <w:color w:val="FFFFFF"/>
                <w:sz w:val="20"/>
                <w:szCs w:val="20"/>
              </w:rPr>
              <w:t xml:space="preserve">Value</w:t>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Production URL</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Canary completion timestamp</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Auto-rollback triggered? (Y/N)</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Oncall briefed by</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24h review status</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7d review status</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Next 90d re-evaluation date</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
            </w:r>
          </w:p>
        </w:tc>
      </w:tr>
    </w:tbl>
    <w:p>
      <w:r>
        <w:br w:type="page"/>
      </w:r>
    </w:p>
    <w:p>
      <w:pPr>
        <w:pStyle w:val="Heading1"/>
        <w:spacing w:after="160" w:before="320"/>
      </w:pPr>
      <w:r>
        <w:rPr>
          <w:b/>
          <w:bCs/>
          <w:color w:val="0F172A"/>
          <w:sz w:val="36"/>
          <w:szCs w:val="36"/>
        </w:rPr>
        <w:t xml:space="preserve">Appendix A — Required tooling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BD5E1" w:sz="4"/>
              <w:left w:val="single" w:color="CBD5E1" w:sz="4"/>
              <w:bottom w:val="single" w:color="CBD5E1" w:sz="4"/>
              <w:right w:val="single" w:color="CBD5E1" w:sz="4"/>
            </w:tcBorders>
            <w:shd w:fill="0F172A" w:color="auto" w:val="clear"/>
            <w:tcMar>
              <w:top w:type="dxa" w:w="80"/>
              <w:left w:type="dxa" w:w="120"/>
              <w:bottom w:type="dxa" w:w="80"/>
              <w:right w:type="dxa" w:w="120"/>
            </w:tcMar>
          </w:tcPr>
          <w:p>
            <w:r>
              <w:rPr>
                <w:b/>
                <w:bCs/>
                <w:color w:val="FFFFFF"/>
                <w:sz w:val="20"/>
                <w:szCs w:val="20"/>
              </w:rPr>
              <w:t xml:space="preserve">Capability</w:t>
            </w:r>
          </w:p>
        </w:tc>
        <w:tc>
          <w:tcPr>
            <w:tcW w:type="dxa" w:w="3360"/>
            <w:tcBorders>
              <w:top w:val="single" w:color="CBD5E1" w:sz="4"/>
              <w:left w:val="single" w:color="CBD5E1" w:sz="4"/>
              <w:bottom w:val="single" w:color="CBD5E1" w:sz="4"/>
              <w:right w:val="single" w:color="CBD5E1" w:sz="4"/>
            </w:tcBorders>
            <w:shd w:fill="0F172A" w:color="auto" w:val="clear"/>
            <w:tcMar>
              <w:top w:type="dxa" w:w="80"/>
              <w:left w:type="dxa" w:w="120"/>
              <w:bottom w:type="dxa" w:w="80"/>
              <w:right w:type="dxa" w:w="120"/>
            </w:tcMar>
          </w:tcPr>
          <w:p>
            <w:r>
              <w:rPr>
                <w:b/>
                <w:bCs/>
                <w:color w:val="FFFFFF"/>
                <w:sz w:val="20"/>
                <w:szCs w:val="20"/>
              </w:rPr>
              <w:t xml:space="preserve">Reference tool(s)</w:t>
            </w:r>
          </w:p>
        </w:tc>
        <w:tc>
          <w:tcPr>
            <w:tcW w:type="dxa" w:w="3360"/>
            <w:tcBorders>
              <w:top w:val="single" w:color="CBD5E1" w:sz="4"/>
              <w:left w:val="single" w:color="CBD5E1" w:sz="4"/>
              <w:bottom w:val="single" w:color="CBD5E1" w:sz="4"/>
              <w:right w:val="single" w:color="CBD5E1" w:sz="4"/>
            </w:tcBorders>
            <w:shd w:fill="0F172A" w:color="auto" w:val="clear"/>
            <w:tcMar>
              <w:top w:type="dxa" w:w="80"/>
              <w:left w:type="dxa" w:w="120"/>
              <w:bottom w:type="dxa" w:w="80"/>
              <w:right w:type="dxa" w:w="120"/>
            </w:tcMar>
          </w:tcPr>
          <w:p>
            <w:r>
              <w:rPr>
                <w:b/>
                <w:bCs/>
                <w:color w:val="FFFFFF"/>
                <w:sz w:val="20"/>
                <w:szCs w:val="20"/>
              </w:rPr>
              <w:t xml:space="preserve">Notes</w:t>
            </w:r>
          </w:p>
        </w:tc>
      </w:tr>
      <w:tr>
        <w:tc>
          <w:tcPr>
            <w:tcW w:type="dxa" w:w="336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Secrets scan</w:t>
            </w:r>
          </w:p>
        </w:tc>
        <w:tc>
          <w:tcPr>
            <w:tcW w:type="dxa" w:w="336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gitleaks, trufflehog, detect-secrets</w:t>
            </w:r>
          </w:p>
        </w:tc>
        <w:tc>
          <w:tcPr>
            <w:tcW w:type="dxa" w:w="336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Run pre-commit + CI.</w:t>
            </w:r>
          </w:p>
        </w:tc>
      </w:tr>
      <w:tr>
        <w:tc>
          <w:tcPr>
            <w:tcW w:type="dxa" w:w="336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SAST</w:t>
            </w:r>
          </w:p>
        </w:tc>
        <w:tc>
          <w:tcPr>
            <w:tcW w:type="dxa" w:w="336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Semgrep (p/llm-security)</w:t>
            </w:r>
          </w:p>
        </w:tc>
        <w:tc>
          <w:tcPr>
            <w:tcW w:type="dxa" w:w="336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Custom AI-failure-mode rules in /ci/semgrep-ai-rules.yml.</w:t>
            </w:r>
          </w:p>
        </w:tc>
      </w:tr>
      <w:tr>
        <w:tc>
          <w:tcPr>
            <w:tcW w:type="dxa" w:w="336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Dependency CVEs</w:t>
            </w:r>
          </w:p>
        </w:tc>
        <w:tc>
          <w:tcPr>
            <w:tcW w:type="dxa" w:w="336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OSV-Scanner, Trivy fs</w:t>
            </w:r>
          </w:p>
        </w:tc>
        <w:tc>
          <w:tcPr>
            <w:tcW w:type="dxa" w:w="336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Block on High/Critical.</w:t>
            </w:r>
          </w:p>
        </w:tc>
      </w:tr>
      <w:tr>
        <w:tc>
          <w:tcPr>
            <w:tcW w:type="dxa" w:w="336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Licence scan</w:t>
            </w:r>
          </w:p>
        </w:tc>
        <w:tc>
          <w:tcPr>
            <w:tcW w:type="dxa" w:w="336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FOSSA, ScanCode</w:t>
            </w:r>
          </w:p>
        </w:tc>
        <w:tc>
          <w:tcPr>
            <w:tcW w:type="dxa" w:w="336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Block on copyleft for distributed code.</w:t>
            </w:r>
          </w:p>
        </w:tc>
      </w:tr>
      <w:tr>
        <w:tc>
          <w:tcPr>
            <w:tcW w:type="dxa" w:w="336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Container scan</w:t>
            </w:r>
          </w:p>
        </w:tc>
        <w:tc>
          <w:tcPr>
            <w:tcW w:type="dxa" w:w="336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Trivy image, Grype</w:t>
            </w:r>
          </w:p>
        </w:tc>
        <w:tc>
          <w:tcPr>
            <w:tcW w:type="dxa" w:w="336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Run on every image build.</w:t>
            </w:r>
          </w:p>
        </w:tc>
      </w:tr>
      <w:tr>
        <w:tc>
          <w:tcPr>
            <w:tcW w:type="dxa" w:w="336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SBOM</w:t>
            </w:r>
          </w:p>
        </w:tc>
        <w:tc>
          <w:tcPr>
            <w:tcW w:type="dxa" w:w="336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Syft (CycloneDX with AI/ML extension)</w:t>
            </w:r>
          </w:p>
        </w:tc>
        <w:tc>
          <w:tcPr>
            <w:tcW w:type="dxa" w:w="336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Pin in OCI annotations.</w:t>
            </w:r>
          </w:p>
        </w:tc>
      </w:tr>
      <w:tr>
        <w:tc>
          <w:tcPr>
            <w:tcW w:type="dxa" w:w="336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SLSA provenance</w:t>
            </w:r>
          </w:p>
        </w:tc>
        <w:tc>
          <w:tcPr>
            <w:tcW w:type="dxa" w:w="336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GitHub Actions (hosted runner) with provenance, or equivalent SLSA L3 builder</w:t>
            </w:r>
          </w:p>
        </w:tc>
        <w:tc>
          <w:tcPr>
            <w:tcW w:type="dxa" w:w="336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Required at production promotion.</w:t>
            </w:r>
          </w:p>
        </w:tc>
      </w:tr>
      <w:tr>
        <w:tc>
          <w:tcPr>
            <w:tcW w:type="dxa" w:w="336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Artefact signing</w:t>
            </w:r>
          </w:p>
        </w:tc>
        <w:tc>
          <w:tcPr>
            <w:tcW w:type="dxa" w:w="336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Sigstore / cosign</w:t>
            </w:r>
          </w:p>
        </w:tc>
        <w:tc>
          <w:tcPr>
            <w:tcW w:type="dxa" w:w="336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Verified by admission controller.</w:t>
            </w:r>
          </w:p>
        </w:tc>
      </w:tr>
      <w:tr>
        <w:tc>
          <w:tcPr>
            <w:tcW w:type="dxa" w:w="336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Admission control</w:t>
            </w:r>
          </w:p>
        </w:tc>
        <w:tc>
          <w:tcPr>
            <w:tcW w:type="dxa" w:w="336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Kyverno or OPA Gatekeeper</w:t>
            </w:r>
          </w:p>
        </w:tc>
        <w:tc>
          <w:tcPr>
            <w:tcW w:type="dxa" w:w="336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Verifies signature + policies before deploy.</w:t>
            </w:r>
          </w:p>
        </w:tc>
      </w:tr>
      <w:tr>
        <w:tc>
          <w:tcPr>
            <w:tcW w:type="dxa" w:w="336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Sandbox (low-friction)</w:t>
            </w:r>
          </w:p>
        </w:tc>
        <w:tc>
          <w:tcPr>
            <w:tcW w:type="dxa" w:w="336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Cloudflare Pages + Workers + Access</w:t>
            </w:r>
          </w:p>
        </w:tc>
        <w:tc>
          <w:tcPr>
            <w:tcW w:type="dxa" w:w="336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Auto-expiry via scheduled Worker.</w:t>
            </w:r>
          </w:p>
        </w:tc>
      </w:tr>
      <w:tr>
        <w:tc>
          <w:tcPr>
            <w:tcW w:type="dxa" w:w="336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Sandbox (regulated)</w:t>
            </w:r>
          </w:p>
        </w:tc>
        <w:tc>
          <w:tcPr>
            <w:tcW w:type="dxa" w:w="336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Self-hosted Docker Compose / Kubernetes namespace</w:t>
            </w:r>
          </w:p>
        </w:tc>
        <w:tc>
          <w:tcPr>
            <w:tcW w:type="dxa" w:w="336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OAuth2-Proxy + Vector log shipping + Falco.</w:t>
            </w:r>
          </w:p>
        </w:tc>
      </w:tr>
      <w:tr>
        <w:tc>
          <w:tcPr>
            <w:tcW w:type="dxa" w:w="336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Runtime monitoring</w:t>
            </w:r>
          </w:p>
        </w:tc>
        <w:tc>
          <w:tcPr>
            <w:tcW w:type="dxa" w:w="336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Falco, Tetragon (eBPF)</w:t>
            </w:r>
          </w:p>
        </w:tc>
        <w:tc>
          <w:tcPr>
            <w:tcW w:type="dxa" w:w="336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AI-specific rules for unusual outbound, file writes outside working folder.</w:t>
            </w:r>
          </w:p>
        </w:tc>
      </w:tr>
    </w:tbl>
    <w:p>
      <w:pPr>
        <w:pStyle w:val="Heading1"/>
        <w:spacing w:after="160" w:before="320"/>
      </w:pPr>
      <w:r>
        <w:rPr>
          <w:b/>
          <w:bCs/>
          <w:color w:val="0F172A"/>
          <w:sz w:val="36"/>
          <w:szCs w:val="36"/>
        </w:rPr>
        <w:t xml:space="preserve">Appendix B — AI-specific failure modes the reviewer must look for</w:t>
      </w:r>
    </w:p>
    <w:p>
      <w:pPr>
        <w:pStyle w:val="ListParagraph"/>
        <w:numPr>
          <w:ilvl w:val="0"/>
          <w:numId w:val="2"/>
        </w:numPr>
        <w:spacing w:after="80"/>
      </w:pPr>
      <w:r>
        <w:rPr>
          <w:sz w:val="22"/>
          <w:szCs w:val="22"/>
        </w:rPr>
        <w:t xml:space="preserve">Slop-squatting: AI suggests a non-existent package name; supply-chain attacker registers it. Mitigation: package allow-list, dependency confusion controls.</w:t>
      </w:r>
    </w:p>
    <w:p>
      <w:pPr>
        <w:pStyle w:val="ListParagraph"/>
        <w:numPr>
          <w:ilvl w:val="0"/>
          <w:numId w:val="2"/>
        </w:numPr>
        <w:spacing w:after="80"/>
      </w:pPr>
      <w:r>
        <w:rPr>
          <w:sz w:val="22"/>
          <w:szCs w:val="22"/>
        </w:rPr>
        <w:t xml:space="preserve">Plausible-but-wrong: AI generates code that compiles and tests pass but is subtly wrong (off-by-one, wrong cryptographic mode, predictable RNG).</w:t>
      </w:r>
    </w:p>
    <w:p>
      <w:pPr>
        <w:pStyle w:val="ListParagraph"/>
        <w:numPr>
          <w:ilvl w:val="0"/>
          <w:numId w:val="2"/>
        </w:numPr>
        <w:spacing w:after="80"/>
      </w:pPr>
      <w:r>
        <w:rPr>
          <w:sz w:val="22"/>
          <w:szCs w:val="22"/>
        </w:rPr>
        <w:t xml:space="preserve">Missing input validation: AI optimises for happy-path; edge / malicious inputs not handled.</w:t>
      </w:r>
    </w:p>
    <w:p>
      <w:pPr>
        <w:pStyle w:val="ListParagraph"/>
        <w:numPr>
          <w:ilvl w:val="0"/>
          <w:numId w:val="2"/>
        </w:numPr>
        <w:spacing w:after="80"/>
      </w:pPr>
      <w:r>
        <w:rPr>
          <w:sz w:val="22"/>
          <w:szCs w:val="22"/>
        </w:rPr>
        <w:t xml:space="preserve">Hardcoded credentials / API keys / placeholders left in (e.g. 'YOUR_API_KEY_HERE').</w:t>
      </w:r>
    </w:p>
    <w:p>
      <w:pPr>
        <w:pStyle w:val="ListParagraph"/>
        <w:numPr>
          <w:ilvl w:val="0"/>
          <w:numId w:val="2"/>
        </w:numPr>
        <w:spacing w:after="80"/>
      </w:pPr>
      <w:r>
        <w:rPr>
          <w:sz w:val="22"/>
          <w:szCs w:val="22"/>
        </w:rPr>
        <w:t xml:space="preserve">Insecure defaults: CORS *, debug=true in prod, verbose error messages.</w:t>
      </w:r>
    </w:p>
    <w:p>
      <w:pPr>
        <w:pStyle w:val="ListParagraph"/>
        <w:numPr>
          <w:ilvl w:val="0"/>
          <w:numId w:val="2"/>
        </w:numPr>
        <w:spacing w:after="80"/>
      </w:pPr>
      <w:r>
        <w:rPr>
          <w:sz w:val="22"/>
          <w:szCs w:val="22"/>
        </w:rPr>
        <w:t xml:space="preserve">AI-generated tests that don't assert: tests pass without exercising the bug.</w:t>
      </w:r>
    </w:p>
    <w:p>
      <w:pPr>
        <w:pStyle w:val="ListParagraph"/>
        <w:numPr>
          <w:ilvl w:val="0"/>
          <w:numId w:val="2"/>
        </w:numPr>
        <w:spacing w:after="80"/>
      </w:pPr>
      <w:r>
        <w:rPr>
          <w:sz w:val="22"/>
          <w:szCs w:val="22"/>
        </w:rPr>
        <w:t xml:space="preserve">Excessive agency in agent code: tool-calls without a kill-switch, no rate-limit, no scope check.</w:t>
      </w:r>
    </w:p>
    <w:p>
      <w:pPr>
        <w:pStyle w:val="ListParagraph"/>
        <w:numPr>
          <w:ilvl w:val="0"/>
          <w:numId w:val="2"/>
        </w:numPr>
        <w:spacing w:after="80"/>
      </w:pPr>
      <w:r>
        <w:rPr>
          <w:sz w:val="22"/>
          <w:szCs w:val="22"/>
        </w:rPr>
        <w:t xml:space="preserve">Prompt-injection-vulnerable LLM endpoints: untrusted input concatenated into the system prompt.</w:t>
      </w:r>
    </w:p>
    <w:p>
      <w:pPr>
        <w:pStyle w:val="ListParagraph"/>
        <w:numPr>
          <w:ilvl w:val="0"/>
          <w:numId w:val="2"/>
        </w:numPr>
        <w:spacing w:after="80"/>
      </w:pPr>
      <w:r>
        <w:rPr>
          <w:sz w:val="22"/>
          <w:szCs w:val="22"/>
        </w:rPr>
        <w:t xml:space="preserve">Insecure dependency choices: AI picks an outdated / unmaintained / typosquatted library.</w:t>
      </w:r>
    </w:p>
    <w:p>
      <w:pPr>
        <w:pStyle w:val="ListParagraph"/>
        <w:numPr>
          <w:ilvl w:val="0"/>
          <w:numId w:val="2"/>
        </w:numPr>
        <w:spacing w:after="80"/>
      </w:pPr>
      <w:r>
        <w:rPr>
          <w:sz w:val="22"/>
          <w:szCs w:val="22"/>
        </w:rPr>
        <w:t xml:space="preserve">AI-emitted dead code or stale comments referencing previous prompts.</w:t>
      </w:r>
    </w:p>
    <w:p>
      <w:pPr>
        <w:pStyle w:val="Heading1"/>
        <w:spacing w:after="160" w:before="320"/>
      </w:pPr>
      <w:r>
        <w:rPr>
          <w:b/>
          <w:bCs/>
          <w:color w:val="0F172A"/>
          <w:sz w:val="36"/>
          <w:szCs w:val="36"/>
        </w:rPr>
        <w:t xml:space="preserve">Appendix C — Sign-off form (printable)</w:t>
      </w:r>
    </w:p>
    <w:p>
      <w:pPr>
        <w:spacing w:after="120"/>
        <w:jc w:val="both"/>
      </w:pPr>
      <w:r>
        <w:rPr>
          <w:sz w:val="22"/>
          <w:szCs w:val="22"/>
        </w:rPr>
        <w:t xml:space="preserve">Single-page summary form for stage 5 sign-off. Print, sign, scan, attach to the Decision Log row.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BD5E1" w:sz="4"/>
              <w:left w:val="single" w:color="CBD5E1" w:sz="4"/>
              <w:bottom w:val="single" w:color="CBD5E1" w:sz="4"/>
              <w:right w:val="single" w:color="CBD5E1" w:sz="4"/>
            </w:tcBorders>
            <w:shd w:fill="0F172A" w:color="auto" w:val="clear"/>
            <w:tcMar>
              <w:top w:type="dxa" w:w="80"/>
              <w:left w:type="dxa" w:w="120"/>
              <w:bottom w:type="dxa" w:w="80"/>
              <w:right w:type="dxa" w:w="120"/>
            </w:tcMar>
          </w:tcPr>
          <w:p>
            <w:r>
              <w:rPr>
                <w:b/>
                <w:bCs/>
                <w:color w:val="FFFFFF"/>
                <w:sz w:val="20"/>
                <w:szCs w:val="20"/>
              </w:rPr>
              <w:t xml:space="preserve">Field</w:t>
            </w:r>
          </w:p>
        </w:tc>
        <w:tc>
          <w:tcPr>
            <w:tcW w:type="dxa" w:w="5040"/>
            <w:tcBorders>
              <w:top w:val="single" w:color="CBD5E1" w:sz="4"/>
              <w:left w:val="single" w:color="CBD5E1" w:sz="4"/>
              <w:bottom w:val="single" w:color="CBD5E1" w:sz="4"/>
              <w:right w:val="single" w:color="CBD5E1" w:sz="4"/>
            </w:tcBorders>
            <w:shd w:fill="0F172A" w:color="auto" w:val="clear"/>
            <w:tcMar>
              <w:top w:type="dxa" w:w="80"/>
              <w:left w:type="dxa" w:w="120"/>
              <w:bottom w:type="dxa" w:w="80"/>
              <w:right w:type="dxa" w:w="120"/>
            </w:tcMar>
          </w:tcPr>
          <w:p>
            <w:r>
              <w:rPr>
                <w:b/>
                <w:bCs/>
                <w:color w:val="FFFFFF"/>
                <w:sz w:val="20"/>
                <w:szCs w:val="20"/>
              </w:rPr>
              <w:t xml:space="preserve">Value</w:t>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Application name</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Repository URL</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AI tool(s) used</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Foundation model + version</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 AI-authored</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SBOM artefact URL</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SLSA provenance URL</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Sandbox URL + expiry</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Security review checklist version</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High/Critical findings outcome</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Risk acceptances inherited</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Security Manager signature + date</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Product Manager signature + date</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Engineering Manager signature + date</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Approval valid until</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Re-promotion trigger</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AI Governance &amp; Hardening Project — Open Source Template  ·  Page </w:t>
    </w:r>
    <w:r>
      <w:rPr>
        <w:color w:val="64748B"/>
        <w:sz w:val="16"/>
        <w:szCs w:val="16"/>
      </w:rPr>
      <w:fldChar w:fldCharType="begin"/>
      <w:instrText xml:space="preserve">PAGE</w:instrText>
      <w:fldChar w:fldCharType="separate"/>
      <w:fldChar w:fldCharType="end"/>
    </w:r>
    <w:r>
      <w:rPr>
        <w:color w:val="64748B"/>
        <w:sz w:val="16"/>
        <w:szCs w:val="16"/>
      </w:rPr>
      <w:t xml:space="preserve"> of </w:t>
    </w:r>
    <w:r>
      <w:rPr>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4748B"/>
        <w:sz w:val="16"/>
        <w:szCs w:val="16"/>
      </w:rPr>
      <w:t xml:space="preserve">AI-Built App Promotion Runbook  |  Generic Template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0F172A"/>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0F172A"/>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AI-Built App Promotion Runbook</dc:title>
  <dc:creator>AI Governance and Hardening Project</dc:creator>
  <cp:lastModifiedBy>Un-named</cp:lastModifiedBy>
  <cp:revision>1</cp:revision>
  <dcterms:created xsi:type="dcterms:W3CDTF">2026-04-29T23:01:30.977Z</dcterms:created>
  <dcterms:modified xsi:type="dcterms:W3CDTF">2026-04-29T23:01:30.977Z</dcterms:modified>
</cp:coreProperties>
</file>

<file path=docProps/custom.xml><?xml version="1.0" encoding="utf-8"?>
<Properties xmlns="http://schemas.openxmlformats.org/officeDocument/2006/custom-properties" xmlns:vt="http://schemas.openxmlformats.org/officeDocument/2006/docPropsVTypes"/>
</file>