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240"/>
        <w:jc w:val="center"/>
      </w:pPr>
      <w:r>
        <w:rPr>
          <w:b/>
          <w:bCs/>
          <w:color w:val="0F172A"/>
          <w:sz w:val="56"/>
          <w:szCs w:val="56"/>
        </w:rPr>
        <w:t xml:space="preserve">AI USAGE &amp; GOVERNANCE STANDARD</w:t>
      </w:r>
    </w:p>
    <w:p>
      <w:pPr>
        <w:spacing w:after="120"/>
        <w:jc w:val="center"/>
      </w:pPr>
      <w:r>
        <w:rPr>
          <w:i/>
          <w:iCs/>
          <w:color w:val="64748B"/>
          <w:sz w:val="28"/>
          <w:szCs w:val="28"/>
        </w:rPr>
        <w:t xml:space="preserve">Generic Template for Enterprise Adoption</w:t>
      </w:r>
    </w:p>
    <w:p>
      <w:pPr>
        <w:spacing w:after="480"/>
        <w:jc w:val="center"/>
      </w:pPr>
      <w:r>
        <w:rPr>
          <w:color w:val="64748B"/>
          <w:sz w:val="20"/>
          <w:szCs w:val="20"/>
        </w:rPr>
        <w:t xml:space="preserve">Aligned to NIST AI RMF 1.0  ·  ISO/IEC 42001:2023  ·  EU AI Act  ·  OWASP LLM Top 10  ·  MITRE ATLAS</w:t>
      </w:r>
    </w:p>
    <w:p>
      <w:pPr>
        <w:spacing w:before="2400"/>
      </w:pPr>
      <w:r>
        <w:t xml:space="preserve"/>
      </w:r>
    </w:p>
    <w:p>
      <w:pPr>
        <w:spacing w:after="120"/>
        <w:jc w:val="center"/>
      </w:pPr>
      <w:r>
        <w:rPr>
          <w:b/>
          <w:bCs/>
          <w:sz w:val="28"/>
          <w:szCs w:val="28"/>
        </w:rPr>
        <w:t xml:space="preserve">[Organization Name]</w:t>
      </w:r>
    </w:p>
    <w:p>
      <w:pPr>
        <w:spacing w:after="240"/>
        <w:jc w:val="center"/>
      </w:pPr>
      <w:r>
        <w:rPr>
          <w:color w:val="64748B"/>
          <w:sz w:val="22"/>
          <w:szCs w:val="22"/>
        </w:rPr>
        <w:t xml:space="preserve">Version 1.0  |  [Effective Date]</w:t>
      </w:r>
    </w:p>
    <w:p>
      <w:pPr>
        <w:jc w:val="center"/>
      </w:pPr>
      <w:r>
        <w:rPr>
          <w:i/>
          <w:iCs/>
          <w:color w:val="DC2626"/>
          <w:sz w:val="18"/>
          <w:szCs w:val="18"/>
        </w:rPr>
        <w:t xml:space="preserve">Confidential — Internal Use</w:t>
      </w:r>
    </w:p>
    <w:p>
      <w:r>
        <w:br w:type="page"/>
      </w:r>
    </w:p>
    <w:p>
      <w:pPr>
        <w:pStyle w:val="Heading1"/>
        <w:spacing w:after="160" w:before="320"/>
      </w:pPr>
      <w:r>
        <w:rPr>
          <w:b/>
          <w:bCs/>
          <w:color w:val="0F172A"/>
          <w:sz w:val="36"/>
          <w:szCs w:val="36"/>
        </w:rPr>
        <w:t xml:space="preserve">How to Use This Template</w:t>
      </w:r>
    </w:p>
    <w:p>
      <w:pPr>
        <w:spacing w:after="120"/>
        <w:jc w:val="both"/>
      </w:pPr>
      <w:r>
        <w:rPr>
          <w:sz w:val="22"/>
          <w:szCs w:val="22"/>
        </w:rPr>
        <w:t xml:space="preserve">This document is a generic, framework-aligned baseline standard for the safe, ethical, and auditable use of Artificial Intelligence (AI) within an organisation. It is published as part of an open AI Governance and Hardening Project and is provided free of charge for organisations to adopt and tailor.</w:t>
      </w:r>
    </w:p>
    <w:p>
      <w:pPr>
        <w:spacing w:after="120"/>
        <w:jc w:val="both"/>
      </w:pPr>
      <w:r>
        <w:rPr>
          <w:sz w:val="22"/>
          <w:szCs w:val="22"/>
        </w:rPr>
        <w:t xml:space="preserve">To adopt this Standard, perform a find-and-replace on the placeholders listed below. Do not deploy this document with placeholders unresolved.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4"/>
              <w:left w:val="single" w:color="BFBFBF" w:sz="4"/>
              <w:bottom w:val="single" w:color="BFBFBF" w:sz="4"/>
              <w:right w:val="single" w:color="BFBFBF" w:sz="4"/>
            </w:tcBorders>
            <w:shd w:fill="0F172A" w:color="auto" w:val="clear"/>
            <w:tcMar>
              <w:top w:type="dxa" w:w="80"/>
              <w:left w:type="dxa" w:w="120"/>
              <w:bottom w:type="dxa" w:w="80"/>
              <w:right w:type="dxa" w:w="120"/>
            </w:tcMar>
          </w:tcPr>
          <w:p>
            <w:r>
              <w:rPr>
                <w:b/>
                <w:bCs/>
                <w:color w:val="FFFFFF"/>
                <w:sz w:val="20"/>
                <w:szCs w:val="20"/>
              </w:rPr>
              <w:t xml:space="preserve">Placeholder</w:t>
            </w:r>
          </w:p>
        </w:tc>
        <w:tc>
          <w:tcPr>
            <w:tcW w:type="dxa" w:w="5040"/>
            <w:tcBorders>
              <w:top w:val="single" w:color="BFBFBF" w:sz="4"/>
              <w:left w:val="single" w:color="BFBFBF" w:sz="4"/>
              <w:bottom w:val="single" w:color="BFBFBF" w:sz="4"/>
              <w:right w:val="single" w:color="BFBFBF" w:sz="4"/>
            </w:tcBorders>
            <w:shd w:fill="0F172A" w:color="auto" w:val="clear"/>
            <w:tcMar>
              <w:top w:type="dxa" w:w="80"/>
              <w:left w:type="dxa" w:w="120"/>
              <w:bottom w:type="dxa" w:w="80"/>
              <w:right w:type="dxa" w:w="120"/>
            </w:tcMar>
          </w:tcPr>
          <w:p>
            <w:r>
              <w:rPr>
                <w:b/>
                <w:bCs/>
                <w:color w:val="FFFFFF"/>
                <w:sz w:val="20"/>
                <w:szCs w:val="20"/>
              </w:rPr>
              <w:t xml:space="preserve">Replace with</w:t>
            </w:r>
          </w:p>
        </w:tc>
      </w:tr>
      <w:tr>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[Organization Name]</w:t>
            </w:r>
          </w:p>
        </w:tc>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Legal name of your organisation.</w:t>
            </w:r>
          </w:p>
        </w:tc>
      </w:tr>
      <w:tr>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[Effective Date]</w:t>
            </w:r>
          </w:p>
        </w:tc>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Date the Standard becomes effective.</w:t>
            </w:r>
          </w:p>
        </w:tc>
      </w:tr>
      <w:tr>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[Document Owner]</w:t>
            </w:r>
          </w:p>
        </w:tc>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Role accountable for the document (e.g. CISO, Head of InfoSec).</w:t>
            </w:r>
          </w:p>
        </w:tc>
      </w:tr>
      <w:tr>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[Approver Forum]</w:t>
            </w:r>
          </w:p>
        </w:tc>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Body that approves changes (e.g. InfoSec Working Group).</w:t>
            </w:r>
          </w:p>
        </w:tc>
      </w:tr>
      <w:tr>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[Vendor Risk Register]</w:t>
            </w:r>
          </w:p>
        </w:tc>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Name of your supplier / vendor risk register.</w:t>
            </w:r>
          </w:p>
        </w:tc>
      </w:tr>
      <w:tr>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[IT Support Contact]</w:t>
            </w:r>
          </w:p>
        </w:tc>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Email address or service desk for IT support requests.</w:t>
            </w:r>
          </w:p>
        </w:tc>
      </w:tr>
      <w:tr>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[Security Contact]</w:t>
            </w:r>
          </w:p>
        </w:tc>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Email address or pager for the InfoSec / Security team.</w:t>
            </w:r>
          </w:p>
        </w:tc>
      </w:tr>
      <w:tr>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[Approved AI Tool Register]</w:t>
            </w:r>
          </w:p>
        </w:tc>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Location of the centrally maintained list of approved AI tools.</w:t>
            </w:r>
          </w:p>
        </w:tc>
      </w:tr>
      <w:tr>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[Acceptable Use Policy]</w:t>
            </w:r>
          </w:p>
        </w:tc>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Reference to your existing Acceptable Use Policy.</w:t>
            </w:r>
          </w:p>
        </w:tc>
      </w:tr>
      <w:tr>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[Exception Procedure]</w:t>
            </w:r>
          </w:p>
        </w:tc>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Reference to your Exception Management Procedure.</w:t>
            </w:r>
          </w:p>
        </w:tc>
      </w:tr>
      <w:tr>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[ISMS Scope Document]</w:t>
            </w:r>
          </w:p>
        </w:tc>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Reference to your Information Security Management System scope.</w:t>
            </w:r>
          </w:p>
        </w:tc>
      </w:tr>
    </w:tbl>
    <w:p>
      <w:pPr>
        <w:spacing w:after="120"/>
      </w:pPr>
      <w:r>
        <w:t xml:space="preserve"/>
      </w:r>
    </w:p>
    <w:p>
      <w:pPr>
        <w:spacing w:after="120"/>
        <w:jc w:val="both"/>
      </w:pPr>
      <w:r>
        <w:rPr>
          <w:sz w:val="22"/>
          <w:szCs w:val="22"/>
        </w:rPr>
        <w:t xml:space="preserve">This template is published under the MIT license. You may adapt, redistribute, and use it commercially, with no warranty. Always have the adapted Standard reviewed and approved by your own information security, legal, and privacy functions before publication.</w:t>
      </w:r>
    </w:p>
    <w:p>
      <w:r>
        <w:br w:type="page"/>
      </w:r>
    </w:p>
    <w:p>
      <w:pPr>
        <w:pStyle w:val="Heading1"/>
        <w:spacing w:after="160" w:before="320"/>
      </w:pPr>
      <w:r>
        <w:rPr>
          <w:b/>
          <w:bCs/>
          <w:color w:val="0F172A"/>
          <w:sz w:val="36"/>
          <w:szCs w:val="36"/>
        </w:rPr>
        <w:t xml:space="preserve">1.  Overview</w:t>
      </w:r>
    </w:p>
    <w:p>
      <w:pPr>
        <w:pStyle w:val="Heading2"/>
        <w:spacing w:after="120" w:before="240"/>
      </w:pPr>
      <w:r>
        <w:rPr>
          <w:b/>
          <w:bCs/>
          <w:color w:val="0F172A"/>
          <w:sz w:val="28"/>
          <w:szCs w:val="28"/>
        </w:rPr>
        <w:t xml:space="preserve">1.1  Purpose</w:t>
      </w:r>
    </w:p>
    <w:p>
      <w:pPr>
        <w:spacing w:after="120"/>
        <w:jc w:val="both"/>
      </w:pPr>
      <w:r>
        <w:rPr>
          <w:sz w:val="22"/>
          <w:szCs w:val="22"/>
        </w:rPr>
        <w:t xml:space="preserve">Artificial Intelligence (AI) tools, including generative AI, agentic AI, code assistants, and decision-support systems, can significantly improve productivity. They also introduce a category of risks that traditional information security controls are not designed to address — among them prompt injection, autonomous action by AI agents on behalf of users, hallucinated outputs, model and supply-chain compromise, and unintended disclosure of confidential information.</w:t>
      </w:r>
    </w:p>
    <w:p>
      <w:pPr>
        <w:spacing w:after="120"/>
        <w:jc w:val="both"/>
      </w:pPr>
      <w:r>
        <w:rPr>
          <w:sz w:val="22"/>
          <w:szCs w:val="22"/>
        </w:rPr>
        <w:t xml:space="preserve">This Standard defines [Organization Name]'s requirements and expectations for the secure, ethical, transparent, and auditable use of AI. It is the controlling document for AI use across the organisation and is supported by the Acceptable Use Policy, the Third-Party Risk Management Standard, and the Incident Management Procedure.</w:t>
      </w:r>
    </w:p>
    <w:p>
      <w:pPr>
        <w:pStyle w:val="Heading2"/>
        <w:spacing w:after="120" w:before="240"/>
      </w:pPr>
      <w:r>
        <w:rPr>
          <w:b/>
          <w:bCs/>
          <w:color w:val="0F172A"/>
          <w:sz w:val="28"/>
          <w:szCs w:val="28"/>
        </w:rPr>
        <w:t xml:space="preserve">1.2  Scope</w:t>
      </w:r>
    </w:p>
    <w:p>
      <w:pPr>
        <w:spacing w:after="120"/>
        <w:jc w:val="both"/>
      </w:pPr>
      <w:r>
        <w:rPr>
          <w:sz w:val="22"/>
          <w:szCs w:val="22"/>
        </w:rPr>
        <w:t xml:space="preserve">This Standard applies to all employees, contractors, secondees, and third parties with access to [Organization Name] systems, services, or data. It governs the use of:</w:t>
      </w:r>
    </w:p>
    <w:p>
      <w:pPr>
        <w:pStyle w:val="ListParagraph"/>
        <w:numPr>
          <w:ilvl w:val="0"/>
          <w:numId w:val="2"/>
        </w:numPr>
        <w:spacing w:after="80"/>
      </w:pPr>
      <w:r>
        <w:rPr>
          <w:sz w:val="22"/>
          <w:szCs w:val="22"/>
        </w:rPr>
        <w:t xml:space="preserve">Organisation-sanctioned AI tools deployed on managed accounts and devices.</w:t>
      </w:r>
    </w:p>
    <w:p>
      <w:pPr>
        <w:pStyle w:val="ListParagraph"/>
        <w:numPr>
          <w:ilvl w:val="0"/>
          <w:numId w:val="2"/>
        </w:numPr>
        <w:spacing w:after="80"/>
      </w:pPr>
      <w:r>
        <w:rPr>
          <w:sz w:val="22"/>
          <w:szCs w:val="22"/>
        </w:rPr>
        <w:t xml:space="preserve">Unapproved or personal AI tools, where the user is performing organisation work or processing organisation data.</w:t>
      </w:r>
    </w:p>
    <w:p>
      <w:pPr>
        <w:pStyle w:val="ListParagraph"/>
        <w:numPr>
          <w:ilvl w:val="0"/>
          <w:numId w:val="2"/>
        </w:numPr>
        <w:spacing w:after="80"/>
      </w:pPr>
      <w:r>
        <w:rPr>
          <w:sz w:val="22"/>
          <w:szCs w:val="22"/>
        </w:rPr>
        <w:t xml:space="preserve">AI-assisted processes embedded within development, support, operations, communications, marketing, HR, finance, and any other business function.</w:t>
      </w:r>
    </w:p>
    <w:p>
      <w:pPr>
        <w:pStyle w:val="ListParagraph"/>
        <w:numPr>
          <w:ilvl w:val="0"/>
          <w:numId w:val="2"/>
        </w:numPr>
        <w:spacing w:after="80"/>
      </w:pPr>
      <w:r>
        <w:rPr>
          <w:sz w:val="22"/>
          <w:szCs w:val="22"/>
        </w:rPr>
        <w:t xml:space="preserve">Custom-built AI agents, AI plugins, AI skills, and Model Context Protocol (MCP) servers operated by the organisation.</w:t>
      </w:r>
    </w:p>
    <w:p>
      <w:pPr>
        <w:spacing w:after="120"/>
        <w:jc w:val="both"/>
      </w:pPr>
      <w:r>
        <w:rPr>
          <w:sz w:val="22"/>
          <w:szCs w:val="22"/>
        </w:rPr>
        <w:t xml:space="preserve">Where the term 'AI tool' is used in this Standard, it refers collectively to all of the above.</w:t>
      </w:r>
    </w:p>
    <w:p>
      <w:pPr>
        <w:pStyle w:val="Heading2"/>
        <w:spacing w:after="120" w:before="240"/>
      </w:pPr>
      <w:r>
        <w:rPr>
          <w:b/>
          <w:bCs/>
          <w:color w:val="0F172A"/>
          <w:sz w:val="28"/>
          <w:szCs w:val="28"/>
        </w:rPr>
        <w:t xml:space="preserve">1.3  Framework Alignment</w:t>
      </w:r>
    </w:p>
    <w:p>
      <w:pPr>
        <w:spacing w:after="120"/>
        <w:jc w:val="both"/>
      </w:pPr>
      <w:r>
        <w:rPr>
          <w:sz w:val="22"/>
          <w:szCs w:val="22"/>
        </w:rPr>
        <w:t xml:space="preserve">This Standard is designed to be operated as part of an Information Security Management System and a wider AI Management System. It maps to the following frameworks: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0F172A" w:color="auto" w:val="clear"/>
            <w:tcMar>
              <w:top w:type="dxa" w:w="80"/>
              <w:left w:type="dxa" w:w="120"/>
              <w:bottom w:type="dxa" w:w="80"/>
              <w:right w:type="dxa" w:w="120"/>
            </w:tcMar>
          </w:tcPr>
          <w:p>
            <w:r>
              <w:rPr>
                <w:b/>
                <w:bCs/>
                <w:color w:val="FFFFFF"/>
                <w:sz w:val="20"/>
                <w:szCs w:val="20"/>
              </w:rPr>
              <w:t xml:space="preserve">Framework</w:t>
            </w:r>
          </w:p>
        </w:tc>
        <w:tc>
          <w:tcPr>
            <w:tcW w:type="dxa" w:w="3360"/>
            <w:tcBorders>
              <w:top w:val="single" w:color="BFBFBF" w:sz="4"/>
              <w:left w:val="single" w:color="BFBFBF" w:sz="4"/>
              <w:bottom w:val="single" w:color="BFBFBF" w:sz="4"/>
              <w:right w:val="single" w:color="BFBFBF" w:sz="4"/>
            </w:tcBorders>
            <w:shd w:fill="0F172A" w:color="auto" w:val="clear"/>
            <w:tcMar>
              <w:top w:type="dxa" w:w="80"/>
              <w:left w:type="dxa" w:w="120"/>
              <w:bottom w:type="dxa" w:w="80"/>
              <w:right w:type="dxa" w:w="120"/>
            </w:tcMar>
          </w:tcPr>
          <w:p>
            <w:r>
              <w:rPr>
                <w:b/>
                <w:bCs/>
                <w:color w:val="FFFFFF"/>
                <w:sz w:val="20"/>
                <w:szCs w:val="20"/>
              </w:rPr>
              <w:t xml:space="preserve">Coverage</w:t>
            </w:r>
          </w:p>
        </w:tc>
        <w:tc>
          <w:tcPr>
            <w:tcW w:type="dxa" w:w="3360"/>
            <w:tcBorders>
              <w:top w:val="single" w:color="BFBFBF" w:sz="4"/>
              <w:left w:val="single" w:color="BFBFBF" w:sz="4"/>
              <w:bottom w:val="single" w:color="BFBFBF" w:sz="4"/>
              <w:right w:val="single" w:color="BFBFBF" w:sz="4"/>
            </w:tcBorders>
            <w:shd w:fill="0F172A" w:color="auto" w:val="clear"/>
            <w:tcMar>
              <w:top w:type="dxa" w:w="80"/>
              <w:left w:type="dxa" w:w="120"/>
              <w:bottom w:type="dxa" w:w="80"/>
              <w:right w:type="dxa" w:w="120"/>
            </w:tcMar>
          </w:tcPr>
          <w:p>
            <w:r>
              <w:rPr>
                <w:b/>
                <w:bCs/>
                <w:color w:val="FFFFFF"/>
                <w:sz w:val="20"/>
                <w:szCs w:val="20"/>
              </w:rPr>
              <w:t xml:space="preserve">Primary Mapping</w:t>
            </w:r>
          </w:p>
        </w:tc>
      </w:tr>
      <w:tr>
        <w:tc>
          <w:tcPr>
            <w:tcW w:type="dxa" w:w="336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NIST AI RMF 1.0</w:t>
            </w:r>
          </w:p>
        </w:tc>
        <w:tc>
          <w:tcPr>
            <w:tcW w:type="dxa" w:w="336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Govern, Map, Measure, Manage functions.</w:t>
            </w:r>
          </w:p>
        </w:tc>
        <w:tc>
          <w:tcPr>
            <w:tcW w:type="dxa" w:w="336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GOVERN-1, GOVERN-3, MAP-1, MAP-4, MEASURE-2, MANAGE-1, MANAGE-3</w:t>
            </w:r>
          </w:p>
        </w:tc>
      </w:tr>
      <w:tr>
        <w:tc>
          <w:tcPr>
            <w:tcW w:type="dxa" w:w="336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ISO/IEC 42001:2023</w:t>
            </w:r>
          </w:p>
        </w:tc>
        <w:tc>
          <w:tcPr>
            <w:tcW w:type="dxa" w:w="336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AI Management System requirements.</w:t>
            </w:r>
          </w:p>
        </w:tc>
        <w:tc>
          <w:tcPr>
            <w:tcW w:type="dxa" w:w="336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Clauses 4–10; Annex A controls A.2 – A.10</w:t>
            </w:r>
          </w:p>
        </w:tc>
      </w:tr>
      <w:tr>
        <w:tc>
          <w:tcPr>
            <w:tcW w:type="dxa" w:w="336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EU AI Act</w:t>
            </w:r>
          </w:p>
        </w:tc>
        <w:tc>
          <w:tcPr>
            <w:tcW w:type="dxa" w:w="336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Risk-tier classification and provider/deployer obligations.</w:t>
            </w:r>
          </w:p>
        </w:tc>
        <w:tc>
          <w:tcPr>
            <w:tcW w:type="dxa" w:w="336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Articles 4, 9, 10, 13, 14, 15, 26, 27</w:t>
            </w:r>
          </w:p>
        </w:tc>
      </w:tr>
      <w:tr>
        <w:tc>
          <w:tcPr>
            <w:tcW w:type="dxa" w:w="336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OWASP LLM Top 10 (2025)</w:t>
            </w:r>
          </w:p>
        </w:tc>
        <w:tc>
          <w:tcPr>
            <w:tcW w:type="dxa" w:w="336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Technical risk categories for LLM-based applications.</w:t>
            </w:r>
          </w:p>
        </w:tc>
        <w:tc>
          <w:tcPr>
            <w:tcW w:type="dxa" w:w="336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LLM01–LLM10</w:t>
            </w:r>
          </w:p>
        </w:tc>
      </w:tr>
      <w:tr>
        <w:tc>
          <w:tcPr>
            <w:tcW w:type="dxa" w:w="336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MITRE ATLAS</w:t>
            </w:r>
          </w:p>
        </w:tc>
        <w:tc>
          <w:tcPr>
            <w:tcW w:type="dxa" w:w="336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Adversarial threat techniques against AI/ML systems.</w:t>
            </w:r>
          </w:p>
        </w:tc>
        <w:tc>
          <w:tcPr>
            <w:tcW w:type="dxa" w:w="336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Reconnaissance, Initial Access, ML Attack Staging, Exfiltration</w:t>
            </w:r>
          </w:p>
        </w:tc>
      </w:tr>
      <w:tr>
        <w:tc>
          <w:tcPr>
            <w:tcW w:type="dxa" w:w="336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NIST CSF 2.0</w:t>
            </w:r>
          </w:p>
        </w:tc>
        <w:tc>
          <w:tcPr>
            <w:tcW w:type="dxa" w:w="336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Foundational cyber controls used to operationalise this Standard.</w:t>
            </w:r>
          </w:p>
        </w:tc>
        <w:tc>
          <w:tcPr>
            <w:tcW w:type="dxa" w:w="336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GV.PO, ID.AM, PR.DS, DE.CM, RS.AN</w:t>
            </w:r>
          </w:p>
        </w:tc>
      </w:tr>
    </w:tbl>
    <w:p>
      <w:pPr>
        <w:pStyle w:val="Heading2"/>
        <w:spacing w:after="120" w:before="240"/>
      </w:pPr>
      <w:r>
        <w:rPr>
          <w:b/>
          <w:bCs/>
          <w:color w:val="0F172A"/>
          <w:sz w:val="28"/>
          <w:szCs w:val="28"/>
        </w:rPr>
        <w:t xml:space="preserve">1.4  Roles and Responsibilities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4"/>
              <w:left w:val="single" w:color="BFBFBF" w:sz="4"/>
              <w:bottom w:val="single" w:color="BFBFBF" w:sz="4"/>
              <w:right w:val="single" w:color="BFBFBF" w:sz="4"/>
            </w:tcBorders>
            <w:shd w:fill="0F172A" w:color="auto" w:val="clear"/>
            <w:tcMar>
              <w:top w:type="dxa" w:w="80"/>
              <w:left w:type="dxa" w:w="120"/>
              <w:bottom w:type="dxa" w:w="80"/>
              <w:right w:type="dxa" w:w="120"/>
            </w:tcMar>
          </w:tcPr>
          <w:p>
            <w:r>
              <w:rPr>
                <w:b/>
                <w:bCs/>
                <w:color w:val="FFFFFF"/>
                <w:sz w:val="20"/>
                <w:szCs w:val="20"/>
              </w:rPr>
              <w:t xml:space="preserve">Role</w:t>
            </w:r>
          </w:p>
        </w:tc>
        <w:tc>
          <w:tcPr>
            <w:tcW w:type="dxa" w:w="5040"/>
            <w:tcBorders>
              <w:top w:val="single" w:color="BFBFBF" w:sz="4"/>
              <w:left w:val="single" w:color="BFBFBF" w:sz="4"/>
              <w:bottom w:val="single" w:color="BFBFBF" w:sz="4"/>
              <w:right w:val="single" w:color="BFBFBF" w:sz="4"/>
            </w:tcBorders>
            <w:shd w:fill="0F172A" w:color="auto" w:val="clear"/>
            <w:tcMar>
              <w:top w:type="dxa" w:w="80"/>
              <w:left w:type="dxa" w:w="120"/>
              <w:bottom w:type="dxa" w:w="80"/>
              <w:right w:type="dxa" w:w="120"/>
            </w:tcMar>
          </w:tcPr>
          <w:p>
            <w:r>
              <w:rPr>
                <w:b/>
                <w:bCs/>
                <w:color w:val="FFFFFF"/>
                <w:sz w:val="20"/>
                <w:szCs w:val="20"/>
              </w:rPr>
              <w:t xml:space="preserve">Responsibility</w:t>
            </w:r>
          </w:p>
        </w:tc>
      </w:tr>
      <w:tr>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[Document Owner]</w:t>
            </w:r>
          </w:p>
        </w:tc>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Owns this Standard. Reviews and updates at least annually or on material change.</w:t>
            </w:r>
          </w:p>
        </w:tc>
      </w:tr>
      <w:tr>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AI Governance Lead</w:t>
            </w:r>
          </w:p>
        </w:tc>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Accountable for the AI control programme. Maintains the [Approved AI Tool Register].</w:t>
            </w:r>
          </w:p>
        </w:tc>
      </w:tr>
      <w:tr>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Information Security</w:t>
            </w:r>
          </w:p>
        </w:tc>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Reviews data handling, access control, and incident response for AI tools.</w:t>
            </w:r>
          </w:p>
        </w:tc>
      </w:tr>
      <w:tr>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Legal</w:t>
            </w:r>
          </w:p>
        </w:tc>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Reviews licensing, IP, contractual, and regulatory obligations.</w:t>
            </w:r>
          </w:p>
        </w:tc>
      </w:tr>
      <w:tr>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Privacy / Data Protection Officer</w:t>
            </w:r>
          </w:p>
        </w:tc>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Reviews personal data processing, lawful basis, and DPIA where required.</w:t>
            </w:r>
          </w:p>
        </w:tc>
      </w:tr>
      <w:tr>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Tool / System Owner</w:t>
            </w:r>
          </w:p>
        </w:tc>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Named owner of each approved AI tool. Triggers reassessment on material change.</w:t>
            </w:r>
          </w:p>
        </w:tc>
      </w:tr>
      <w:tr>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Users</w:t>
            </w:r>
          </w:p>
        </w:tc>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Adhere to this Standard. Report incidents. Apply human review to AI outputs.</w:t>
            </w:r>
          </w:p>
        </w:tc>
      </w:tr>
      <w:tr>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Internal Audit</w:t>
            </w:r>
          </w:p>
        </w:tc>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Periodic assurance against this Standard and supporting evidence.</w:t>
            </w:r>
          </w:p>
        </w:tc>
      </w:tr>
    </w:tbl>
    <w:p>
      <w:r>
        <w:br w:type="page"/>
      </w:r>
    </w:p>
    <w:p>
      <w:pPr>
        <w:pStyle w:val="Heading1"/>
        <w:spacing w:after="160" w:before="320"/>
      </w:pPr>
      <w:r>
        <w:rPr>
          <w:b/>
          <w:bCs/>
          <w:color w:val="0F172A"/>
          <w:sz w:val="36"/>
          <w:szCs w:val="36"/>
        </w:rPr>
        <w:t xml:space="preserve">2.  Understanding the Risks</w:t>
      </w:r>
    </w:p>
    <w:p>
      <w:pPr>
        <w:spacing w:after="120"/>
        <w:jc w:val="both"/>
      </w:pPr>
      <w:r>
        <w:rPr>
          <w:sz w:val="22"/>
          <w:szCs w:val="22"/>
        </w:rPr>
        <w:t xml:space="preserve">All users of AI must understand the categories of risk introduced by AI tools. This section is required reading and will be reinforced through awareness training.</w:t>
      </w:r>
    </w:p>
    <w:p>
      <w:pPr>
        <w:pStyle w:val="Heading2"/>
        <w:spacing w:after="120" w:before="240"/>
      </w:pPr>
      <w:r>
        <w:rPr>
          <w:b/>
          <w:bCs/>
          <w:color w:val="0F172A"/>
          <w:sz w:val="28"/>
          <w:szCs w:val="28"/>
        </w:rPr>
        <w:t xml:space="preserve">2.1  Hallucination and Output Unreliability</w:t>
      </w:r>
    </w:p>
    <w:p>
      <w:pPr>
        <w:spacing w:after="120"/>
        <w:jc w:val="both"/>
      </w:pPr>
      <w:r>
        <w:rPr>
          <w:sz w:val="22"/>
          <w:szCs w:val="22"/>
        </w:rPr>
        <w:t xml:space="preserve">AI models generate responses based on statistical patterns rather than verified knowledge. They can produce outputs that are factually incorrect, internally inconsistent, or entirely fabricated, including false citations, invented statistics, non-existent case law, and plausible-sounding but wrong technical guidance. This behaviour is referred to as 'hallucination'. The risk is amplified by the confident, authoritative tone in which AI typically presents its outputs.</w:t>
      </w:r>
    </w:p>
    <w:p>
      <w:pPr>
        <w:spacing w:after="120"/>
        <w:jc w:val="both"/>
      </w:pPr>
      <w:r>
        <w:rPr>
          <w:sz w:val="22"/>
          <w:szCs w:val="22"/>
        </w:rPr>
        <w:t xml:space="preserve">Users may not recognise an incorrect output, particularly in subject areas outside their expertise. Hallucinated content that is not caught before use can result in reputational damage, regulatory exposure, client harm, or flawed business decisions.</w:t>
      </w:r>
    </w:p>
    <w:p>
      <w:pPr>
        <w:spacing w:after="120"/>
        <w:jc w:val="both"/>
      </w:pPr>
      <w:r>
        <w:rPr>
          <w:sz w:val="22"/>
          <w:szCs w:val="22"/>
        </w:rPr>
        <w:t xml:space="preserve">Mapping: NIST AI RMF MEASURE-2.3, ISO/IEC 42001 A.6.2.4, OWASP LLM09 (Misinformation).</w:t>
      </w:r>
    </w:p>
    <w:p>
      <w:pPr>
        <w:pStyle w:val="Heading2"/>
        <w:spacing w:after="120" w:before="240"/>
      </w:pPr>
      <w:r>
        <w:rPr>
          <w:b/>
          <w:bCs/>
          <w:color w:val="0F172A"/>
          <w:sz w:val="28"/>
          <w:szCs w:val="28"/>
        </w:rPr>
        <w:t xml:space="preserve">2.2  Data Leakage and Unintended Disclosure</w:t>
      </w:r>
    </w:p>
    <w:p>
      <w:pPr>
        <w:spacing w:after="120"/>
        <w:jc w:val="both"/>
      </w:pPr>
      <w:r>
        <w:rPr>
          <w:sz w:val="22"/>
          <w:szCs w:val="22"/>
        </w:rPr>
        <w:t xml:space="preserve">Even where AI providers do not use prompts for model training, data entered into AI tools may be transmitted to, processed by, and temporarily retained on third-party infrastructure outside of the organisation's control. This creates a risk of unintended disclosure, particularly where users input sensitive information without first assessing its data classification.</w:t>
      </w:r>
    </w:p>
    <w:p>
      <w:pPr>
        <w:spacing w:after="120"/>
        <w:jc w:val="both"/>
      </w:pPr>
      <w:r>
        <w:rPr>
          <w:sz w:val="22"/>
          <w:szCs w:val="22"/>
        </w:rPr>
        <w:t xml:space="preserve">Additional vectors include pasting credentials or secrets into AI chat interfaces; sharing AI-generated outputs that contain or reveal confidential source material; and using AI tools integrated with external services that have broader data-sharing terms than the primary tool.</w:t>
      </w:r>
    </w:p>
    <w:p>
      <w:pPr>
        <w:spacing w:after="120"/>
        <w:jc w:val="both"/>
      </w:pPr>
      <w:r>
        <w:rPr>
          <w:sz w:val="22"/>
          <w:szCs w:val="22"/>
        </w:rPr>
        <w:t xml:space="preserve">Mapping: NIST AI RMF MANAGE-2.1, ISO/IEC 42001 A.7.4, OWASP LLM02 (Sensitive Information Disclosure), EU AI Act Art. 10.</w:t>
      </w:r>
    </w:p>
    <w:p>
      <w:pPr>
        <w:pStyle w:val="Heading2"/>
        <w:spacing w:after="120" w:before="240"/>
      </w:pPr>
      <w:r>
        <w:rPr>
          <w:b/>
          <w:bCs/>
          <w:color w:val="0F172A"/>
          <w:sz w:val="28"/>
          <w:szCs w:val="28"/>
        </w:rPr>
        <w:t xml:space="preserve">2.3  Intellectual Property and Copyright Risk</w:t>
      </w:r>
    </w:p>
    <w:p>
      <w:pPr>
        <w:spacing w:after="120"/>
        <w:jc w:val="both"/>
      </w:pPr>
      <w:r>
        <w:rPr>
          <w:sz w:val="22"/>
          <w:szCs w:val="22"/>
        </w:rPr>
        <w:t xml:space="preserve">AI models are trained on large datasets that may include third-party copyrighted material. Outputs generated by AI, including code, written content, and images, may reproduce or closely derive from that material, creating potential copyright infringement risk if used commercially without review.</w:t>
      </w:r>
    </w:p>
    <w:p>
      <w:pPr>
        <w:spacing w:after="120"/>
        <w:jc w:val="both"/>
      </w:pPr>
      <w:r>
        <w:rPr>
          <w:sz w:val="22"/>
          <w:szCs w:val="22"/>
        </w:rPr>
        <w:t xml:space="preserve">Conversely, where users submit proprietary content, code, or business logic into AI tools, there is a risk that this material is exposed beyond the intended scope, depending on the provider's data handling terms. Both risks require careful handling of inputs and outputs.</w:t>
      </w:r>
    </w:p>
    <w:p>
      <w:pPr>
        <w:spacing w:after="120"/>
        <w:jc w:val="both"/>
      </w:pPr>
      <w:r>
        <w:rPr>
          <w:sz w:val="22"/>
          <w:szCs w:val="22"/>
        </w:rPr>
        <w:t xml:space="preserve">Mapping: ISO/IEC 42001 A.10.3 (Third-party content), EU AI Act Art. 53 (Transparency for general-purpose AI).</w:t>
      </w:r>
    </w:p>
    <w:p>
      <w:pPr>
        <w:pStyle w:val="Heading2"/>
        <w:spacing w:after="120" w:before="240"/>
      </w:pPr>
      <w:r>
        <w:rPr>
          <w:b/>
          <w:bCs/>
          <w:color w:val="0F172A"/>
          <w:sz w:val="28"/>
          <w:szCs w:val="28"/>
        </w:rPr>
        <w:t xml:space="preserve">2.4  Bias and Fairness Risk</w:t>
      </w:r>
    </w:p>
    <w:p>
      <w:pPr>
        <w:spacing w:after="120"/>
        <w:jc w:val="both"/>
      </w:pPr>
      <w:r>
        <w:rPr>
          <w:sz w:val="22"/>
          <w:szCs w:val="22"/>
        </w:rPr>
        <w:t xml:space="preserve">AI models can reflect and amplify biases present in their training data. Where AI is used to support decisions that affect individuals — including hiring, credit assessment, fraud detection, customer communications, or eligibility — biased outputs may result in unfair treatment, regulatory breach, or reputational harm.</w:t>
      </w:r>
    </w:p>
    <w:p>
      <w:pPr>
        <w:spacing w:after="120"/>
        <w:jc w:val="both"/>
      </w:pPr>
      <w:r>
        <w:rPr>
          <w:sz w:val="22"/>
          <w:szCs w:val="22"/>
        </w:rPr>
        <w:t xml:space="preserve">This risk applies even where the AI tool is not making a final decision. Outputs used as inputs to human decisions can influence those decisions in ways that are difficult to detect or audit after the fact.</w:t>
      </w:r>
    </w:p>
    <w:p>
      <w:pPr>
        <w:spacing w:after="120"/>
        <w:jc w:val="both"/>
      </w:pPr>
      <w:r>
        <w:rPr>
          <w:sz w:val="22"/>
          <w:szCs w:val="22"/>
        </w:rPr>
        <w:t xml:space="preserve">Mapping: NIST AI RMF MEASURE-2.11, ISO/IEC 42001 A.6.2.6, EU AI Act Art. 10 (Data and data governance), Art. 14 (Human oversight).</w:t>
      </w:r>
    </w:p>
    <w:p>
      <w:pPr>
        <w:pStyle w:val="Heading2"/>
        <w:spacing w:after="120" w:before="240"/>
      </w:pPr>
      <w:r>
        <w:rPr>
          <w:b/>
          <w:bCs/>
          <w:color w:val="0F172A"/>
          <w:sz w:val="28"/>
          <w:szCs w:val="28"/>
        </w:rPr>
        <w:t xml:space="preserve">2.5  Over-Reliance and Erosion of Human Oversight</w:t>
      </w:r>
    </w:p>
    <w:p>
      <w:pPr>
        <w:spacing w:after="120"/>
        <w:jc w:val="both"/>
      </w:pPr>
      <w:r>
        <w:rPr>
          <w:sz w:val="22"/>
          <w:szCs w:val="22"/>
        </w:rPr>
        <w:t xml:space="preserve">As AI tools become more capable and familiar, there is a risk that users apply insufficient critical scrutiny to AI outputs, treating them as authoritative rather than as a starting point for review. This is particularly prevalent in time-pressured environments, or where the subject matter is complex enough that errors are hard to spot.</w:t>
      </w:r>
    </w:p>
    <w:p>
      <w:pPr>
        <w:spacing w:after="120"/>
        <w:jc w:val="both"/>
      </w:pPr>
      <w:r>
        <w:rPr>
          <w:sz w:val="22"/>
          <w:szCs w:val="22"/>
        </w:rPr>
        <w:t xml:space="preserve">Related to this is the risk that human expertise and judgment atrophies in areas where AI is routinely used as a substitute rather than a support. The controls in this Standard are designed to maintain meaningful human oversight at all decision points, not to treat AI as a replacement for professional judgment.</w:t>
      </w:r>
    </w:p>
    <w:p>
      <w:pPr>
        <w:spacing w:after="120"/>
        <w:jc w:val="both"/>
      </w:pPr>
      <w:r>
        <w:rPr>
          <w:sz w:val="22"/>
          <w:szCs w:val="22"/>
        </w:rPr>
        <w:t xml:space="preserve">Mapping: NIST AI RMF GOVERN-2.1, ISO/IEC 42001 A.9.2, EU AI Act Art. 14.</w:t>
      </w:r>
    </w:p>
    <w:p>
      <w:pPr>
        <w:pStyle w:val="Heading2"/>
        <w:spacing w:after="120" w:before="240"/>
      </w:pPr>
      <w:r>
        <w:rPr>
          <w:b/>
          <w:bCs/>
          <w:color w:val="0F172A"/>
          <w:sz w:val="28"/>
          <w:szCs w:val="28"/>
        </w:rPr>
        <w:t xml:space="preserve">2.6  Supply Chain and Third-Party Model Risk</w:t>
      </w:r>
    </w:p>
    <w:p>
      <w:pPr>
        <w:spacing w:after="120"/>
        <w:jc w:val="both"/>
      </w:pPr>
      <w:r>
        <w:rPr>
          <w:sz w:val="22"/>
          <w:szCs w:val="22"/>
        </w:rPr>
        <w:t xml:space="preserve">Use of AI tools involves dependency on third-party providers for model development, infrastructure, and ongoing maintenance. Risks arising from this dependency include changes to a provider's terms of service or data handling practices; provider security incidents affecting data processed through their platform; model updates that alter behaviour in ways that affect organisation workflows; and provider insolvency or discontinuation of service.</w:t>
      </w:r>
    </w:p>
    <w:p>
      <w:pPr>
        <w:spacing w:after="120"/>
        <w:jc w:val="both"/>
      </w:pPr>
      <w:r>
        <w:rPr>
          <w:sz w:val="22"/>
          <w:szCs w:val="22"/>
        </w:rPr>
        <w:t xml:space="preserve">These risks are managed through the Third-Party Risk Management process. Users should be aware that the risk profile of an approved tool may change over time and that reassessment may be triggered by material changes to the provider, the contract, or the model.</w:t>
      </w:r>
    </w:p>
    <w:p>
      <w:pPr>
        <w:spacing w:after="120"/>
        <w:jc w:val="both"/>
      </w:pPr>
      <w:r>
        <w:rPr>
          <w:sz w:val="22"/>
          <w:szCs w:val="22"/>
        </w:rPr>
        <w:t xml:space="preserve">Mapping: NIST AI RMF MAP-4.1, ISO/IEC 42001 A.10.2, OWASP LLM03 (Supply Chain), EU AI Act Art. 25 (Provider obligations).</w:t>
      </w:r>
    </w:p>
    <w:p>
      <w:pPr>
        <w:pStyle w:val="Heading2"/>
        <w:spacing w:after="120" w:before="240"/>
      </w:pPr>
      <w:r>
        <w:rPr>
          <w:b/>
          <w:bCs/>
          <w:color w:val="0F172A"/>
          <w:sz w:val="28"/>
          <w:szCs w:val="28"/>
        </w:rPr>
        <w:t xml:space="preserve">2.7  Agentic AI and Delegated Authority</w:t>
      </w:r>
    </w:p>
    <w:p>
      <w:pPr>
        <w:spacing w:after="120"/>
        <w:jc w:val="both"/>
      </w:pPr>
      <w:r>
        <w:rPr>
          <w:sz w:val="22"/>
          <w:szCs w:val="22"/>
        </w:rPr>
        <w:t xml:space="preserve">The most significant risk associated with modern AI is no longer the absorption of organisation data into model training datasets. Approved AI systems used across the organisation are configured to disable model training by the provider. The primary risk is the actions that AI takes on behalf of users.</w:t>
      </w:r>
    </w:p>
    <w:p>
      <w:pPr>
        <w:spacing w:after="120"/>
        <w:jc w:val="both"/>
      </w:pPr>
      <w:r>
        <w:rPr>
          <w:sz w:val="22"/>
          <w:szCs w:val="22"/>
        </w:rPr>
        <w:t xml:space="preserve">Agentic AI tools operate with the permissions of the user who deploys them. This means:</w:t>
      </w:r>
    </w:p>
    <w:p>
      <w:pPr>
        <w:pStyle w:val="ListParagraph"/>
        <w:numPr>
          <w:ilvl w:val="0"/>
          <w:numId w:val="2"/>
        </w:numPr>
        <w:spacing w:after="80"/>
      </w:pPr>
      <w:r>
        <w:rPr>
          <w:sz w:val="22"/>
          <w:szCs w:val="22"/>
        </w:rPr>
        <w:t xml:space="preserve">Whatever permissions the user holds, the AI agent holds.</w:t>
      </w:r>
    </w:p>
    <w:p>
      <w:pPr>
        <w:pStyle w:val="ListParagraph"/>
        <w:numPr>
          <w:ilvl w:val="0"/>
          <w:numId w:val="2"/>
        </w:numPr>
        <w:spacing w:after="80"/>
      </w:pPr>
      <w:r>
        <w:rPr>
          <w:sz w:val="22"/>
          <w:szCs w:val="22"/>
        </w:rPr>
        <w:t xml:space="preserve">Whatever systems the user can access, the AI agent can access.</w:t>
      </w:r>
    </w:p>
    <w:p>
      <w:pPr>
        <w:pStyle w:val="ListParagraph"/>
        <w:numPr>
          <w:ilvl w:val="0"/>
          <w:numId w:val="2"/>
        </w:numPr>
        <w:spacing w:after="80"/>
      </w:pPr>
      <w:r>
        <w:rPr>
          <w:sz w:val="22"/>
          <w:szCs w:val="22"/>
        </w:rPr>
        <w:t xml:space="preserve">Whatever errors or harmful actions the user could make, the AI agent can make.</w:t>
      </w:r>
    </w:p>
    <w:p>
      <w:pPr>
        <w:spacing w:after="120"/>
        <w:jc w:val="both"/>
      </w:pPr>
      <w:r>
        <w:rPr>
          <w:sz w:val="22"/>
          <w:szCs w:val="22"/>
        </w:rPr>
        <w:t xml:space="preserve">This transforms the threat from 'data disclosure' to 'workflow execution'. The consequence of a security failure is not simply that information is seen or disclosed — it is that actions are taken, potentially irreversibly, across enterprise systems.</w:t>
      </w:r>
    </w:p>
    <w:p>
      <w:pPr>
        <w:spacing w:after="120"/>
        <w:jc w:val="both"/>
      </w:pPr>
      <w:r>
        <w:rPr>
          <w:sz w:val="22"/>
          <w:szCs w:val="22"/>
        </w:rPr>
        <w:t xml:space="preserve">The following attack scenarios have been demonstrated against agentic AI products by security researchers; they are not theoretical:</w:t>
      </w:r>
    </w:p>
    <w:p>
      <w:pPr>
        <w:pStyle w:val="ListParagraph"/>
        <w:numPr>
          <w:ilvl w:val="0"/>
          <w:numId w:val="2"/>
        </w:numPr>
        <w:spacing w:after="80"/>
      </w:pPr>
      <w:r>
        <w:rPr>
          <w:sz w:val="22"/>
          <w:szCs w:val="22"/>
        </w:rPr>
        <w:t xml:space="preserve">File exfiltration: a hidden prompt injection within a document causes an AI agent to upload confidential files to an attacker's external account.</w:t>
      </w:r>
    </w:p>
    <w:p>
      <w:pPr>
        <w:pStyle w:val="ListParagraph"/>
        <w:numPr>
          <w:ilvl w:val="0"/>
          <w:numId w:val="2"/>
        </w:numPr>
        <w:spacing w:after="80"/>
      </w:pPr>
      <w:r>
        <w:rPr>
          <w:sz w:val="22"/>
          <w:szCs w:val="22"/>
        </w:rPr>
        <w:t xml:space="preserve">Data posted to public systems: a malicious instruction embedded in a web page causes an AI agent to paste confidential data to a public space.</w:t>
      </w:r>
    </w:p>
    <w:p>
      <w:pPr>
        <w:pStyle w:val="ListParagraph"/>
        <w:numPr>
          <w:ilvl w:val="0"/>
          <w:numId w:val="2"/>
        </w:numPr>
        <w:spacing w:after="80"/>
      </w:pPr>
      <w:r>
        <w:rPr>
          <w:sz w:val="22"/>
          <w:szCs w:val="22"/>
        </w:rPr>
        <w:t xml:space="preserve">Silent email forwarding: a prompt injection instructs an AI agent to blind-copy outbound emails to an attacker-controlled email address for the duration of a session.</w:t>
      </w:r>
    </w:p>
    <w:p>
      <w:pPr>
        <w:pStyle w:val="ListParagraph"/>
        <w:numPr>
          <w:ilvl w:val="0"/>
          <w:numId w:val="2"/>
        </w:numPr>
        <w:spacing w:after="80"/>
      </w:pPr>
      <w:r>
        <w:rPr>
          <w:sz w:val="22"/>
          <w:szCs w:val="22"/>
        </w:rPr>
        <w:t xml:space="preserve">Automated attack loop: an injected instruction within a scheduled task runs malicious actions repeatedly for an extended period without user oversight.</w:t>
      </w:r>
    </w:p>
    <w:p>
      <w:pPr>
        <w:pStyle w:val="ListParagraph"/>
        <w:numPr>
          <w:ilvl w:val="0"/>
          <w:numId w:val="2"/>
        </w:numPr>
        <w:spacing w:after="80"/>
      </w:pPr>
      <w:r>
        <w:rPr>
          <w:sz w:val="22"/>
          <w:szCs w:val="22"/>
        </w:rPr>
        <w:t xml:space="preserve">Unintended file operations: an ambiguous or misinterpreted instruction causes bulk deletion or modification of files, without approval.</w:t>
      </w:r>
    </w:p>
    <w:p>
      <w:pPr>
        <w:spacing w:after="120"/>
        <w:jc w:val="both"/>
      </w:pPr>
      <w:r>
        <w:rPr>
          <w:sz w:val="22"/>
          <w:szCs w:val="22"/>
        </w:rPr>
        <w:t xml:space="preserve">Mapping: NIST AI RMF MANAGE-1.3, ISO/IEC 42001 A.6.2.7, OWASP LLM06 (Excessive Agency), MITRE ATLAS — Initial Access, Execution, Exfiltration.</w:t>
      </w:r>
    </w:p>
    <w:p>
      <w:pPr>
        <w:pStyle w:val="Heading2"/>
        <w:spacing w:after="120" w:before="240"/>
      </w:pPr>
      <w:r>
        <w:rPr>
          <w:b/>
          <w:bCs/>
          <w:color w:val="0F172A"/>
          <w:sz w:val="28"/>
          <w:szCs w:val="28"/>
        </w:rPr>
        <w:t xml:space="preserve">2.8  Prompt Injection</w:t>
      </w:r>
    </w:p>
    <w:p>
      <w:pPr>
        <w:spacing w:after="120"/>
        <w:jc w:val="both"/>
      </w:pPr>
      <w:r>
        <w:rPr>
          <w:sz w:val="22"/>
          <w:szCs w:val="22"/>
        </w:rPr>
        <w:t xml:space="preserve">'Prompt injection' is the primary attack vector for agentic AI systems. A malicious instruction concealed within content that the AI processes — including documents, web pages, emails, calendar entries, ticket descriptions, and similar — can override or supplement the user's original instruction.</w:t>
      </w:r>
    </w:p>
    <w:p>
      <w:pPr>
        <w:spacing w:after="120"/>
        <w:jc w:val="both"/>
      </w:pPr>
      <w:r>
        <w:rPr>
          <w:sz w:val="22"/>
          <w:szCs w:val="22"/>
        </w:rPr>
        <w:t xml:space="preserve">Common techniques used to conceal injections include (i) using white font text within documents, (ii) invisible HTML elements on web pages, (iii) zero-width characters and unicode obfuscation, and (iv) encoded instructions within file metadata. These are not visible to the user reviewing the content manually.</w:t>
      </w:r>
    </w:p>
    <w:p>
      <w:pPr>
        <w:spacing w:after="120"/>
        <w:jc w:val="both"/>
      </w:pPr>
      <w:r>
        <w:rPr>
          <w:sz w:val="22"/>
          <w:szCs w:val="22"/>
        </w:rPr>
        <w:t xml:space="preserve">Mapping: OWASP LLM01 (Prompt Injection), NIST AI RMF MEASURE-2.7, MITRE ATLAS — Initial Access (Prompt Injection).</w:t>
      </w:r>
    </w:p>
    <w:p>
      <w:r>
        <w:br w:type="page"/>
      </w:r>
    </w:p>
    <w:p>
      <w:pPr>
        <w:pStyle w:val="Heading1"/>
        <w:spacing w:after="160" w:before="320"/>
      </w:pPr>
      <w:r>
        <w:rPr>
          <w:b/>
          <w:bCs/>
          <w:color w:val="0F172A"/>
          <w:sz w:val="36"/>
          <w:szCs w:val="36"/>
        </w:rPr>
        <w:t xml:space="preserve">3.  Requirements for AI Tool Use</w:t>
      </w:r>
    </w:p>
    <w:p>
      <w:pPr>
        <w:pStyle w:val="Heading2"/>
        <w:spacing w:after="120" w:before="240"/>
      </w:pPr>
      <w:r>
        <w:rPr>
          <w:b/>
          <w:bCs/>
          <w:color w:val="0F172A"/>
          <w:sz w:val="28"/>
          <w:szCs w:val="28"/>
        </w:rPr>
        <w:t xml:space="preserve">3.1  General Principles</w:t>
      </w:r>
    </w:p>
    <w:p>
      <w:pPr>
        <w:spacing w:after="120"/>
        <w:jc w:val="both"/>
      </w:pPr>
      <w:r>
        <w:rPr>
          <w:sz w:val="22"/>
          <w:szCs w:val="22"/>
        </w:rPr>
        <w:t xml:space="preserve">All users of AI tools, including agentic AI, must adhere to the following general principles. These principles are non-negotiable and form the foundation of the requirements that follow.</w:t>
      </w:r>
    </w:p>
    <w:p>
      <w:pPr>
        <w:pStyle w:val="ListParagraph"/>
        <w:numPr>
          <w:ilvl w:val="0"/>
          <w:numId w:val="2"/>
        </w:numPr>
        <w:spacing w:after="80"/>
      </w:pPr>
      <w:r>
        <w:rPr>
          <w:sz w:val="22"/>
          <w:szCs w:val="22"/>
        </w:rPr>
        <w:t xml:space="preserve">Users must not use personal AI accounts for organisation work. The organisation's data handling, contractual, and regulatory obligations only attach to managed organisation accounts. Personal accounts inherit none of these protections.</w:t>
      </w:r>
    </w:p>
    <w:p>
      <w:pPr>
        <w:pStyle w:val="ListParagraph"/>
        <w:numPr>
          <w:ilvl w:val="0"/>
          <w:numId w:val="2"/>
        </w:numPr>
        <w:spacing w:after="80"/>
      </w:pPr>
      <w:r>
        <w:rPr>
          <w:sz w:val="22"/>
          <w:szCs w:val="22"/>
        </w:rPr>
        <w:t xml:space="preserve">Generating customer-facing or external content using AI without documented human review and sign-off is prohibited.</w:t>
      </w:r>
    </w:p>
    <w:p>
      <w:pPr>
        <w:pStyle w:val="ListParagraph"/>
        <w:numPr>
          <w:ilvl w:val="0"/>
          <w:numId w:val="2"/>
        </w:numPr>
        <w:spacing w:after="80"/>
      </w:pPr>
      <w:r>
        <w:rPr>
          <w:sz w:val="22"/>
          <w:szCs w:val="22"/>
        </w:rPr>
        <w:t xml:space="preserve">AI outputs must not be used to automate decisions that bypass standard quality assurance, peer review, or legal checks.</w:t>
      </w:r>
    </w:p>
    <w:p>
      <w:pPr>
        <w:pStyle w:val="ListParagraph"/>
        <w:numPr>
          <w:ilvl w:val="0"/>
          <w:numId w:val="2"/>
        </w:numPr>
        <w:spacing w:after="80"/>
      </w:pPr>
      <w:r>
        <w:rPr>
          <w:sz w:val="22"/>
          <w:szCs w:val="22"/>
        </w:rPr>
        <w:t xml:space="preserve">AI must not be used to make or support decisions that affect individuals (e.g. hiring, credit assessment, fraud detection) without documented fairness testing and meaningful human oversight.</w:t>
      </w:r>
    </w:p>
    <w:p>
      <w:pPr>
        <w:pStyle w:val="ListParagraph"/>
        <w:numPr>
          <w:ilvl w:val="0"/>
          <w:numId w:val="2"/>
        </w:numPr>
        <w:spacing w:after="80"/>
      </w:pPr>
      <w:r>
        <w:rPr>
          <w:sz w:val="22"/>
          <w:szCs w:val="22"/>
        </w:rPr>
        <w:t xml:space="preserve">Each approved AI tool must have a named owner within the business, responsible for monitoring its ongoing risk profile and triggering reassessment where material changes occur.</w:t>
      </w:r>
    </w:p>
    <w:p>
      <w:pPr>
        <w:pStyle w:val="ListParagraph"/>
        <w:numPr>
          <w:ilvl w:val="0"/>
          <w:numId w:val="2"/>
        </w:numPr>
        <w:spacing w:after="80"/>
      </w:pPr>
      <w:r>
        <w:rPr>
          <w:sz w:val="22"/>
          <w:szCs w:val="22"/>
        </w:rPr>
        <w:t xml:space="preserve">Users must actively monitor AI tasks while they are running. AI tools operate on behalf of the user; the user remains accountable for all actions the tool takes.</w:t>
      </w:r>
    </w:p>
    <w:p>
      <w:pPr>
        <w:pStyle w:val="ListParagraph"/>
        <w:numPr>
          <w:ilvl w:val="0"/>
          <w:numId w:val="2"/>
        </w:numPr>
        <w:spacing w:after="80"/>
      </w:pPr>
      <w:r>
        <w:rPr>
          <w:sz w:val="22"/>
          <w:szCs w:val="22"/>
        </w:rPr>
        <w:t xml:space="preserve">Tasks must be scoped to the minimum necessary to achieve the required outcome. Broad, open-ended autonomous tasks carry greater risk of unintended action.</w:t>
      </w:r>
    </w:p>
    <w:p>
      <w:pPr>
        <w:spacing w:after="120"/>
        <w:jc w:val="both"/>
      </w:pPr>
      <w:r>
        <w:rPr>
          <w:sz w:val="22"/>
          <w:szCs w:val="22"/>
        </w:rPr>
        <w:t xml:space="preserve">All AI-generated outputs must be reviewed, attributed, and validated before use. The following baseline controls apply:</w:t>
      </w:r>
    </w:p>
    <w:p>
      <w:pPr>
        <w:pStyle w:val="ListParagraph"/>
        <w:numPr>
          <w:ilvl w:val="0"/>
          <w:numId w:val="2"/>
        </w:numPr>
        <w:spacing w:after="80"/>
      </w:pPr>
      <w:r>
        <w:rPr>
          <w:sz w:val="22"/>
          <w:szCs w:val="22"/>
        </w:rPr>
        <w:t xml:space="preserve">Customer-facing or external content: mandatory human review before distribution.</w:t>
      </w:r>
    </w:p>
    <w:p>
      <w:pPr>
        <w:pStyle w:val="ListParagraph"/>
        <w:numPr>
          <w:ilvl w:val="0"/>
          <w:numId w:val="2"/>
        </w:numPr>
        <w:spacing w:after="80"/>
      </w:pPr>
      <w:r>
        <w:rPr>
          <w:sz w:val="22"/>
          <w:szCs w:val="22"/>
        </w:rPr>
        <w:t xml:space="preserve">Generated code: peer review and security validation (e.g. SAST, dependency scan) required before release to production.</w:t>
      </w:r>
    </w:p>
    <w:p>
      <w:pPr>
        <w:pStyle w:val="ListParagraph"/>
        <w:numPr>
          <w:ilvl w:val="0"/>
          <w:numId w:val="2"/>
        </w:numPr>
        <w:spacing w:after="80"/>
      </w:pPr>
      <w:r>
        <w:rPr>
          <w:sz w:val="22"/>
          <w:szCs w:val="22"/>
        </w:rPr>
        <w:t xml:space="preserve">Internal documentation: any materially generated documents must be checked for accuracy and attribution before further sharing.</w:t>
      </w:r>
    </w:p>
    <w:p>
      <w:pPr>
        <w:pStyle w:val="Heading2"/>
        <w:spacing w:after="120" w:before="240"/>
      </w:pPr>
      <w:r>
        <w:rPr>
          <w:b/>
          <w:bCs/>
          <w:color w:val="0F172A"/>
          <w:sz w:val="28"/>
          <w:szCs w:val="28"/>
        </w:rPr>
        <w:t xml:space="preserve">3.2  What Is Safe Use of AI?</w:t>
      </w:r>
    </w:p>
    <w:p>
      <w:pPr>
        <w:spacing w:after="120"/>
        <w:jc w:val="both"/>
      </w:pPr>
      <w:r>
        <w:rPr>
          <w:sz w:val="22"/>
          <w:szCs w:val="22"/>
        </w:rPr>
        <w:t xml:space="preserve">No AI use case is 100% risk-free, but many are very low risk. In general, the safest category is language transformation of material the user already understands and controls.</w:t>
      </w:r>
    </w:p>
    <w:p>
      <w:pPr>
        <w:pStyle w:val="Heading3"/>
        <w:spacing w:after="100" w:before="200"/>
      </w:pPr>
      <w:r>
        <w:rPr>
          <w:b/>
          <w:bCs/>
          <w:color w:val="0F172A"/>
          <w:sz w:val="24"/>
          <w:szCs w:val="24"/>
        </w:rPr>
        <w:t xml:space="preserve">3.2.1  Approved Low-Risk Uses</w:t>
      </w:r>
    </w:p>
    <w:p>
      <w:pPr>
        <w:spacing w:after="120"/>
        <w:jc w:val="both"/>
      </w:pPr>
      <w:r>
        <w:rPr>
          <w:sz w:val="22"/>
          <w:szCs w:val="22"/>
        </w:rPr>
        <w:t xml:space="preserve">The following uses are generally permitted, provided no restricted data is entered and outputs are reviewed by the user before use:</w:t>
      </w:r>
    </w:p>
    <w:p>
      <w:pPr>
        <w:spacing w:after="120"/>
        <w:jc w:val="both"/>
      </w:pPr>
      <w:r>
        <w:rPr>
          <w:b/>
          <w:bCs/>
          <w:sz w:val="22"/>
          <w:szCs w:val="22"/>
        </w:rPr>
        <w:t xml:space="preserve">Writing and communication:</w:t>
      </w:r>
    </w:p>
    <w:p>
      <w:pPr>
        <w:pStyle w:val="ListParagraph"/>
        <w:numPr>
          <w:ilvl w:val="0"/>
          <w:numId w:val="2"/>
        </w:numPr>
        <w:spacing w:after="80"/>
      </w:pPr>
      <w:r>
        <w:rPr>
          <w:sz w:val="22"/>
          <w:szCs w:val="22"/>
        </w:rPr>
        <w:t xml:space="preserve">Rewriting for clarity, tone, grammar, or brevity.</w:t>
      </w:r>
    </w:p>
    <w:p>
      <w:pPr>
        <w:pStyle w:val="ListParagraph"/>
        <w:numPr>
          <w:ilvl w:val="0"/>
          <w:numId w:val="2"/>
        </w:numPr>
        <w:spacing w:after="80"/>
      </w:pPr>
      <w:r>
        <w:rPr>
          <w:sz w:val="22"/>
          <w:szCs w:val="22"/>
        </w:rPr>
        <w:t xml:space="preserve">Summarising notes, drafts, or meeting transcripts.</w:t>
      </w:r>
    </w:p>
    <w:p>
      <w:pPr>
        <w:pStyle w:val="ListParagraph"/>
        <w:numPr>
          <w:ilvl w:val="0"/>
          <w:numId w:val="2"/>
        </w:numPr>
        <w:spacing w:after="80"/>
      </w:pPr>
      <w:r>
        <w:rPr>
          <w:sz w:val="22"/>
          <w:szCs w:val="22"/>
        </w:rPr>
        <w:t xml:space="preserve">Drafting emails, agendas, status updates, and internal documents.</w:t>
      </w:r>
    </w:p>
    <w:p>
      <w:pPr>
        <w:pStyle w:val="ListParagraph"/>
        <w:numPr>
          <w:ilvl w:val="0"/>
          <w:numId w:val="2"/>
        </w:numPr>
        <w:spacing w:after="80"/>
      </w:pPr>
      <w:r>
        <w:rPr>
          <w:sz w:val="22"/>
          <w:szCs w:val="22"/>
        </w:rPr>
        <w:t xml:space="preserve">Turning rough notes into structured outlines or action lists.</w:t>
      </w:r>
    </w:p>
    <w:p>
      <w:pPr>
        <w:pStyle w:val="ListParagraph"/>
        <w:numPr>
          <w:ilvl w:val="0"/>
          <w:numId w:val="2"/>
        </w:numPr>
        <w:spacing w:after="80"/>
      </w:pPr>
      <w:r>
        <w:rPr>
          <w:sz w:val="22"/>
          <w:szCs w:val="22"/>
        </w:rPr>
        <w:t xml:space="preserve">Translating non-sensitive business text.</w:t>
      </w:r>
    </w:p>
    <w:p>
      <w:pPr>
        <w:spacing w:after="120"/>
        <w:jc w:val="both"/>
      </w:pPr>
      <w:r>
        <w:rPr>
          <w:b/>
          <w:bCs/>
          <w:sz w:val="22"/>
          <w:szCs w:val="22"/>
        </w:rPr>
        <w:t xml:space="preserve">Knowledge work and productivity:</w:t>
      </w:r>
    </w:p>
    <w:p>
      <w:pPr>
        <w:pStyle w:val="ListParagraph"/>
        <w:numPr>
          <w:ilvl w:val="0"/>
          <w:numId w:val="2"/>
        </w:numPr>
        <w:spacing w:after="80"/>
      </w:pPr>
      <w:r>
        <w:rPr>
          <w:sz w:val="22"/>
          <w:szCs w:val="22"/>
        </w:rPr>
        <w:t xml:space="preserve">Brainstorming ideas, names, titles, and questions.</w:t>
      </w:r>
    </w:p>
    <w:p>
      <w:pPr>
        <w:pStyle w:val="ListParagraph"/>
        <w:numPr>
          <w:ilvl w:val="0"/>
          <w:numId w:val="2"/>
        </w:numPr>
        <w:spacing w:after="80"/>
      </w:pPr>
      <w:r>
        <w:rPr>
          <w:sz w:val="22"/>
          <w:szCs w:val="22"/>
        </w:rPr>
        <w:t xml:space="preserve">Generating templates, checklists, FAQs, and first drafts.</w:t>
      </w:r>
    </w:p>
    <w:p>
      <w:pPr>
        <w:pStyle w:val="ListParagraph"/>
        <w:numPr>
          <w:ilvl w:val="0"/>
          <w:numId w:val="2"/>
        </w:numPr>
        <w:spacing w:after="80"/>
      </w:pPr>
      <w:r>
        <w:rPr>
          <w:sz w:val="22"/>
          <w:szCs w:val="22"/>
        </w:rPr>
        <w:t xml:space="preserve">Organising existing content into tables, summaries, or plans.</w:t>
      </w:r>
    </w:p>
    <w:p>
      <w:pPr>
        <w:pStyle w:val="ListParagraph"/>
        <w:numPr>
          <w:ilvl w:val="0"/>
          <w:numId w:val="2"/>
        </w:numPr>
        <w:spacing w:after="80"/>
      </w:pPr>
      <w:r>
        <w:rPr>
          <w:sz w:val="22"/>
          <w:szCs w:val="22"/>
        </w:rPr>
        <w:t xml:space="preserve">Preparing meeting briefs and extracting action items.</w:t>
      </w:r>
    </w:p>
    <w:p>
      <w:pPr>
        <w:pStyle w:val="ListParagraph"/>
        <w:numPr>
          <w:ilvl w:val="0"/>
          <w:numId w:val="2"/>
        </w:numPr>
        <w:spacing w:after="80"/>
      </w:pPr>
      <w:r>
        <w:rPr>
          <w:sz w:val="22"/>
          <w:szCs w:val="22"/>
        </w:rPr>
        <w:t xml:space="preserve">Synthesising themes from non-sensitive survey or feedback text.</w:t>
      </w:r>
    </w:p>
    <w:p>
      <w:pPr>
        <w:spacing w:after="120"/>
        <w:jc w:val="both"/>
      </w:pPr>
      <w:r>
        <w:rPr>
          <w:b/>
          <w:bCs/>
          <w:sz w:val="22"/>
          <w:szCs w:val="22"/>
        </w:rPr>
        <w:t xml:space="preserve">Technical assistance with review:</w:t>
      </w:r>
    </w:p>
    <w:p>
      <w:pPr>
        <w:pStyle w:val="ListParagraph"/>
        <w:numPr>
          <w:ilvl w:val="0"/>
          <w:numId w:val="2"/>
        </w:numPr>
        <w:spacing w:after="80"/>
      </w:pPr>
      <w:r>
        <w:rPr>
          <w:sz w:val="22"/>
          <w:szCs w:val="22"/>
        </w:rPr>
        <w:t xml:space="preserve">Generating draft formulas, SQL, scripts, test cases, or documentation for human validation.</w:t>
      </w:r>
    </w:p>
    <w:p>
      <w:pPr>
        <w:pStyle w:val="ListParagraph"/>
        <w:numPr>
          <w:ilvl w:val="0"/>
          <w:numId w:val="2"/>
        </w:numPr>
        <w:spacing w:after="80"/>
      </w:pPr>
      <w:r>
        <w:rPr>
          <w:sz w:val="22"/>
          <w:szCs w:val="22"/>
        </w:rPr>
        <w:t xml:space="preserve">Explaining code, concepts, jargon, or architecture at a general level.</w:t>
      </w:r>
    </w:p>
    <w:p>
      <w:pPr>
        <w:pStyle w:val="ListParagraph"/>
        <w:numPr>
          <w:ilvl w:val="0"/>
          <w:numId w:val="2"/>
        </w:numPr>
        <w:spacing w:after="80"/>
      </w:pPr>
      <w:r>
        <w:rPr>
          <w:sz w:val="22"/>
          <w:szCs w:val="22"/>
        </w:rPr>
        <w:t xml:space="preserve">Helping with non-production prototypes or internal productivity tasks.</w:t>
      </w:r>
    </w:p>
    <w:p>
      <w:pPr>
        <w:pStyle w:val="ListParagraph"/>
        <w:numPr>
          <w:ilvl w:val="0"/>
          <w:numId w:val="2"/>
        </w:numPr>
        <w:spacing w:after="80"/>
      </w:pPr>
      <w:r>
        <w:rPr>
          <w:sz w:val="22"/>
          <w:szCs w:val="22"/>
        </w:rPr>
        <w:t xml:space="preserve">Building checklists for onboarding, launches, or reviews.</w:t>
      </w:r>
    </w:p>
    <w:p>
      <w:pPr>
        <w:pStyle w:val="Heading3"/>
        <w:spacing w:after="100" w:before="200"/>
      </w:pPr>
      <w:r>
        <w:rPr>
          <w:b/>
          <w:bCs/>
          <w:color w:val="0F172A"/>
          <w:sz w:val="24"/>
          <w:szCs w:val="24"/>
        </w:rPr>
        <w:t xml:space="preserve">3.2.2  Restricted Uses (Conditional Permission)</w:t>
      </w:r>
    </w:p>
    <w:p>
      <w:pPr>
        <w:spacing w:after="120"/>
        <w:jc w:val="both"/>
      </w:pPr>
      <w:r>
        <w:rPr>
          <w:sz w:val="22"/>
          <w:szCs w:val="22"/>
        </w:rPr>
        <w:t xml:space="preserve">The following uses are permitted only with documented approval, additional controls, or a Data Protection Impact Assessment (DPIA) where applicable:</w:t>
      </w:r>
    </w:p>
    <w:p>
      <w:pPr>
        <w:pStyle w:val="ListParagraph"/>
        <w:numPr>
          <w:ilvl w:val="0"/>
          <w:numId w:val="2"/>
        </w:numPr>
        <w:spacing w:after="80"/>
      </w:pPr>
      <w:r>
        <w:rPr>
          <w:sz w:val="22"/>
          <w:szCs w:val="22"/>
        </w:rPr>
        <w:t xml:space="preserve">Processing or summarising documents containing personal data, where the lawful basis and minimisation principles have been confirmed.</w:t>
      </w:r>
    </w:p>
    <w:p>
      <w:pPr>
        <w:pStyle w:val="ListParagraph"/>
        <w:numPr>
          <w:ilvl w:val="0"/>
          <w:numId w:val="2"/>
        </w:numPr>
        <w:spacing w:after="80"/>
      </w:pPr>
      <w:r>
        <w:rPr>
          <w:sz w:val="22"/>
          <w:szCs w:val="22"/>
        </w:rPr>
        <w:t xml:space="preserve">Drafting external communications, marketing copy, or customer-facing content (subject to human review and sign-off).</w:t>
      </w:r>
    </w:p>
    <w:p>
      <w:pPr>
        <w:pStyle w:val="ListParagraph"/>
        <w:numPr>
          <w:ilvl w:val="0"/>
          <w:numId w:val="2"/>
        </w:numPr>
        <w:spacing w:after="80"/>
      </w:pPr>
      <w:r>
        <w:rPr>
          <w:sz w:val="22"/>
          <w:szCs w:val="22"/>
        </w:rPr>
        <w:t xml:space="preserve">Generating code that will be deployed to production (subject to peer review and security validation).</w:t>
      </w:r>
    </w:p>
    <w:p>
      <w:pPr>
        <w:pStyle w:val="ListParagraph"/>
        <w:numPr>
          <w:ilvl w:val="0"/>
          <w:numId w:val="2"/>
        </w:numPr>
        <w:spacing w:after="80"/>
      </w:pPr>
      <w:r>
        <w:rPr>
          <w:sz w:val="22"/>
          <w:szCs w:val="22"/>
        </w:rPr>
        <w:t xml:space="preserve">Building automations, agents, or scheduled tasks that act on the user's behalf (subject to the controls in Sections 3.6 – 3.8).</w:t>
      </w:r>
    </w:p>
    <w:p>
      <w:pPr>
        <w:pStyle w:val="Heading2"/>
        <w:spacing w:after="120" w:before="240"/>
      </w:pPr>
      <w:r>
        <w:rPr>
          <w:b/>
          <w:bCs/>
          <w:color w:val="0F172A"/>
          <w:sz w:val="28"/>
          <w:szCs w:val="28"/>
        </w:rPr>
        <w:t xml:space="preserve">3.3  Prohibited Use Cases</w:t>
      </w:r>
    </w:p>
    <w:p>
      <w:pPr>
        <w:spacing w:after="120"/>
        <w:jc w:val="both"/>
      </w:pPr>
      <w:r>
        <w:rPr>
          <w:sz w:val="22"/>
          <w:szCs w:val="22"/>
        </w:rPr>
        <w:t xml:space="preserve">AI tools must not be used for the following:</w:t>
      </w:r>
    </w:p>
    <w:p>
      <w:pPr>
        <w:pStyle w:val="ListParagraph"/>
        <w:numPr>
          <w:ilvl w:val="0"/>
          <w:numId w:val="2"/>
        </w:numPr>
        <w:spacing w:after="80"/>
      </w:pPr>
      <w:r>
        <w:rPr>
          <w:sz w:val="22"/>
          <w:szCs w:val="22"/>
        </w:rPr>
        <w:t xml:space="preserve">Any workflow that requires a documented audit trail for regulatory compliance purposes, where the AI tool cannot produce one.</w:t>
      </w:r>
    </w:p>
    <w:p>
      <w:pPr>
        <w:pStyle w:val="ListParagraph"/>
        <w:numPr>
          <w:ilvl w:val="0"/>
          <w:numId w:val="2"/>
        </w:numPr>
        <w:spacing w:after="80"/>
      </w:pPr>
      <w:r>
        <w:rPr>
          <w:sz w:val="22"/>
          <w:szCs w:val="22"/>
        </w:rPr>
        <w:t xml:space="preserve">Processing of customer personal data beyond what is strictly necessary and proportionate for the task.</w:t>
      </w:r>
    </w:p>
    <w:p>
      <w:pPr>
        <w:pStyle w:val="ListParagraph"/>
        <w:numPr>
          <w:ilvl w:val="0"/>
          <w:numId w:val="2"/>
        </w:numPr>
        <w:spacing w:after="80"/>
      </w:pPr>
      <w:r>
        <w:rPr>
          <w:sz w:val="22"/>
          <w:szCs w:val="22"/>
        </w:rPr>
        <w:t xml:space="preserve">Handling of payment card data, authentication credentials, cryptographic keys, or any data subject to PCI-DSS controls.</w:t>
      </w:r>
    </w:p>
    <w:p>
      <w:pPr>
        <w:pStyle w:val="ListParagraph"/>
        <w:numPr>
          <w:ilvl w:val="0"/>
          <w:numId w:val="2"/>
        </w:numPr>
        <w:spacing w:after="80"/>
      </w:pPr>
      <w:r>
        <w:rPr>
          <w:sz w:val="22"/>
          <w:szCs w:val="22"/>
        </w:rPr>
        <w:t xml:space="preserve">Any workflow subject to financial regulatory obligations, personal data processing restrictions, or contractual data processing agreements with clients, unless the specific use has been pre-authorised.</w:t>
      </w:r>
    </w:p>
    <w:p>
      <w:pPr>
        <w:pStyle w:val="ListParagraph"/>
        <w:numPr>
          <w:ilvl w:val="0"/>
          <w:numId w:val="2"/>
        </w:numPr>
        <w:spacing w:after="80"/>
      </w:pPr>
      <w:r>
        <w:rPr>
          <w:sz w:val="22"/>
          <w:szCs w:val="22"/>
        </w:rPr>
        <w:t xml:space="preserve">Tasks that a user would not be authorised to perform manually under the organisation's existing access control policies.</w:t>
      </w:r>
    </w:p>
    <w:p>
      <w:pPr>
        <w:pStyle w:val="ListParagraph"/>
        <w:numPr>
          <w:ilvl w:val="0"/>
          <w:numId w:val="2"/>
        </w:numPr>
        <w:spacing w:after="80"/>
      </w:pPr>
      <w:r>
        <w:rPr>
          <w:sz w:val="22"/>
          <w:szCs w:val="22"/>
        </w:rPr>
        <w:t xml:space="preserve">Using AI via personal (non-organisation) accounts for any organisation task.</w:t>
      </w:r>
    </w:p>
    <w:p>
      <w:pPr>
        <w:pStyle w:val="ListParagraph"/>
        <w:numPr>
          <w:ilvl w:val="0"/>
          <w:numId w:val="2"/>
        </w:numPr>
        <w:spacing w:after="80"/>
      </w:pPr>
      <w:r>
        <w:rPr>
          <w:sz w:val="22"/>
          <w:szCs w:val="22"/>
        </w:rPr>
        <w:t xml:space="preserve">Uploading any personal data or organisation-sensitive material into unsanctioned tools.</w:t>
      </w:r>
    </w:p>
    <w:p>
      <w:pPr>
        <w:pStyle w:val="ListParagraph"/>
        <w:numPr>
          <w:ilvl w:val="0"/>
          <w:numId w:val="2"/>
        </w:numPr>
        <w:spacing w:after="80"/>
      </w:pPr>
      <w:r>
        <w:rPr>
          <w:sz w:val="22"/>
          <w:szCs w:val="22"/>
        </w:rPr>
        <w:t xml:space="preserve">Generating customer-facing content using AI without documented human review.</w:t>
      </w:r>
    </w:p>
    <w:p>
      <w:pPr>
        <w:pStyle w:val="ListParagraph"/>
        <w:numPr>
          <w:ilvl w:val="0"/>
          <w:numId w:val="2"/>
        </w:numPr>
        <w:spacing w:after="80"/>
      </w:pPr>
      <w:r>
        <w:rPr>
          <w:sz w:val="22"/>
          <w:szCs w:val="22"/>
        </w:rPr>
        <w:t xml:space="preserve">Automating decisions with AI outputs that bypass standard QA, peer review, or legal checks where those checks would be part of the prior process.</w:t>
      </w:r>
    </w:p>
    <w:p>
      <w:pPr>
        <w:pStyle w:val="ListParagraph"/>
        <w:numPr>
          <w:ilvl w:val="0"/>
          <w:numId w:val="2"/>
        </w:numPr>
        <w:spacing w:after="80"/>
      </w:pPr>
      <w:r>
        <w:rPr>
          <w:sz w:val="22"/>
          <w:szCs w:val="22"/>
        </w:rPr>
        <w:t xml:space="preserve">Using AI to make or support decisions that affect individuals (e.g. hiring, credit, fraud detection) without documented fairness testing and human oversight.</w:t>
      </w:r>
    </w:p>
    <w:p>
      <w:pPr>
        <w:pStyle w:val="ListParagraph"/>
        <w:numPr>
          <w:ilvl w:val="0"/>
          <w:numId w:val="2"/>
        </w:numPr>
        <w:spacing w:after="80"/>
      </w:pPr>
      <w:r>
        <w:rPr>
          <w:sz w:val="22"/>
          <w:szCs w:val="22"/>
        </w:rPr>
        <w:t xml:space="preserve">Failing to assign ownership or maintain documentation for AI tools in use.</w:t>
      </w:r>
    </w:p>
    <w:p>
      <w:pPr>
        <w:pStyle w:val="Heading2"/>
        <w:spacing w:after="120" w:before="240"/>
      </w:pPr>
      <w:r>
        <w:rPr>
          <w:b/>
          <w:bCs/>
          <w:color w:val="0F172A"/>
          <w:sz w:val="28"/>
          <w:szCs w:val="28"/>
        </w:rPr>
        <w:t xml:space="preserve">3.4  File and Data Access</w:t>
      </w:r>
    </w:p>
    <w:p>
      <w:pPr>
        <w:spacing w:after="120"/>
        <w:jc w:val="both"/>
      </w:pPr>
      <w:r>
        <w:rPr>
          <w:sz w:val="22"/>
          <w:szCs w:val="22"/>
        </w:rPr>
        <w:t xml:space="preserve">The following requirements apply when granting AI tools access to local files and data:</w:t>
      </w:r>
    </w:p>
    <w:p>
      <w:pPr>
        <w:pStyle w:val="ListParagraph"/>
        <w:numPr>
          <w:ilvl w:val="0"/>
          <w:numId w:val="2"/>
        </w:numPr>
        <w:spacing w:after="80"/>
      </w:pPr>
      <w:r>
        <w:rPr>
          <w:sz w:val="22"/>
          <w:szCs w:val="22"/>
        </w:rPr>
        <w:t xml:space="preserve">Users must only grant access to a dedicated, purpose-limited working folder. Broad access to Documents, Desktop, the home directory, or other such locations is not permitted.</w:t>
      </w:r>
    </w:p>
    <w:p>
      <w:pPr>
        <w:pStyle w:val="ListParagraph"/>
        <w:numPr>
          <w:ilvl w:val="0"/>
          <w:numId w:val="2"/>
        </w:numPr>
        <w:spacing w:after="80"/>
      </w:pPr>
      <w:r>
        <w:rPr>
          <w:sz w:val="22"/>
          <w:szCs w:val="22"/>
        </w:rPr>
        <w:t xml:space="preserve">Users must maintain backups of any files to which AI tools are granted access. AI tools can delete files.</w:t>
      </w:r>
    </w:p>
    <w:p>
      <w:pPr>
        <w:pStyle w:val="ListParagraph"/>
        <w:numPr>
          <w:ilvl w:val="0"/>
          <w:numId w:val="2"/>
        </w:numPr>
        <w:spacing w:after="80"/>
      </w:pPr>
      <w:r>
        <w:rPr>
          <w:sz w:val="22"/>
          <w:szCs w:val="22"/>
        </w:rPr>
        <w:t xml:space="preserve">Where AI tools present a permission prompt, users must read the prompt carefully before selecting 'Allow'. Note that a single approval may authorise bulk operations across multiple files.</w:t>
      </w:r>
    </w:p>
    <w:p>
      <w:pPr>
        <w:pStyle w:val="ListParagraph"/>
        <w:numPr>
          <w:ilvl w:val="0"/>
          <w:numId w:val="2"/>
        </w:numPr>
        <w:spacing w:after="80"/>
      </w:pPr>
      <w:r>
        <w:rPr>
          <w:sz w:val="22"/>
          <w:szCs w:val="22"/>
        </w:rPr>
        <w:t xml:space="preserve">The AI tool must not be granted access to file shares containing personal data unless the use case has been explicitly authorised and a DPIA, where applicable, has been completed.</w:t>
      </w:r>
    </w:p>
    <w:p>
      <w:pPr>
        <w:pStyle w:val="Heading2"/>
        <w:spacing w:after="120" w:before="240"/>
      </w:pPr>
      <w:r>
        <w:rPr>
          <w:b/>
          <w:bCs/>
          <w:color w:val="0F172A"/>
          <w:sz w:val="28"/>
          <w:szCs w:val="28"/>
        </w:rPr>
        <w:t xml:space="preserve">3.5  Browser Automation</w:t>
      </w:r>
    </w:p>
    <w:p>
      <w:pPr>
        <w:spacing w:after="120"/>
        <w:jc w:val="both"/>
      </w:pPr>
      <w:r>
        <w:rPr>
          <w:sz w:val="22"/>
          <w:szCs w:val="22"/>
        </w:rPr>
        <w:t xml:space="preserve">Agentic AI tools that operate within or alongside a web browser are the highest-risk capability available to end users. They can take screenshots of active browser tabs, fill forms, click interface elements, and execute actions using the user's authenticated browser sessions. The following requirements apply:</w:t>
      </w:r>
    </w:p>
    <w:p>
      <w:pPr>
        <w:pStyle w:val="ListParagraph"/>
        <w:numPr>
          <w:ilvl w:val="0"/>
          <w:numId w:val="2"/>
        </w:numPr>
        <w:spacing w:after="80"/>
      </w:pPr>
      <w:r>
        <w:rPr>
          <w:sz w:val="22"/>
          <w:szCs w:val="22"/>
        </w:rPr>
        <w:t xml:space="preserve">AI browser automation must not be used to interact with the following categories of system: online banking and financial portals; HR, payroll, and benefits platforms; cloud infrastructure consoles; identity provider and SSO administration panels; password managers; healthcare systems; and any internal administration tool.</w:t>
      </w:r>
    </w:p>
    <w:p>
      <w:pPr>
        <w:pStyle w:val="ListParagraph"/>
        <w:numPr>
          <w:ilvl w:val="0"/>
          <w:numId w:val="2"/>
        </w:numPr>
        <w:spacing w:after="80"/>
      </w:pPr>
      <w:r>
        <w:rPr>
          <w:sz w:val="22"/>
          <w:szCs w:val="22"/>
        </w:rPr>
        <w:t xml:space="preserve">Users must treat every web page accessed by an AI browser agent as a potential prompt-injection source. Malicious instructions may be concealed within page content invisible to the user.</w:t>
      </w:r>
    </w:p>
    <w:p>
      <w:pPr>
        <w:pStyle w:val="ListParagraph"/>
        <w:numPr>
          <w:ilvl w:val="0"/>
          <w:numId w:val="2"/>
        </w:numPr>
        <w:spacing w:after="80"/>
      </w:pPr>
      <w:r>
        <w:rPr>
          <w:sz w:val="22"/>
          <w:szCs w:val="22"/>
        </w:rPr>
        <w:t xml:space="preserve">Within browser sandboxes with no write access there is a relatively lower risk; however, when using desktop AI applications with full operating system permissions, this risk increases substantially.</w:t>
      </w:r>
    </w:p>
    <w:p>
      <w:pPr>
        <w:pStyle w:val="Heading2"/>
        <w:spacing w:after="120" w:before="240"/>
      </w:pPr>
      <w:r>
        <w:rPr>
          <w:b/>
          <w:bCs/>
          <w:color w:val="0F172A"/>
          <w:sz w:val="28"/>
          <w:szCs w:val="28"/>
        </w:rPr>
        <w:t xml:space="preserve">3.6  Scheduled and Automated Tasks</w:t>
      </w:r>
    </w:p>
    <w:p>
      <w:pPr>
        <w:spacing w:after="120"/>
        <w:jc w:val="both"/>
      </w:pPr>
      <w:r>
        <w:rPr>
          <w:sz w:val="22"/>
          <w:szCs w:val="22"/>
        </w:rPr>
        <w:t xml:space="preserve">Scheduled AI tasks execute automatically without real-time user oversight. The following requirements apply:</w:t>
      </w:r>
    </w:p>
    <w:p>
      <w:pPr>
        <w:pStyle w:val="ListParagraph"/>
        <w:numPr>
          <w:ilvl w:val="0"/>
          <w:numId w:val="2"/>
        </w:numPr>
        <w:spacing w:after="80"/>
      </w:pPr>
      <w:r>
        <w:rPr>
          <w:sz w:val="22"/>
          <w:szCs w:val="22"/>
        </w:rPr>
        <w:t xml:space="preserve">Scheduled tasks must be limited to read-only operations such as generating summaries, compiling reports, or aggregating information.</w:t>
      </w:r>
    </w:p>
    <w:p>
      <w:pPr>
        <w:pStyle w:val="ListParagraph"/>
        <w:numPr>
          <w:ilvl w:val="0"/>
          <w:numId w:val="2"/>
        </w:numPr>
        <w:spacing w:after="80"/>
      </w:pPr>
      <w:r>
        <w:rPr>
          <w:sz w:val="22"/>
          <w:szCs w:val="22"/>
        </w:rPr>
        <w:t xml:space="preserve">The following actions must not be performed by scheduled tasks: sending emails or messages; making purchases or financial transactions; deleting, moving, or modifying files; taking actions in external systems; and accessing sensitive or classified data.</w:t>
      </w:r>
    </w:p>
    <w:p>
      <w:pPr>
        <w:pStyle w:val="ListParagraph"/>
        <w:numPr>
          <w:ilvl w:val="0"/>
          <w:numId w:val="2"/>
        </w:numPr>
        <w:spacing w:after="80"/>
      </w:pPr>
      <w:r>
        <w:rPr>
          <w:sz w:val="22"/>
          <w:szCs w:val="22"/>
        </w:rPr>
        <w:t xml:space="preserve">Users must review the output of each scheduled task run before relying upon it.</w:t>
      </w:r>
    </w:p>
    <w:p>
      <w:pPr>
        <w:pStyle w:val="ListParagraph"/>
        <w:numPr>
          <w:ilvl w:val="0"/>
          <w:numId w:val="2"/>
        </w:numPr>
        <w:spacing w:after="80"/>
      </w:pPr>
      <w:r>
        <w:rPr>
          <w:sz w:val="22"/>
          <w:szCs w:val="22"/>
        </w:rPr>
        <w:t xml:space="preserve">Scheduled tasks that are no longer actively required must be paused or deleted. Tasks must not be left running indefinitely in the background.</w:t>
      </w:r>
    </w:p>
    <w:p>
      <w:pPr>
        <w:pStyle w:val="ListParagraph"/>
        <w:numPr>
          <w:ilvl w:val="0"/>
          <w:numId w:val="2"/>
        </w:numPr>
        <w:spacing w:after="80"/>
      </w:pPr>
      <w:r>
        <w:rPr>
          <w:sz w:val="22"/>
          <w:szCs w:val="22"/>
        </w:rPr>
        <w:t xml:space="preserve">A prompt injection that takes effect within a scheduled task may execute malicious actions for an extended period without any human present to intervene. Users must apply proportionally greater caution when configuring automated tasks.</w:t>
      </w:r>
    </w:p>
    <w:p>
      <w:pPr>
        <w:pStyle w:val="Heading2"/>
        <w:spacing w:after="120" w:before="240"/>
      </w:pPr>
      <w:r>
        <w:rPr>
          <w:b/>
          <w:bCs/>
          <w:color w:val="0F172A"/>
          <w:sz w:val="28"/>
          <w:szCs w:val="28"/>
        </w:rPr>
        <w:t xml:space="preserve">3.7  MCP Servers, Plugins, and Connectors</w:t>
      </w:r>
    </w:p>
    <w:p>
      <w:pPr>
        <w:spacing w:after="120"/>
        <w:jc w:val="both"/>
      </w:pPr>
      <w:r>
        <w:rPr>
          <w:sz w:val="22"/>
          <w:szCs w:val="22"/>
        </w:rPr>
        <w:t xml:space="preserve">Model Context Protocol (MCP) servers, plugins, and connectors extend the capabilities of AI tools and introduce additional attack surface. Each installed extension may run with system-level access on the user's machine. The following requirements apply:</w:t>
      </w:r>
    </w:p>
    <w:p>
      <w:pPr>
        <w:pStyle w:val="ListParagraph"/>
        <w:numPr>
          <w:ilvl w:val="0"/>
          <w:numId w:val="2"/>
        </w:numPr>
        <w:spacing w:after="80"/>
      </w:pPr>
      <w:r>
        <w:rPr>
          <w:sz w:val="22"/>
          <w:szCs w:val="22"/>
        </w:rPr>
        <w:t xml:space="preserve">Users must not install MCP servers or plugins without prior approval from IT. Requests must be submitted via [IT Support Contact].</w:t>
      </w:r>
    </w:p>
    <w:p>
      <w:pPr>
        <w:pStyle w:val="ListParagraph"/>
        <w:numPr>
          <w:ilvl w:val="0"/>
          <w:numId w:val="2"/>
        </w:numPr>
        <w:spacing w:after="80"/>
      </w:pPr>
      <w:r>
        <w:rPr>
          <w:sz w:val="22"/>
          <w:szCs w:val="22"/>
        </w:rPr>
        <w:t xml:space="preserve">Only MCP servers and plugins that appear on the approved list (within each AI tool) may be used.</w:t>
      </w:r>
    </w:p>
    <w:p>
      <w:pPr>
        <w:pStyle w:val="ListParagraph"/>
        <w:numPr>
          <w:ilvl w:val="0"/>
          <w:numId w:val="2"/>
        </w:numPr>
        <w:spacing w:after="80"/>
      </w:pPr>
      <w:r>
        <w:rPr>
          <w:sz w:val="22"/>
          <w:szCs w:val="22"/>
        </w:rPr>
        <w:t xml:space="preserve">Where connectors to external services (email, calendar, messaging platforms) are used, the minimum necessary permissions must be requested. Read-only permissions are preferred.</w:t>
      </w:r>
    </w:p>
    <w:p>
      <w:pPr>
        <w:pStyle w:val="ListParagraph"/>
        <w:numPr>
          <w:ilvl w:val="0"/>
          <w:numId w:val="2"/>
        </w:numPr>
        <w:spacing w:after="80"/>
      </w:pPr>
      <w:r>
        <w:rPr>
          <w:sz w:val="22"/>
          <w:szCs w:val="22"/>
        </w:rPr>
        <w:t xml:space="preserve">Write-access connectors (send email, post messages, modify external records) must not be enabled unless explicitly required for a specific, approved workflow.</w:t>
      </w:r>
    </w:p>
    <w:p>
      <w:pPr>
        <w:pStyle w:val="ListParagraph"/>
        <w:numPr>
          <w:ilvl w:val="0"/>
          <w:numId w:val="2"/>
        </w:numPr>
        <w:spacing w:after="80"/>
      </w:pPr>
      <w:r>
        <w:rPr>
          <w:sz w:val="22"/>
          <w:szCs w:val="22"/>
        </w:rPr>
        <w:t xml:space="preserve">Connectors not in active use must be disabled.</w:t>
      </w:r>
    </w:p>
    <w:p>
      <w:pPr>
        <w:pStyle w:val="ListParagraph"/>
        <w:numPr>
          <w:ilvl w:val="0"/>
          <w:numId w:val="2"/>
        </w:numPr>
        <w:spacing w:after="80"/>
      </w:pPr>
      <w:r>
        <w:rPr>
          <w:sz w:val="22"/>
          <w:szCs w:val="22"/>
        </w:rPr>
        <w:t xml:space="preserve">The use of non-approved MCP servers, plugins, connectors, or any mechanism to circumvent control is strictly prohibited.</w:t>
      </w:r>
    </w:p>
    <w:p>
      <w:pPr>
        <w:pStyle w:val="Heading2"/>
        <w:spacing w:after="120" w:before="240"/>
      </w:pPr>
      <w:r>
        <w:rPr>
          <w:b/>
          <w:bCs/>
          <w:color w:val="0F172A"/>
          <w:sz w:val="28"/>
          <w:szCs w:val="28"/>
        </w:rPr>
        <w:t xml:space="preserve">3.8  Incident Reporting</w:t>
      </w:r>
    </w:p>
    <w:p>
      <w:pPr>
        <w:spacing w:after="120"/>
        <w:jc w:val="both"/>
      </w:pPr>
      <w:r>
        <w:rPr>
          <w:sz w:val="22"/>
          <w:szCs w:val="22"/>
        </w:rPr>
        <w:t xml:space="preserve">Users must stop any AI task immediately and report it if they observe any of the following:</w:t>
      </w:r>
    </w:p>
    <w:p>
      <w:pPr>
        <w:pStyle w:val="ListParagraph"/>
        <w:numPr>
          <w:ilvl w:val="0"/>
          <w:numId w:val="2"/>
        </w:numPr>
        <w:spacing w:after="80"/>
      </w:pPr>
      <w:r>
        <w:rPr>
          <w:sz w:val="22"/>
          <w:szCs w:val="22"/>
        </w:rPr>
        <w:t xml:space="preserve">The task begins discussing topics unrelated to the task the user initiated.</w:t>
      </w:r>
    </w:p>
    <w:p>
      <w:pPr>
        <w:pStyle w:val="ListParagraph"/>
        <w:numPr>
          <w:ilvl w:val="0"/>
          <w:numId w:val="2"/>
        </w:numPr>
        <w:spacing w:after="80"/>
      </w:pPr>
      <w:r>
        <w:rPr>
          <w:sz w:val="22"/>
          <w:szCs w:val="22"/>
        </w:rPr>
        <w:t xml:space="preserve">The task attempts to access files, websites, or services that the user did not direct it to access.</w:t>
      </w:r>
    </w:p>
    <w:p>
      <w:pPr>
        <w:pStyle w:val="ListParagraph"/>
        <w:numPr>
          <w:ilvl w:val="0"/>
          <w:numId w:val="2"/>
        </w:numPr>
        <w:spacing w:after="80"/>
      </w:pPr>
      <w:r>
        <w:rPr>
          <w:sz w:val="22"/>
          <w:szCs w:val="22"/>
        </w:rPr>
        <w:t xml:space="preserve">The task requests credentials, API keys, or sensitive information without the user having prompted this.</w:t>
      </w:r>
    </w:p>
    <w:p>
      <w:pPr>
        <w:pStyle w:val="ListParagraph"/>
        <w:numPr>
          <w:ilvl w:val="0"/>
          <w:numId w:val="2"/>
        </w:numPr>
        <w:spacing w:after="80"/>
      </w:pPr>
      <w:r>
        <w:rPr>
          <w:sz w:val="22"/>
          <w:szCs w:val="22"/>
        </w:rPr>
        <w:t xml:space="preserve">The task initiates network requests the user did not direct.</w:t>
      </w:r>
    </w:p>
    <w:p>
      <w:pPr>
        <w:pStyle w:val="ListParagraph"/>
        <w:numPr>
          <w:ilvl w:val="0"/>
          <w:numId w:val="2"/>
        </w:numPr>
        <w:spacing w:after="80"/>
      </w:pPr>
      <w:r>
        <w:rPr>
          <w:sz w:val="22"/>
          <w:szCs w:val="22"/>
        </w:rPr>
        <w:t xml:space="preserve">The scope of the task appears to expand materially beyond the original instruction.</w:t>
      </w:r>
    </w:p>
    <w:p>
      <w:pPr>
        <w:spacing w:after="120"/>
        <w:jc w:val="both"/>
      </w:pPr>
      <w:r>
        <w:rPr>
          <w:sz w:val="22"/>
          <w:szCs w:val="22"/>
        </w:rPr>
        <w:t xml:space="preserve">Users must preserve any available information about the task that was running, the content that was being processed, and the behaviour observed, to support any subsequent investigation.</w:t>
      </w:r>
    </w:p>
    <w:p>
      <w:pPr>
        <w:spacing w:after="120"/>
        <w:jc w:val="both"/>
      </w:pPr>
      <w:r>
        <w:rPr>
          <w:sz w:val="22"/>
          <w:szCs w:val="22"/>
        </w:rPr>
        <w:t xml:space="preserve">Reports must be made to [Security Contact].</w:t>
      </w:r>
    </w:p>
    <w:p>
      <w:r>
        <w:br w:type="page"/>
      </w:r>
    </w:p>
    <w:p>
      <w:pPr>
        <w:pStyle w:val="Heading1"/>
        <w:spacing w:after="160" w:before="320"/>
      </w:pPr>
      <w:r>
        <w:rPr>
          <w:b/>
          <w:bCs/>
          <w:color w:val="0F172A"/>
          <w:sz w:val="36"/>
          <w:szCs w:val="36"/>
        </w:rPr>
        <w:t xml:space="preserve">4.  Approved AI Tooling</w:t>
      </w:r>
    </w:p>
    <w:p>
      <w:pPr>
        <w:pStyle w:val="Heading2"/>
        <w:spacing w:after="120" w:before="240"/>
      </w:pPr>
      <w:r>
        <w:rPr>
          <w:b/>
          <w:bCs/>
          <w:color w:val="0F172A"/>
          <w:sz w:val="28"/>
          <w:szCs w:val="28"/>
        </w:rPr>
        <w:t xml:space="preserve">4.1  Centrally Sanctioned Tools</w:t>
      </w:r>
    </w:p>
    <w:p>
      <w:pPr>
        <w:spacing w:after="120"/>
        <w:jc w:val="both"/>
      </w:pPr>
      <w:r>
        <w:rPr>
          <w:sz w:val="22"/>
          <w:szCs w:val="22"/>
        </w:rPr>
        <w:t xml:space="preserve">[Organization Name] continuously evaluates AI tools to support productivity, efficiency, and innovation. The approved list of AI tools is maintained centrally and can be found in the [Approved AI Tool Register]. The list is reviewed and updated in accordance with Section 4.2 and forms part of this Standard by reference.</w:t>
      </w:r>
    </w:p>
    <w:p>
      <w:pPr>
        <w:spacing w:after="120"/>
        <w:jc w:val="both"/>
      </w:pPr>
      <w:r>
        <w:rPr>
          <w:sz w:val="22"/>
          <w:szCs w:val="22"/>
        </w:rPr>
        <w:t xml:space="preserve">Tools not on the approved list are considered unauthorised and must not be used for any organisation-related activity. Users may contact [IT Support Contact] to inquire about authorised tools and authorised usage.</w:t>
      </w:r>
    </w:p>
    <w:p>
      <w:pPr>
        <w:pStyle w:val="Heading2"/>
        <w:spacing w:after="120" w:before="240"/>
      </w:pPr>
      <w:r>
        <w:rPr>
          <w:b/>
          <w:bCs/>
          <w:color w:val="0F172A"/>
          <w:sz w:val="28"/>
          <w:szCs w:val="28"/>
        </w:rPr>
        <w:t xml:space="preserve">4.2  Approving New Tools</w:t>
      </w:r>
    </w:p>
    <w:p>
      <w:pPr>
        <w:spacing w:after="120"/>
        <w:jc w:val="both"/>
      </w:pPr>
      <w:r>
        <w:rPr>
          <w:sz w:val="22"/>
          <w:szCs w:val="22"/>
        </w:rPr>
        <w:t xml:space="preserve">From time to time, it may be necessary to procure new AI tooling to meet business requirements. It is critical that all new AI tools are subject to the organisation's Third-Party Due Diligence process, which includes a risk assessment to evaluate the level of access to organisation data and the associated risk of the provider. The assessment must consider:</w:t>
      </w:r>
    </w:p>
    <w:p>
      <w:pPr>
        <w:pStyle w:val="ListParagraph"/>
        <w:numPr>
          <w:ilvl w:val="0"/>
          <w:numId w:val="2"/>
        </w:numPr>
        <w:spacing w:after="80"/>
      </w:pPr>
      <w:r>
        <w:rPr>
          <w:sz w:val="22"/>
          <w:szCs w:val="22"/>
        </w:rPr>
        <w:t xml:space="preserve">Access to confidential data, personal data, or non-public information.</w:t>
      </w:r>
    </w:p>
    <w:p>
      <w:pPr>
        <w:pStyle w:val="ListParagraph"/>
        <w:numPr>
          <w:ilvl w:val="0"/>
          <w:numId w:val="2"/>
        </w:numPr>
        <w:spacing w:after="80"/>
      </w:pPr>
      <w:r>
        <w:rPr>
          <w:sz w:val="22"/>
          <w:szCs w:val="22"/>
        </w:rPr>
        <w:t xml:space="preserve">Model explainability, bias and fairness risks, and data retention practices.</w:t>
      </w:r>
    </w:p>
    <w:p>
      <w:pPr>
        <w:pStyle w:val="ListParagraph"/>
        <w:numPr>
          <w:ilvl w:val="0"/>
          <w:numId w:val="2"/>
        </w:numPr>
        <w:spacing w:after="80"/>
      </w:pPr>
      <w:r>
        <w:rPr>
          <w:sz w:val="22"/>
          <w:szCs w:val="22"/>
        </w:rPr>
        <w:t xml:space="preserve">Security of training data and model outputs.</w:t>
      </w:r>
    </w:p>
    <w:p>
      <w:pPr>
        <w:pStyle w:val="ListParagraph"/>
        <w:numPr>
          <w:ilvl w:val="0"/>
          <w:numId w:val="2"/>
        </w:numPr>
        <w:spacing w:after="80"/>
      </w:pPr>
      <w:r>
        <w:rPr>
          <w:sz w:val="22"/>
          <w:szCs w:val="22"/>
        </w:rPr>
        <w:t xml:space="preserve">Vendor audit rights and incident notification obligations.</w:t>
      </w:r>
    </w:p>
    <w:p>
      <w:pPr>
        <w:pStyle w:val="ListParagraph"/>
        <w:numPr>
          <w:ilvl w:val="0"/>
          <w:numId w:val="2"/>
        </w:numPr>
        <w:spacing w:after="80"/>
      </w:pPr>
      <w:r>
        <w:rPr>
          <w:sz w:val="22"/>
          <w:szCs w:val="22"/>
        </w:rPr>
        <w:t xml:space="preserve">Sub-processor disclosure and onward transfer arrangements.</w:t>
      </w:r>
    </w:p>
    <w:p>
      <w:pPr>
        <w:pStyle w:val="ListParagraph"/>
        <w:numPr>
          <w:ilvl w:val="0"/>
          <w:numId w:val="2"/>
        </w:numPr>
        <w:spacing w:after="80"/>
      </w:pPr>
      <w:r>
        <w:rPr>
          <w:sz w:val="22"/>
          <w:szCs w:val="22"/>
        </w:rPr>
        <w:t xml:space="preserve">Compliance with applicable data protection law (e.g. GDPR, UK GDPR, regional equivalents).</w:t>
      </w:r>
    </w:p>
    <w:p>
      <w:pPr>
        <w:spacing w:after="120"/>
        <w:jc w:val="both"/>
      </w:pPr>
      <w:r>
        <w:rPr>
          <w:sz w:val="22"/>
          <w:szCs w:val="22"/>
        </w:rPr>
        <w:t xml:space="preserve">Any material change to an AI tool's functionality or vendor terms must trigger a reassessment. Risk assessments completed initially as part of the diligence process must be updated to reflect the AI tool's current impact on confidentiality, integrity, and availability of systems or data.</w:t>
      </w:r>
    </w:p>
    <w:p>
      <w:pPr>
        <w:spacing w:after="120"/>
        <w:jc w:val="both"/>
      </w:pPr>
      <w:r>
        <w:rPr>
          <w:sz w:val="22"/>
          <w:szCs w:val="22"/>
        </w:rPr>
        <w:t xml:space="preserve">All tools must be reviewed, approved, and logged in the organisation's asset register. Approval requires review by:</w:t>
      </w:r>
    </w:p>
    <w:p>
      <w:pPr>
        <w:pStyle w:val="ListParagraph"/>
        <w:numPr>
          <w:ilvl w:val="0"/>
          <w:numId w:val="2"/>
        </w:numPr>
        <w:spacing w:after="80"/>
      </w:pPr>
      <w:r>
        <w:rPr>
          <w:sz w:val="22"/>
          <w:szCs w:val="22"/>
        </w:rPr>
        <w:t xml:space="preserve">Information Security and Risk (data handling, access control).</w:t>
      </w:r>
    </w:p>
    <w:p>
      <w:pPr>
        <w:pStyle w:val="ListParagraph"/>
        <w:numPr>
          <w:ilvl w:val="0"/>
          <w:numId w:val="2"/>
        </w:numPr>
        <w:spacing w:after="80"/>
      </w:pPr>
      <w:r>
        <w:rPr>
          <w:sz w:val="22"/>
          <w:szCs w:val="22"/>
        </w:rPr>
        <w:t xml:space="preserve">Legal (licensing, IP ownership, contractual terms).</w:t>
      </w:r>
    </w:p>
    <w:p>
      <w:pPr>
        <w:pStyle w:val="ListParagraph"/>
        <w:numPr>
          <w:ilvl w:val="0"/>
          <w:numId w:val="2"/>
        </w:numPr>
        <w:spacing w:after="80"/>
      </w:pPr>
      <w:r>
        <w:rPr>
          <w:sz w:val="22"/>
          <w:szCs w:val="22"/>
        </w:rPr>
        <w:t xml:space="preserve">Privacy / Data Protection Officer (personal data, lawful basis, DPIA where required).</w:t>
      </w:r>
    </w:p>
    <w:p>
      <w:pPr>
        <w:pStyle w:val="ListParagraph"/>
        <w:numPr>
          <w:ilvl w:val="0"/>
          <w:numId w:val="2"/>
        </w:numPr>
        <w:spacing w:after="80"/>
      </w:pPr>
      <w:r>
        <w:rPr>
          <w:sz w:val="22"/>
          <w:szCs w:val="22"/>
        </w:rPr>
        <w:t xml:space="preserve">Technology Operations (terms and conditions, renewal clauses, integration).</w:t>
      </w:r>
    </w:p>
    <w:p>
      <w:pPr>
        <w:pStyle w:val="Heading2"/>
        <w:spacing w:after="120" w:before="240"/>
      </w:pPr>
      <w:r>
        <w:rPr>
          <w:b/>
          <w:bCs/>
          <w:color w:val="0F172A"/>
          <w:sz w:val="28"/>
          <w:szCs w:val="28"/>
        </w:rPr>
        <w:t xml:space="preserve">4.3  Decommissioning AI Tools</w:t>
      </w:r>
    </w:p>
    <w:p>
      <w:pPr>
        <w:spacing w:after="120"/>
        <w:jc w:val="both"/>
      </w:pPr>
      <w:r>
        <w:rPr>
          <w:sz w:val="22"/>
          <w:szCs w:val="22"/>
        </w:rPr>
        <w:t xml:space="preserve">When an AI tool is decommissioned, the following steps must be taken and evidenced:</w:t>
      </w:r>
    </w:p>
    <w:p>
      <w:pPr>
        <w:pStyle w:val="ListParagraph"/>
        <w:numPr>
          <w:ilvl w:val="0"/>
          <w:numId w:val="2"/>
        </w:numPr>
        <w:spacing w:after="80"/>
      </w:pPr>
      <w:r>
        <w:rPr>
          <w:sz w:val="22"/>
          <w:szCs w:val="22"/>
        </w:rPr>
        <w:t xml:space="preserve">Users notified at least 30 days before retirement, with migration guidance to alternative tooling.</w:t>
      </w:r>
    </w:p>
    <w:p>
      <w:pPr>
        <w:pStyle w:val="ListParagraph"/>
        <w:numPr>
          <w:ilvl w:val="0"/>
          <w:numId w:val="2"/>
        </w:numPr>
        <w:spacing w:after="80"/>
      </w:pPr>
      <w:r>
        <w:rPr>
          <w:sz w:val="22"/>
          <w:szCs w:val="22"/>
        </w:rPr>
        <w:t xml:space="preserve">Connectors, plugins, MCP servers, and scheduled tasks associated with the tool disabled and removed.</w:t>
      </w:r>
    </w:p>
    <w:p>
      <w:pPr>
        <w:pStyle w:val="ListParagraph"/>
        <w:numPr>
          <w:ilvl w:val="0"/>
          <w:numId w:val="2"/>
        </w:numPr>
        <w:spacing w:after="80"/>
      </w:pPr>
      <w:r>
        <w:rPr>
          <w:sz w:val="22"/>
          <w:szCs w:val="22"/>
        </w:rPr>
        <w:t xml:space="preserve">Any data residing within the tool exported, retained per the records retention schedule, and deleted from the provider's systems within the contractual deletion window.</w:t>
      </w:r>
    </w:p>
    <w:p>
      <w:pPr>
        <w:pStyle w:val="ListParagraph"/>
        <w:numPr>
          <w:ilvl w:val="0"/>
          <w:numId w:val="2"/>
        </w:numPr>
        <w:spacing w:after="80"/>
      </w:pPr>
      <w:r>
        <w:rPr>
          <w:sz w:val="22"/>
          <w:szCs w:val="22"/>
        </w:rPr>
        <w:t xml:space="preserve">Confirmation of deletion obtained from the provider where required by data processing agreements.</w:t>
      </w:r>
    </w:p>
    <w:p>
      <w:pPr>
        <w:pStyle w:val="ListParagraph"/>
        <w:numPr>
          <w:ilvl w:val="0"/>
          <w:numId w:val="2"/>
        </w:numPr>
        <w:spacing w:after="80"/>
      </w:pPr>
      <w:r>
        <w:rPr>
          <w:sz w:val="22"/>
          <w:szCs w:val="22"/>
        </w:rPr>
        <w:t xml:space="preserve">[Approved AI Tool Register] updated; the tool moved to the decommissioned register.</w:t>
      </w:r>
    </w:p>
    <w:p>
      <w:r>
        <w:br w:type="page"/>
      </w:r>
    </w:p>
    <w:p>
      <w:pPr>
        <w:pStyle w:val="Heading1"/>
        <w:spacing w:after="160" w:before="320"/>
      </w:pPr>
      <w:r>
        <w:rPr>
          <w:b/>
          <w:bCs/>
          <w:color w:val="0F172A"/>
          <w:sz w:val="36"/>
          <w:szCs w:val="36"/>
        </w:rPr>
        <w:t xml:space="preserve">5.  Control Catalogue (Summary)</w:t>
      </w:r>
    </w:p>
    <w:p>
      <w:pPr>
        <w:spacing w:after="120"/>
        <w:jc w:val="both"/>
      </w:pPr>
      <w:r>
        <w:rPr>
          <w:sz w:val="22"/>
          <w:szCs w:val="22"/>
        </w:rPr>
        <w:t xml:space="preserve">The following table summarises the technical and procedural controls that operationalise this Standard. Detailed implementation steps, owners, and verification methods are tracked in the AI Hardening Controls workbook that accompanies this Standard.</w:t>
      </w:r>
    </w:p>
    <w:p>
      <w:pPr>
        <w:pStyle w:val="Heading2"/>
        <w:spacing w:after="120" w:before="240"/>
      </w:pPr>
      <w:r>
        <w:rPr>
          <w:b/>
          <w:bCs/>
          <w:color w:val="0F172A"/>
          <w:sz w:val="28"/>
          <w:szCs w:val="28"/>
        </w:rPr>
        <w:t xml:space="preserve">5.1  Governance and Programme Controls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BFBFBF" w:sz="4"/>
              <w:left w:val="single" w:color="BFBFBF" w:sz="4"/>
              <w:bottom w:val="single" w:color="BFBFBF" w:sz="4"/>
              <w:right w:val="single" w:color="BFBFBF" w:sz="4"/>
            </w:tcBorders>
            <w:shd w:fill="0F172A" w:color="auto" w:val="clear"/>
            <w:tcMar>
              <w:top w:type="dxa" w:w="80"/>
              <w:left w:type="dxa" w:w="120"/>
              <w:bottom w:type="dxa" w:w="80"/>
              <w:right w:type="dxa" w:w="120"/>
            </w:tcMar>
          </w:tcPr>
          <w:p>
            <w:r>
              <w:rPr>
                <w:b/>
                <w:bCs/>
                <w:color w:val="FFFFFF"/>
                <w:sz w:val="20"/>
                <w:szCs w:val="20"/>
              </w:rPr>
              <w:t xml:space="preserve">ID</w:t>
            </w:r>
          </w:p>
        </w:tc>
        <w:tc>
          <w:tcPr>
            <w:tcW w:type="dxa" w:w="2520"/>
            <w:tcBorders>
              <w:top w:val="single" w:color="BFBFBF" w:sz="4"/>
              <w:left w:val="single" w:color="BFBFBF" w:sz="4"/>
              <w:bottom w:val="single" w:color="BFBFBF" w:sz="4"/>
              <w:right w:val="single" w:color="BFBFBF" w:sz="4"/>
            </w:tcBorders>
            <w:shd w:fill="0F172A" w:color="auto" w:val="clear"/>
            <w:tcMar>
              <w:top w:type="dxa" w:w="80"/>
              <w:left w:type="dxa" w:w="120"/>
              <w:bottom w:type="dxa" w:w="80"/>
              <w:right w:type="dxa" w:w="120"/>
            </w:tcMar>
          </w:tcPr>
          <w:p>
            <w:r>
              <w:rPr>
                <w:b/>
                <w:bCs/>
                <w:color w:val="FFFFFF"/>
                <w:sz w:val="20"/>
                <w:szCs w:val="20"/>
              </w:rPr>
              <w:t xml:space="preserve">Control</w:t>
            </w:r>
          </w:p>
        </w:tc>
        <w:tc>
          <w:tcPr>
            <w:tcW w:type="dxa" w:w="2520"/>
            <w:tcBorders>
              <w:top w:val="single" w:color="BFBFBF" w:sz="4"/>
              <w:left w:val="single" w:color="BFBFBF" w:sz="4"/>
              <w:bottom w:val="single" w:color="BFBFBF" w:sz="4"/>
              <w:right w:val="single" w:color="BFBFBF" w:sz="4"/>
            </w:tcBorders>
            <w:shd w:fill="0F172A" w:color="auto" w:val="clear"/>
            <w:tcMar>
              <w:top w:type="dxa" w:w="80"/>
              <w:left w:type="dxa" w:w="120"/>
              <w:bottom w:type="dxa" w:w="80"/>
              <w:right w:type="dxa" w:w="120"/>
            </w:tcMar>
          </w:tcPr>
          <w:p>
            <w:r>
              <w:rPr>
                <w:b/>
                <w:bCs/>
                <w:color w:val="FFFFFF"/>
                <w:sz w:val="20"/>
                <w:szCs w:val="20"/>
              </w:rPr>
              <w:t xml:space="preserve">NIST AI RMF</w:t>
            </w:r>
          </w:p>
        </w:tc>
        <w:tc>
          <w:tcPr>
            <w:tcW w:type="dxa" w:w="2520"/>
            <w:tcBorders>
              <w:top w:val="single" w:color="BFBFBF" w:sz="4"/>
              <w:left w:val="single" w:color="BFBFBF" w:sz="4"/>
              <w:bottom w:val="single" w:color="BFBFBF" w:sz="4"/>
              <w:right w:val="single" w:color="BFBFBF" w:sz="4"/>
            </w:tcBorders>
            <w:shd w:fill="0F172A" w:color="auto" w:val="clear"/>
            <w:tcMar>
              <w:top w:type="dxa" w:w="80"/>
              <w:left w:type="dxa" w:w="120"/>
              <w:bottom w:type="dxa" w:w="80"/>
              <w:right w:type="dxa" w:w="120"/>
            </w:tcMar>
          </w:tcPr>
          <w:p>
            <w:r>
              <w:rPr>
                <w:b/>
                <w:bCs/>
                <w:color w:val="FFFFFF"/>
                <w:sz w:val="20"/>
                <w:szCs w:val="20"/>
              </w:rPr>
              <w:t xml:space="preserve">ISO 42001</w:t>
            </w:r>
          </w:p>
        </w:tc>
      </w:tr>
      <w:tr>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GOV-01</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AI Governance Lead and AI Working Group established with documented terms of reference.</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GOVERN-1.1</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Cl. 5</w:t>
            </w:r>
          </w:p>
        </w:tc>
      </w:tr>
      <w:tr>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GOV-02</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AI Acceptable Use Policy issued, communicated, and acknowledged by all personnel.</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GOVERN-3.2</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A.2.2</w:t>
            </w:r>
          </w:p>
        </w:tc>
      </w:tr>
      <w:tr>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GOV-03</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Approved AI Tool Register maintained and reviewed quarterly.</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MAP-1.6</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A.6.2.2</w:t>
            </w:r>
          </w:p>
        </w:tc>
      </w:tr>
      <w:tr>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GOV-04</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AI risks integrated into the enterprise risk register.</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GOVERN-1.4</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A.5.2</w:t>
            </w:r>
          </w:p>
        </w:tc>
      </w:tr>
      <w:tr>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GOV-05</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AI awareness training delivered annually and on-boarding for new starters.</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GOVERN-3.2</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A.2.4</w:t>
            </w:r>
          </w:p>
        </w:tc>
      </w:tr>
      <w:tr>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GOV-06</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AI incident management procedure aligned to the broader Incident Management Procedure.</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MANAGE-2.4</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A.10.4</w:t>
            </w:r>
          </w:p>
        </w:tc>
      </w:tr>
    </w:tbl>
    <w:p>
      <w:pPr>
        <w:pStyle w:val="Heading2"/>
        <w:spacing w:after="120" w:before="240"/>
      </w:pPr>
      <w:r>
        <w:rPr>
          <w:b/>
          <w:bCs/>
          <w:color w:val="0F172A"/>
          <w:sz w:val="28"/>
          <w:szCs w:val="28"/>
        </w:rPr>
        <w:t xml:space="preserve">5.2  Data and Privacy Controls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BFBFBF" w:sz="4"/>
              <w:left w:val="single" w:color="BFBFBF" w:sz="4"/>
              <w:bottom w:val="single" w:color="BFBFBF" w:sz="4"/>
              <w:right w:val="single" w:color="BFBFBF" w:sz="4"/>
            </w:tcBorders>
            <w:shd w:fill="0F172A" w:color="auto" w:val="clear"/>
            <w:tcMar>
              <w:top w:type="dxa" w:w="80"/>
              <w:left w:type="dxa" w:w="120"/>
              <w:bottom w:type="dxa" w:w="80"/>
              <w:right w:type="dxa" w:w="120"/>
            </w:tcMar>
          </w:tcPr>
          <w:p>
            <w:r>
              <w:rPr>
                <w:b/>
                <w:bCs/>
                <w:color w:val="FFFFFF"/>
                <w:sz w:val="20"/>
                <w:szCs w:val="20"/>
              </w:rPr>
              <w:t xml:space="preserve">ID</w:t>
            </w:r>
          </w:p>
        </w:tc>
        <w:tc>
          <w:tcPr>
            <w:tcW w:type="dxa" w:w="2520"/>
            <w:tcBorders>
              <w:top w:val="single" w:color="BFBFBF" w:sz="4"/>
              <w:left w:val="single" w:color="BFBFBF" w:sz="4"/>
              <w:bottom w:val="single" w:color="BFBFBF" w:sz="4"/>
              <w:right w:val="single" w:color="BFBFBF" w:sz="4"/>
            </w:tcBorders>
            <w:shd w:fill="0F172A" w:color="auto" w:val="clear"/>
            <w:tcMar>
              <w:top w:type="dxa" w:w="80"/>
              <w:left w:type="dxa" w:w="120"/>
              <w:bottom w:type="dxa" w:w="80"/>
              <w:right w:type="dxa" w:w="120"/>
            </w:tcMar>
          </w:tcPr>
          <w:p>
            <w:r>
              <w:rPr>
                <w:b/>
                <w:bCs/>
                <w:color w:val="FFFFFF"/>
                <w:sz w:val="20"/>
                <w:szCs w:val="20"/>
              </w:rPr>
              <w:t xml:space="preserve">Control</w:t>
            </w:r>
          </w:p>
        </w:tc>
        <w:tc>
          <w:tcPr>
            <w:tcW w:type="dxa" w:w="2520"/>
            <w:tcBorders>
              <w:top w:val="single" w:color="BFBFBF" w:sz="4"/>
              <w:left w:val="single" w:color="BFBFBF" w:sz="4"/>
              <w:bottom w:val="single" w:color="BFBFBF" w:sz="4"/>
              <w:right w:val="single" w:color="BFBFBF" w:sz="4"/>
            </w:tcBorders>
            <w:shd w:fill="0F172A" w:color="auto" w:val="clear"/>
            <w:tcMar>
              <w:top w:type="dxa" w:w="80"/>
              <w:left w:type="dxa" w:w="120"/>
              <w:bottom w:type="dxa" w:w="80"/>
              <w:right w:type="dxa" w:w="120"/>
            </w:tcMar>
          </w:tcPr>
          <w:p>
            <w:r>
              <w:rPr>
                <w:b/>
                <w:bCs/>
                <w:color w:val="FFFFFF"/>
                <w:sz w:val="20"/>
                <w:szCs w:val="20"/>
              </w:rPr>
              <w:t xml:space="preserve">OWASP LLM</w:t>
            </w:r>
          </w:p>
        </w:tc>
        <w:tc>
          <w:tcPr>
            <w:tcW w:type="dxa" w:w="2520"/>
            <w:tcBorders>
              <w:top w:val="single" w:color="BFBFBF" w:sz="4"/>
              <w:left w:val="single" w:color="BFBFBF" w:sz="4"/>
              <w:bottom w:val="single" w:color="BFBFBF" w:sz="4"/>
              <w:right w:val="single" w:color="BFBFBF" w:sz="4"/>
            </w:tcBorders>
            <w:shd w:fill="0F172A" w:color="auto" w:val="clear"/>
            <w:tcMar>
              <w:top w:type="dxa" w:w="80"/>
              <w:left w:type="dxa" w:w="120"/>
              <w:bottom w:type="dxa" w:w="80"/>
              <w:right w:type="dxa" w:w="120"/>
            </w:tcMar>
          </w:tcPr>
          <w:p>
            <w:r>
              <w:rPr>
                <w:b/>
                <w:bCs/>
                <w:color w:val="FFFFFF"/>
                <w:sz w:val="20"/>
                <w:szCs w:val="20"/>
              </w:rPr>
              <w:t xml:space="preserve">ISO 42001</w:t>
            </w:r>
          </w:p>
        </w:tc>
      </w:tr>
      <w:tr>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DAT-01</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Data classification scheme references AI tools (allowed classifications per tool tier).</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LLM02</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A.7.2</w:t>
            </w:r>
          </w:p>
        </w:tc>
      </w:tr>
      <w:tr>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DAT-02</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Provider configuration disables training on customer prompts and outputs.</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LLM02 / LLM05</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A.7.4</w:t>
            </w:r>
          </w:p>
        </w:tc>
      </w:tr>
      <w:tr>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DAT-03</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DPIA completed where AI tool processes personal data.</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A.7.3</w:t>
            </w:r>
          </w:p>
        </w:tc>
      </w:tr>
      <w:tr>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DAT-04</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Input filtering applied for restricted data categories (PII, secrets, payment data).</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LLM02 / LLM06</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A.7.5</w:t>
            </w:r>
          </w:p>
        </w:tc>
      </w:tr>
      <w:tr>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DAT-05</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Outputs containing personal data routed through DLP / sensitivity-label review.</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LLM02</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A.7.5</w:t>
            </w:r>
          </w:p>
        </w:tc>
      </w:tr>
      <w:tr>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DAT-06</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Records-retention schedule defines retention and deletion of AI-tool data.</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A.7.6</w:t>
            </w:r>
          </w:p>
        </w:tc>
      </w:tr>
    </w:tbl>
    <w:p>
      <w:pPr>
        <w:pStyle w:val="Heading2"/>
        <w:spacing w:after="120" w:before="240"/>
      </w:pPr>
      <w:r>
        <w:rPr>
          <w:b/>
          <w:bCs/>
          <w:color w:val="0F172A"/>
          <w:sz w:val="28"/>
          <w:szCs w:val="28"/>
        </w:rPr>
        <w:t xml:space="preserve">5.3  Identity, Access, and Agentic Authority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BFBFBF" w:sz="4"/>
              <w:left w:val="single" w:color="BFBFBF" w:sz="4"/>
              <w:bottom w:val="single" w:color="BFBFBF" w:sz="4"/>
              <w:right w:val="single" w:color="BFBFBF" w:sz="4"/>
            </w:tcBorders>
            <w:shd w:fill="0F172A" w:color="auto" w:val="clear"/>
            <w:tcMar>
              <w:top w:type="dxa" w:w="80"/>
              <w:left w:type="dxa" w:w="120"/>
              <w:bottom w:type="dxa" w:w="80"/>
              <w:right w:type="dxa" w:w="120"/>
            </w:tcMar>
          </w:tcPr>
          <w:p>
            <w:r>
              <w:rPr>
                <w:b/>
                <w:bCs/>
                <w:color w:val="FFFFFF"/>
                <w:sz w:val="20"/>
                <w:szCs w:val="20"/>
              </w:rPr>
              <w:t xml:space="preserve">ID</w:t>
            </w:r>
          </w:p>
        </w:tc>
        <w:tc>
          <w:tcPr>
            <w:tcW w:type="dxa" w:w="2520"/>
            <w:tcBorders>
              <w:top w:val="single" w:color="BFBFBF" w:sz="4"/>
              <w:left w:val="single" w:color="BFBFBF" w:sz="4"/>
              <w:bottom w:val="single" w:color="BFBFBF" w:sz="4"/>
              <w:right w:val="single" w:color="BFBFBF" w:sz="4"/>
            </w:tcBorders>
            <w:shd w:fill="0F172A" w:color="auto" w:val="clear"/>
            <w:tcMar>
              <w:top w:type="dxa" w:w="80"/>
              <w:left w:type="dxa" w:w="120"/>
              <w:bottom w:type="dxa" w:w="80"/>
              <w:right w:type="dxa" w:w="120"/>
            </w:tcMar>
          </w:tcPr>
          <w:p>
            <w:r>
              <w:rPr>
                <w:b/>
                <w:bCs/>
                <w:color w:val="FFFFFF"/>
                <w:sz w:val="20"/>
                <w:szCs w:val="20"/>
              </w:rPr>
              <w:t xml:space="preserve">Control</w:t>
            </w:r>
          </w:p>
        </w:tc>
        <w:tc>
          <w:tcPr>
            <w:tcW w:type="dxa" w:w="2520"/>
            <w:tcBorders>
              <w:top w:val="single" w:color="BFBFBF" w:sz="4"/>
              <w:left w:val="single" w:color="BFBFBF" w:sz="4"/>
              <w:bottom w:val="single" w:color="BFBFBF" w:sz="4"/>
              <w:right w:val="single" w:color="BFBFBF" w:sz="4"/>
            </w:tcBorders>
            <w:shd w:fill="0F172A" w:color="auto" w:val="clear"/>
            <w:tcMar>
              <w:top w:type="dxa" w:w="80"/>
              <w:left w:type="dxa" w:w="120"/>
              <w:bottom w:type="dxa" w:w="80"/>
              <w:right w:type="dxa" w:w="120"/>
            </w:tcMar>
          </w:tcPr>
          <w:p>
            <w:r>
              <w:rPr>
                <w:b/>
                <w:bCs/>
                <w:color w:val="FFFFFF"/>
                <w:sz w:val="20"/>
                <w:szCs w:val="20"/>
              </w:rPr>
              <w:t xml:space="preserve">OWASP LLM</w:t>
            </w:r>
          </w:p>
        </w:tc>
        <w:tc>
          <w:tcPr>
            <w:tcW w:type="dxa" w:w="2520"/>
            <w:tcBorders>
              <w:top w:val="single" w:color="BFBFBF" w:sz="4"/>
              <w:left w:val="single" w:color="BFBFBF" w:sz="4"/>
              <w:bottom w:val="single" w:color="BFBFBF" w:sz="4"/>
              <w:right w:val="single" w:color="BFBFBF" w:sz="4"/>
            </w:tcBorders>
            <w:shd w:fill="0F172A" w:color="auto" w:val="clear"/>
            <w:tcMar>
              <w:top w:type="dxa" w:w="80"/>
              <w:left w:type="dxa" w:w="120"/>
              <w:bottom w:type="dxa" w:w="80"/>
              <w:right w:type="dxa" w:w="120"/>
            </w:tcMar>
          </w:tcPr>
          <w:p>
            <w:r>
              <w:rPr>
                <w:b/>
                <w:bCs/>
                <w:color w:val="FFFFFF"/>
                <w:sz w:val="20"/>
                <w:szCs w:val="20"/>
              </w:rPr>
              <w:t xml:space="preserve">MITRE ATLAS</w:t>
            </w:r>
          </w:p>
        </w:tc>
      </w:tr>
      <w:tr>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IAM-01</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AI accounts provisioned only via the corporate IdP; SSO and MFA enforced.</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LLM06</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Initial Access</w:t>
            </w:r>
          </w:p>
        </w:tc>
      </w:tr>
      <w:tr>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IAM-02</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Just-in-time / least-privilege access for AI agents.</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LLM06</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Privilege Escalation</w:t>
            </w:r>
          </w:p>
        </w:tc>
      </w:tr>
      <w:tr>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IAM-03</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Agent identities (Agent ID / service principals) inventoried and reviewed quarterly.</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LLM06</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Persistence</w:t>
            </w:r>
          </w:p>
        </w:tc>
      </w:tr>
      <w:tr>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IAM-04</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Write-scope connectors require explicit business approval and named exception.</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LLM06</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Execution / Exfiltration</w:t>
            </w:r>
          </w:p>
        </w:tc>
      </w:tr>
      <w:tr>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IAM-05</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Scheduled tasks restricted to read-only operations by default policy.</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LLM06</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Execution</w:t>
            </w:r>
          </w:p>
        </w:tc>
      </w:tr>
    </w:tbl>
    <w:p>
      <w:pPr>
        <w:pStyle w:val="Heading2"/>
        <w:spacing w:after="120" w:before="240"/>
      </w:pPr>
      <w:r>
        <w:rPr>
          <w:b/>
          <w:bCs/>
          <w:color w:val="0F172A"/>
          <w:sz w:val="28"/>
          <w:szCs w:val="28"/>
        </w:rPr>
        <w:t xml:space="preserve">5.4  Technical Hardening (Tool Configuration)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BFBFBF" w:sz="4"/>
              <w:left w:val="single" w:color="BFBFBF" w:sz="4"/>
              <w:bottom w:val="single" w:color="BFBFBF" w:sz="4"/>
              <w:right w:val="single" w:color="BFBFBF" w:sz="4"/>
            </w:tcBorders>
            <w:shd w:fill="0F172A" w:color="auto" w:val="clear"/>
            <w:tcMar>
              <w:top w:type="dxa" w:w="80"/>
              <w:left w:type="dxa" w:w="120"/>
              <w:bottom w:type="dxa" w:w="80"/>
              <w:right w:type="dxa" w:w="120"/>
            </w:tcMar>
          </w:tcPr>
          <w:p>
            <w:r>
              <w:rPr>
                <w:b/>
                <w:bCs/>
                <w:color w:val="FFFFFF"/>
                <w:sz w:val="20"/>
                <w:szCs w:val="20"/>
              </w:rPr>
              <w:t xml:space="preserve">ID</w:t>
            </w:r>
          </w:p>
        </w:tc>
        <w:tc>
          <w:tcPr>
            <w:tcW w:type="dxa" w:w="2520"/>
            <w:tcBorders>
              <w:top w:val="single" w:color="BFBFBF" w:sz="4"/>
              <w:left w:val="single" w:color="BFBFBF" w:sz="4"/>
              <w:bottom w:val="single" w:color="BFBFBF" w:sz="4"/>
              <w:right w:val="single" w:color="BFBFBF" w:sz="4"/>
            </w:tcBorders>
            <w:shd w:fill="0F172A" w:color="auto" w:val="clear"/>
            <w:tcMar>
              <w:top w:type="dxa" w:w="80"/>
              <w:left w:type="dxa" w:w="120"/>
              <w:bottom w:type="dxa" w:w="80"/>
              <w:right w:type="dxa" w:w="120"/>
            </w:tcMar>
          </w:tcPr>
          <w:p>
            <w:r>
              <w:rPr>
                <w:b/>
                <w:bCs/>
                <w:color w:val="FFFFFF"/>
                <w:sz w:val="20"/>
                <w:szCs w:val="20"/>
              </w:rPr>
              <w:t xml:space="preserve">Control</w:t>
            </w:r>
          </w:p>
        </w:tc>
        <w:tc>
          <w:tcPr>
            <w:tcW w:type="dxa" w:w="2520"/>
            <w:tcBorders>
              <w:top w:val="single" w:color="BFBFBF" w:sz="4"/>
              <w:left w:val="single" w:color="BFBFBF" w:sz="4"/>
              <w:bottom w:val="single" w:color="BFBFBF" w:sz="4"/>
              <w:right w:val="single" w:color="BFBFBF" w:sz="4"/>
            </w:tcBorders>
            <w:shd w:fill="0F172A" w:color="auto" w:val="clear"/>
            <w:tcMar>
              <w:top w:type="dxa" w:w="80"/>
              <w:left w:type="dxa" w:w="120"/>
              <w:bottom w:type="dxa" w:w="80"/>
              <w:right w:type="dxa" w:w="120"/>
            </w:tcMar>
          </w:tcPr>
          <w:p>
            <w:r>
              <w:rPr>
                <w:b/>
                <w:bCs/>
                <w:color w:val="FFFFFF"/>
                <w:sz w:val="20"/>
                <w:szCs w:val="20"/>
              </w:rPr>
              <w:t xml:space="preserve">OWASP LLM</w:t>
            </w:r>
          </w:p>
        </w:tc>
        <w:tc>
          <w:tcPr>
            <w:tcW w:type="dxa" w:w="2520"/>
            <w:tcBorders>
              <w:top w:val="single" w:color="BFBFBF" w:sz="4"/>
              <w:left w:val="single" w:color="BFBFBF" w:sz="4"/>
              <w:bottom w:val="single" w:color="BFBFBF" w:sz="4"/>
              <w:right w:val="single" w:color="BFBFBF" w:sz="4"/>
            </w:tcBorders>
            <w:shd w:fill="0F172A" w:color="auto" w:val="clear"/>
            <w:tcMar>
              <w:top w:type="dxa" w:w="80"/>
              <w:left w:type="dxa" w:w="120"/>
              <w:bottom w:type="dxa" w:w="80"/>
              <w:right w:type="dxa" w:w="120"/>
            </w:tcMar>
          </w:tcPr>
          <w:p>
            <w:r>
              <w:rPr>
                <w:b/>
                <w:bCs/>
                <w:color w:val="FFFFFF"/>
                <w:sz w:val="20"/>
                <w:szCs w:val="20"/>
              </w:rPr>
              <w:t xml:space="preserve">Reference</w:t>
            </w:r>
          </w:p>
        </w:tc>
      </w:tr>
      <w:tr>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HRD-01</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Tenant-wide deny-by-default for non-approved connectors.</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LLM03 / LLM06</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ISO 42001 A.6.2.5</w:t>
            </w:r>
          </w:p>
        </w:tc>
      </w:tr>
      <w:tr>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HRD-02</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Plugins / skills disabled tenant-wide unless reviewed and approved.</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LLM05</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ISO 42001 A.6.2.5</w:t>
            </w:r>
          </w:p>
        </w:tc>
      </w:tr>
      <w:tr>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HRD-03</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MCP server allow-list enforced via managed configuration (MDM).</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LLM05 / LLM06</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ISO 42001 A.6.2.7</w:t>
            </w:r>
          </w:p>
        </w:tc>
      </w:tr>
      <w:tr>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HRD-04</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Global system prompts / 'memory skills' deployed to enforce safety rules across all sessions.</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LLM01</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ISO 42001 A.6.2.6</w:t>
            </w:r>
          </w:p>
        </w:tc>
      </w:tr>
      <w:tr>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HRD-05</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Browser-agent restrictions enforced for high-risk URL categories (banking, IdP, cloud consoles, HR).</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LLM06</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MITRE ATLAS — Initial Access</w:t>
            </w:r>
          </w:p>
        </w:tc>
      </w:tr>
      <w:tr>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HRD-06</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AI applications restricted on managed devices via application allow-list.</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LLM03</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NIST CSF PR.PT-3</w:t>
            </w:r>
          </w:p>
        </w:tc>
      </w:tr>
    </w:tbl>
    <w:p>
      <w:pPr>
        <w:pStyle w:val="Heading2"/>
        <w:spacing w:after="120" w:before="240"/>
      </w:pPr>
      <w:r>
        <w:rPr>
          <w:b/>
          <w:bCs/>
          <w:color w:val="0F172A"/>
          <w:sz w:val="28"/>
          <w:szCs w:val="28"/>
        </w:rPr>
        <w:t xml:space="preserve">5.5  Detection and Response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BFBFBF" w:sz="4"/>
              <w:left w:val="single" w:color="BFBFBF" w:sz="4"/>
              <w:bottom w:val="single" w:color="BFBFBF" w:sz="4"/>
              <w:right w:val="single" w:color="BFBFBF" w:sz="4"/>
            </w:tcBorders>
            <w:shd w:fill="0F172A" w:color="auto" w:val="clear"/>
            <w:tcMar>
              <w:top w:type="dxa" w:w="80"/>
              <w:left w:type="dxa" w:w="120"/>
              <w:bottom w:type="dxa" w:w="80"/>
              <w:right w:type="dxa" w:w="120"/>
            </w:tcMar>
          </w:tcPr>
          <w:p>
            <w:r>
              <w:rPr>
                <w:b/>
                <w:bCs/>
                <w:color w:val="FFFFFF"/>
                <w:sz w:val="20"/>
                <w:szCs w:val="20"/>
              </w:rPr>
              <w:t xml:space="preserve">ID</w:t>
            </w:r>
          </w:p>
        </w:tc>
        <w:tc>
          <w:tcPr>
            <w:tcW w:type="dxa" w:w="2520"/>
            <w:tcBorders>
              <w:top w:val="single" w:color="BFBFBF" w:sz="4"/>
              <w:left w:val="single" w:color="BFBFBF" w:sz="4"/>
              <w:bottom w:val="single" w:color="BFBFBF" w:sz="4"/>
              <w:right w:val="single" w:color="BFBFBF" w:sz="4"/>
            </w:tcBorders>
            <w:shd w:fill="0F172A" w:color="auto" w:val="clear"/>
            <w:tcMar>
              <w:top w:type="dxa" w:w="80"/>
              <w:left w:type="dxa" w:w="120"/>
              <w:bottom w:type="dxa" w:w="80"/>
              <w:right w:type="dxa" w:w="120"/>
            </w:tcMar>
          </w:tcPr>
          <w:p>
            <w:r>
              <w:rPr>
                <w:b/>
                <w:bCs/>
                <w:color w:val="FFFFFF"/>
                <w:sz w:val="20"/>
                <w:szCs w:val="20"/>
              </w:rPr>
              <w:t xml:space="preserve">Control</w:t>
            </w:r>
          </w:p>
        </w:tc>
        <w:tc>
          <w:tcPr>
            <w:tcW w:type="dxa" w:w="2520"/>
            <w:tcBorders>
              <w:top w:val="single" w:color="BFBFBF" w:sz="4"/>
              <w:left w:val="single" w:color="BFBFBF" w:sz="4"/>
              <w:bottom w:val="single" w:color="BFBFBF" w:sz="4"/>
              <w:right w:val="single" w:color="BFBFBF" w:sz="4"/>
            </w:tcBorders>
            <w:shd w:fill="0F172A" w:color="auto" w:val="clear"/>
            <w:tcMar>
              <w:top w:type="dxa" w:w="80"/>
              <w:left w:type="dxa" w:w="120"/>
              <w:bottom w:type="dxa" w:w="80"/>
              <w:right w:type="dxa" w:w="120"/>
            </w:tcMar>
          </w:tcPr>
          <w:p>
            <w:r>
              <w:rPr>
                <w:b/>
                <w:bCs/>
                <w:color w:val="FFFFFF"/>
                <w:sz w:val="20"/>
                <w:szCs w:val="20"/>
              </w:rPr>
              <w:t xml:space="preserve">NIST CSF</w:t>
            </w:r>
          </w:p>
        </w:tc>
        <w:tc>
          <w:tcPr>
            <w:tcW w:type="dxa" w:w="2520"/>
            <w:tcBorders>
              <w:top w:val="single" w:color="BFBFBF" w:sz="4"/>
              <w:left w:val="single" w:color="BFBFBF" w:sz="4"/>
              <w:bottom w:val="single" w:color="BFBFBF" w:sz="4"/>
              <w:right w:val="single" w:color="BFBFBF" w:sz="4"/>
            </w:tcBorders>
            <w:shd w:fill="0F172A" w:color="auto" w:val="clear"/>
            <w:tcMar>
              <w:top w:type="dxa" w:w="80"/>
              <w:left w:type="dxa" w:w="120"/>
              <w:bottom w:type="dxa" w:w="80"/>
              <w:right w:type="dxa" w:w="120"/>
            </w:tcMar>
          </w:tcPr>
          <w:p>
            <w:r>
              <w:rPr>
                <w:b/>
                <w:bCs/>
                <w:color w:val="FFFFFF"/>
                <w:sz w:val="20"/>
                <w:szCs w:val="20"/>
              </w:rPr>
              <w:t xml:space="preserve">Reference</w:t>
            </w:r>
          </w:p>
        </w:tc>
      </w:tr>
      <w:tr>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DET-01</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AI tool audit logs forwarded to SIEM / SOC for retention and correlation.</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DE.AE-3</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ISO 42001 A.9.4</w:t>
            </w:r>
          </w:p>
        </w:tc>
      </w:tr>
      <w:tr>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DET-02</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OpenTelemetry tracing enabled where supported (host AI applications).</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DE.CM-1</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w:t>
            </w:r>
          </w:p>
        </w:tc>
      </w:tr>
      <w:tr>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DET-03</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Detections for prompt-injection indicators (e.g. exfil to external domains, anomalous tool-call sequences).</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DE.AE-3</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MITRE ATLAS</w:t>
            </w:r>
          </w:p>
        </w:tc>
      </w:tr>
      <w:tr>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DET-04</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Insider-risk policies tuned for AI use (mass exports, classification downgrades).</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DE.CM-3</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ISO 42001 A.9.5</w:t>
            </w:r>
          </w:p>
        </w:tc>
      </w:tr>
      <w:tr>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DET-05</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AI incidents triaged through standard incident response, with named escalation path.</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RS.AN-2</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NIST AI RMF MANAGE-2.4</w:t>
            </w:r>
          </w:p>
        </w:tc>
      </w:tr>
    </w:tbl>
    <w:p>
      <w:r>
        <w:br w:type="page"/>
      </w:r>
    </w:p>
    <w:p>
      <w:pPr>
        <w:pStyle w:val="Heading1"/>
        <w:spacing w:after="160" w:before="320"/>
      </w:pPr>
      <w:r>
        <w:rPr>
          <w:b/>
          <w:bCs/>
          <w:color w:val="0F172A"/>
          <w:sz w:val="36"/>
          <w:szCs w:val="36"/>
        </w:rPr>
        <w:t xml:space="preserve">6.  Exceptions and Incident Handling</w:t>
      </w:r>
    </w:p>
    <w:p>
      <w:pPr>
        <w:pStyle w:val="Heading2"/>
        <w:spacing w:after="120" w:before="240"/>
      </w:pPr>
      <w:r>
        <w:rPr>
          <w:b/>
          <w:bCs/>
          <w:color w:val="0F172A"/>
          <w:sz w:val="28"/>
          <w:szCs w:val="28"/>
        </w:rPr>
        <w:t xml:space="preserve">6.1  Exceptions</w:t>
      </w:r>
    </w:p>
    <w:p>
      <w:pPr>
        <w:spacing w:after="120"/>
        <w:jc w:val="both"/>
      </w:pPr>
      <w:r>
        <w:rPr>
          <w:sz w:val="22"/>
          <w:szCs w:val="22"/>
        </w:rPr>
        <w:t xml:space="preserve">Exceptions to this Standard must follow the [Exception Procedure]. Exceptions are time-bound, owned, and tracked. Misuse of AI is deemed a security incident and is not eligible to be retro-fitted as an exception.</w:t>
      </w:r>
    </w:p>
    <w:p>
      <w:pPr>
        <w:spacing w:after="120"/>
        <w:jc w:val="both"/>
      </w:pPr>
      <w:r>
        <w:rPr>
          <w:sz w:val="22"/>
          <w:szCs w:val="22"/>
        </w:rPr>
        <w:t xml:space="preserve">Suspicious AI behaviour must be reported to the user's direct line manager for consideration of escalation. Where there is any doubt, escalate.</w:t>
      </w:r>
    </w:p>
    <w:p>
      <w:pPr>
        <w:pStyle w:val="Heading2"/>
        <w:spacing w:after="120" w:before="240"/>
      </w:pPr>
      <w:r>
        <w:rPr>
          <w:b/>
          <w:bCs/>
          <w:color w:val="0F172A"/>
          <w:sz w:val="28"/>
          <w:szCs w:val="28"/>
        </w:rPr>
        <w:t xml:space="preserve">6.2  Reportable Events</w:t>
      </w:r>
    </w:p>
    <w:p>
      <w:pPr>
        <w:spacing w:after="120"/>
        <w:jc w:val="both"/>
      </w:pPr>
      <w:r>
        <w:rPr>
          <w:sz w:val="22"/>
          <w:szCs w:val="22"/>
        </w:rPr>
        <w:t xml:space="preserve">The following events must be reported via [Security Contact] and subsequently logged by Information Security as soon as reasonably possible:</w:t>
      </w:r>
    </w:p>
    <w:p>
      <w:pPr>
        <w:pStyle w:val="ListParagraph"/>
        <w:numPr>
          <w:ilvl w:val="0"/>
          <w:numId w:val="2"/>
        </w:numPr>
        <w:spacing w:after="80"/>
      </w:pPr>
      <w:r>
        <w:rPr>
          <w:sz w:val="22"/>
          <w:szCs w:val="22"/>
        </w:rPr>
        <w:t xml:space="preserve">Uploading of sensitive data (personal data, secrets, client data) into unauthorised AI tools.</w:t>
      </w:r>
    </w:p>
    <w:p>
      <w:pPr>
        <w:pStyle w:val="ListParagraph"/>
        <w:numPr>
          <w:ilvl w:val="0"/>
          <w:numId w:val="2"/>
        </w:numPr>
        <w:spacing w:after="80"/>
      </w:pPr>
      <w:r>
        <w:rPr>
          <w:sz w:val="22"/>
          <w:szCs w:val="22"/>
        </w:rPr>
        <w:t xml:space="preserve">Use of unapproved AI tools for business activities.</w:t>
      </w:r>
    </w:p>
    <w:p>
      <w:pPr>
        <w:pStyle w:val="ListParagraph"/>
        <w:numPr>
          <w:ilvl w:val="0"/>
          <w:numId w:val="2"/>
        </w:numPr>
        <w:spacing w:after="80"/>
      </w:pPr>
      <w:r>
        <w:rPr>
          <w:sz w:val="22"/>
          <w:szCs w:val="22"/>
        </w:rPr>
        <w:t xml:space="preserve">Generation of content (code, communications, decisions) using AI that results in harm, error, or exposure.</w:t>
      </w:r>
    </w:p>
    <w:p>
      <w:pPr>
        <w:pStyle w:val="ListParagraph"/>
        <w:numPr>
          <w:ilvl w:val="0"/>
          <w:numId w:val="2"/>
        </w:numPr>
        <w:spacing w:after="80"/>
      </w:pPr>
      <w:r>
        <w:rPr>
          <w:sz w:val="22"/>
          <w:szCs w:val="22"/>
        </w:rPr>
        <w:t xml:space="preserve">Discovery of model hallucination, bias, or manipulation in any customer-facing deliverable.</w:t>
      </w:r>
    </w:p>
    <w:p>
      <w:pPr>
        <w:pStyle w:val="ListParagraph"/>
        <w:numPr>
          <w:ilvl w:val="0"/>
          <w:numId w:val="2"/>
        </w:numPr>
        <w:spacing w:after="80"/>
      </w:pPr>
      <w:r>
        <w:rPr>
          <w:sz w:val="22"/>
          <w:szCs w:val="22"/>
        </w:rPr>
        <w:t xml:space="preserve">Suspected prompt injection or unauthorised agent action.</w:t>
      </w:r>
    </w:p>
    <w:p>
      <w:pPr>
        <w:spacing w:after="120"/>
        <w:jc w:val="both"/>
      </w:pPr>
      <w:r>
        <w:rPr>
          <w:sz w:val="22"/>
          <w:szCs w:val="22"/>
        </w:rPr>
        <w:t xml:space="preserve">Depending on nature and severity, the Incident Management Procedure may be invoked. AI-related incidents must be escalated to InfoSec within 24 hours. Examples include AI-generated outputs causing harm, bias, or reputational damage; and unauthorised use of AI tools or data leakage via AI interfaces.</w:t>
      </w:r>
    </w:p>
    <w:p>
      <w:pPr>
        <w:spacing w:after="120"/>
        <w:jc w:val="both"/>
      </w:pPr>
      <w:r>
        <w:rPr>
          <w:sz w:val="22"/>
          <w:szCs w:val="22"/>
        </w:rPr>
        <w:t xml:space="preserve">Post-incident reviews must be conducted to identify root causes and to update controls or training.</w:t>
      </w:r>
    </w:p>
    <w:p>
      <w:pPr>
        <w:pStyle w:val="Heading1"/>
        <w:spacing w:after="160" w:before="320"/>
      </w:pPr>
      <w:r>
        <w:rPr>
          <w:b/>
          <w:bCs/>
          <w:color w:val="0F172A"/>
          <w:sz w:val="36"/>
          <w:szCs w:val="36"/>
        </w:rPr>
        <w:t xml:space="preserve">7.  Document Administration</w:t>
      </w:r>
    </w:p>
    <w:p>
      <w:pPr>
        <w:pStyle w:val="Heading2"/>
        <w:spacing w:after="120" w:before="240"/>
      </w:pPr>
      <w:r>
        <w:rPr>
          <w:b/>
          <w:bCs/>
          <w:color w:val="0F172A"/>
          <w:sz w:val="28"/>
          <w:szCs w:val="28"/>
        </w:rPr>
        <w:t xml:space="preserve">7.1  Ownership, Review, and Communication</w:t>
      </w:r>
    </w:p>
    <w:p>
      <w:pPr>
        <w:spacing w:after="120"/>
        <w:jc w:val="both"/>
      </w:pPr>
      <w:r>
        <w:rPr>
          <w:sz w:val="22"/>
          <w:szCs w:val="22"/>
        </w:rPr>
        <w:t xml:space="preserve">This document is owned by [Document Owner], who must ensure that it is reviewed and updated (where necessary) at least annually, or more frequently in the event of a material business change or significant shift in risk.</w:t>
      </w:r>
    </w:p>
    <w:p>
      <w:pPr>
        <w:pStyle w:val="ListParagraph"/>
        <w:numPr>
          <w:ilvl w:val="0"/>
          <w:numId w:val="2"/>
        </w:numPr>
        <w:spacing w:after="80"/>
      </w:pPr>
      <w:r>
        <w:rPr>
          <w:sz w:val="22"/>
          <w:szCs w:val="22"/>
        </w:rPr>
        <w:t xml:space="preserve">Minor updates: signoff required by [Document Owner].</w:t>
      </w:r>
    </w:p>
    <w:p>
      <w:pPr>
        <w:pStyle w:val="ListParagraph"/>
        <w:numPr>
          <w:ilvl w:val="0"/>
          <w:numId w:val="2"/>
        </w:numPr>
        <w:spacing w:after="80"/>
      </w:pPr>
      <w:r>
        <w:rPr>
          <w:sz w:val="22"/>
          <w:szCs w:val="22"/>
        </w:rPr>
        <w:t xml:space="preserve">Major updates: signoff required by [Approver Forum].</w:t>
      </w:r>
    </w:p>
    <w:p>
      <w:pPr>
        <w:spacing w:after="120"/>
        <w:jc w:val="both"/>
      </w:pPr>
      <w:r>
        <w:rPr>
          <w:sz w:val="22"/>
          <w:szCs w:val="22"/>
        </w:rPr>
        <w:t xml:space="preserve">This document shall be made available to all staff via the organisation's policy management system. The master editable document shall be maintained by Information Security and access restricted to individuals with a relevant business need to edit. For major updates, an awareness communication must be sent advising staff of the changes.</w:t>
      </w:r>
    </w:p>
    <w:p>
      <w:pPr>
        <w:pStyle w:val="Heading2"/>
        <w:spacing w:after="120" w:before="240"/>
      </w:pPr>
      <w:r>
        <w:rPr>
          <w:b/>
          <w:bCs/>
          <w:color w:val="0F172A"/>
          <w:sz w:val="28"/>
          <w:szCs w:val="28"/>
        </w:rPr>
        <w:t xml:space="preserve">7.2  Change Record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BFBFBF" w:sz="4"/>
              <w:left w:val="single" w:color="BFBFBF" w:sz="4"/>
              <w:bottom w:val="single" w:color="BFBFBF" w:sz="4"/>
              <w:right w:val="single" w:color="BFBFBF" w:sz="4"/>
            </w:tcBorders>
            <w:shd w:fill="0F172A" w:color="auto" w:val="clear"/>
            <w:tcMar>
              <w:top w:type="dxa" w:w="80"/>
              <w:left w:type="dxa" w:w="120"/>
              <w:bottom w:type="dxa" w:w="80"/>
              <w:right w:type="dxa" w:w="120"/>
            </w:tcMar>
          </w:tcPr>
          <w:p>
            <w:r>
              <w:rPr>
                <w:b/>
                <w:bCs/>
                <w:color w:val="FFFFFF"/>
                <w:sz w:val="20"/>
                <w:szCs w:val="20"/>
              </w:rPr>
              <w:t xml:space="preserve">Date</w:t>
            </w:r>
          </w:p>
        </w:tc>
        <w:tc>
          <w:tcPr>
            <w:tcW w:type="dxa" w:w="2520"/>
            <w:tcBorders>
              <w:top w:val="single" w:color="BFBFBF" w:sz="4"/>
              <w:left w:val="single" w:color="BFBFBF" w:sz="4"/>
              <w:bottom w:val="single" w:color="BFBFBF" w:sz="4"/>
              <w:right w:val="single" w:color="BFBFBF" w:sz="4"/>
            </w:tcBorders>
            <w:shd w:fill="0F172A" w:color="auto" w:val="clear"/>
            <w:tcMar>
              <w:top w:type="dxa" w:w="80"/>
              <w:left w:type="dxa" w:w="120"/>
              <w:bottom w:type="dxa" w:w="80"/>
              <w:right w:type="dxa" w:w="120"/>
            </w:tcMar>
          </w:tcPr>
          <w:p>
            <w:r>
              <w:rPr>
                <w:b/>
                <w:bCs/>
                <w:color w:val="FFFFFF"/>
                <w:sz w:val="20"/>
                <w:szCs w:val="20"/>
              </w:rPr>
              <w:t xml:space="preserve">Author</w:t>
            </w:r>
          </w:p>
        </w:tc>
        <w:tc>
          <w:tcPr>
            <w:tcW w:type="dxa" w:w="2520"/>
            <w:tcBorders>
              <w:top w:val="single" w:color="BFBFBF" w:sz="4"/>
              <w:left w:val="single" w:color="BFBFBF" w:sz="4"/>
              <w:bottom w:val="single" w:color="BFBFBF" w:sz="4"/>
              <w:right w:val="single" w:color="BFBFBF" w:sz="4"/>
            </w:tcBorders>
            <w:shd w:fill="0F172A" w:color="auto" w:val="clear"/>
            <w:tcMar>
              <w:top w:type="dxa" w:w="80"/>
              <w:left w:type="dxa" w:w="120"/>
              <w:bottom w:type="dxa" w:w="80"/>
              <w:right w:type="dxa" w:w="120"/>
            </w:tcMar>
          </w:tcPr>
          <w:p>
            <w:r>
              <w:rPr>
                <w:b/>
                <w:bCs/>
                <w:color w:val="FFFFFF"/>
                <w:sz w:val="20"/>
                <w:szCs w:val="20"/>
              </w:rPr>
              <w:t xml:space="preserve">Version</w:t>
            </w:r>
          </w:p>
        </w:tc>
        <w:tc>
          <w:tcPr>
            <w:tcW w:type="dxa" w:w="2520"/>
            <w:tcBorders>
              <w:top w:val="single" w:color="BFBFBF" w:sz="4"/>
              <w:left w:val="single" w:color="BFBFBF" w:sz="4"/>
              <w:bottom w:val="single" w:color="BFBFBF" w:sz="4"/>
              <w:right w:val="single" w:color="BFBFBF" w:sz="4"/>
            </w:tcBorders>
            <w:shd w:fill="0F172A" w:color="auto" w:val="clear"/>
            <w:tcMar>
              <w:top w:type="dxa" w:w="80"/>
              <w:left w:type="dxa" w:w="120"/>
              <w:bottom w:type="dxa" w:w="80"/>
              <w:right w:type="dxa" w:w="120"/>
            </w:tcMar>
          </w:tcPr>
          <w:p>
            <w:r>
              <w:rPr>
                <w:b/>
                <w:bCs/>
                <w:color w:val="FFFFFF"/>
                <w:sz w:val="20"/>
                <w:szCs w:val="20"/>
              </w:rPr>
              <w:t xml:space="preserve">Comments</w:t>
            </w:r>
          </w:p>
        </w:tc>
      </w:tr>
      <w:tr>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[YYYY-MM-DD]</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[Author]</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0.1</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Initial draft adapted from generic template v1.0.</w:t>
            </w:r>
          </w:p>
        </w:tc>
      </w:tr>
      <w:tr>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[YYYY-MM-DD]</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[Author]</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1.0</w:t>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First approved version.</w:t>
            </w:r>
          </w:p>
        </w:tc>
      </w:tr>
      <w:tr>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
            </w:r>
          </w:p>
        </w:tc>
      </w:tr>
      <w:tr>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
            </w:r>
          </w:p>
        </w:tc>
        <w:tc>
          <w:tcPr>
            <w:tcW w:type="dxa" w:w="252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
            </w:r>
          </w:p>
        </w:tc>
      </w:tr>
    </w:tbl>
    <w:p>
      <w:pPr>
        <w:pStyle w:val="Heading2"/>
        <w:spacing w:after="120" w:before="240"/>
      </w:pPr>
      <w:r>
        <w:rPr>
          <w:b/>
          <w:bCs/>
          <w:color w:val="0F172A"/>
          <w:sz w:val="28"/>
          <w:szCs w:val="28"/>
        </w:rPr>
        <w:t xml:space="preserve">7.3  Latest Review and Approval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4"/>
              <w:left w:val="single" w:color="BFBFBF" w:sz="4"/>
              <w:bottom w:val="single" w:color="BFBFBF" w:sz="4"/>
              <w:right w:val="single" w:color="BFBFBF" w:sz="4"/>
            </w:tcBorders>
            <w:shd w:fill="0F172A" w:color="auto" w:val="clear"/>
            <w:tcMar>
              <w:top w:type="dxa" w:w="80"/>
              <w:left w:type="dxa" w:w="120"/>
              <w:bottom w:type="dxa" w:w="80"/>
              <w:right w:type="dxa" w:w="120"/>
            </w:tcMar>
          </w:tcPr>
          <w:p>
            <w:r>
              <w:rPr>
                <w:b/>
                <w:bCs/>
                <w:color w:val="FFFFFF"/>
                <w:sz w:val="20"/>
                <w:szCs w:val="20"/>
              </w:rPr>
              <w:t xml:space="preserve">Approver / Forum</w:t>
            </w:r>
          </w:p>
        </w:tc>
        <w:tc>
          <w:tcPr>
            <w:tcW w:type="dxa" w:w="5040"/>
            <w:tcBorders>
              <w:top w:val="single" w:color="BFBFBF" w:sz="4"/>
              <w:left w:val="single" w:color="BFBFBF" w:sz="4"/>
              <w:bottom w:val="single" w:color="BFBFBF" w:sz="4"/>
              <w:right w:val="single" w:color="BFBFBF" w:sz="4"/>
            </w:tcBorders>
            <w:shd w:fill="0F172A" w:color="auto" w:val="clear"/>
            <w:tcMar>
              <w:top w:type="dxa" w:w="80"/>
              <w:left w:type="dxa" w:w="120"/>
              <w:bottom w:type="dxa" w:w="80"/>
              <w:right w:type="dxa" w:w="120"/>
            </w:tcMar>
          </w:tcPr>
          <w:p>
            <w:r>
              <w:rPr>
                <w:b/>
                <w:bCs/>
                <w:color w:val="FFFFFF"/>
                <w:sz w:val="20"/>
                <w:szCs w:val="20"/>
              </w:rPr>
              <w:t xml:space="preserve">Date</w:t>
            </w:r>
          </w:p>
        </w:tc>
      </w:tr>
      <w:tr>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[Approver Forum] (major)</w:t>
            </w:r>
          </w:p>
        </w:tc>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[YYYY-MM-DD]</w:t>
            </w:r>
          </w:p>
        </w:tc>
      </w:tr>
      <w:tr>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[Document Owner] (minor)</w:t>
            </w:r>
          </w:p>
        </w:tc>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[YYYY-MM-DD]</w:t>
            </w:r>
          </w:p>
        </w:tc>
      </w:tr>
    </w:tbl>
    <w:p>
      <w:pPr>
        <w:pStyle w:val="Heading1"/>
        <w:spacing w:after="160" w:before="320"/>
      </w:pPr>
      <w:r>
        <w:rPr>
          <w:b/>
          <w:bCs/>
          <w:color w:val="0F172A"/>
          <w:sz w:val="36"/>
          <w:szCs w:val="36"/>
        </w:rPr>
        <w:t xml:space="preserve">Appendix A — Glossary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4"/>
              <w:left w:val="single" w:color="BFBFBF" w:sz="4"/>
              <w:bottom w:val="single" w:color="BFBFBF" w:sz="4"/>
              <w:right w:val="single" w:color="BFBFBF" w:sz="4"/>
            </w:tcBorders>
            <w:shd w:fill="0F172A" w:color="auto" w:val="clear"/>
            <w:tcMar>
              <w:top w:type="dxa" w:w="80"/>
              <w:left w:type="dxa" w:w="120"/>
              <w:bottom w:type="dxa" w:w="80"/>
              <w:right w:type="dxa" w:w="120"/>
            </w:tcMar>
          </w:tcPr>
          <w:p>
            <w:r>
              <w:rPr>
                <w:b/>
                <w:bCs/>
                <w:color w:val="FFFFFF"/>
                <w:sz w:val="20"/>
                <w:szCs w:val="20"/>
              </w:rPr>
              <w:t xml:space="preserve">Term</w:t>
            </w:r>
          </w:p>
        </w:tc>
        <w:tc>
          <w:tcPr>
            <w:tcW w:type="dxa" w:w="5040"/>
            <w:tcBorders>
              <w:top w:val="single" w:color="BFBFBF" w:sz="4"/>
              <w:left w:val="single" w:color="BFBFBF" w:sz="4"/>
              <w:bottom w:val="single" w:color="BFBFBF" w:sz="4"/>
              <w:right w:val="single" w:color="BFBFBF" w:sz="4"/>
            </w:tcBorders>
            <w:shd w:fill="0F172A" w:color="auto" w:val="clear"/>
            <w:tcMar>
              <w:top w:type="dxa" w:w="80"/>
              <w:left w:type="dxa" w:w="120"/>
              <w:bottom w:type="dxa" w:w="80"/>
              <w:right w:type="dxa" w:w="120"/>
            </w:tcMar>
          </w:tcPr>
          <w:p>
            <w:r>
              <w:rPr>
                <w:b/>
                <w:bCs/>
                <w:color w:val="FFFFFF"/>
                <w:sz w:val="20"/>
                <w:szCs w:val="20"/>
              </w:rPr>
              <w:t xml:space="preserve">Definition</w:t>
            </w:r>
          </w:p>
        </w:tc>
      </w:tr>
      <w:tr>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Agentic AI</w:t>
            </w:r>
          </w:p>
        </w:tc>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AI that takes autonomous actions on behalf of a user (e.g. browses, calls APIs, modifies files), as opposed to AI that only generates text.</w:t>
            </w:r>
          </w:p>
        </w:tc>
      </w:tr>
      <w:tr>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MCP</w:t>
            </w:r>
          </w:p>
        </w:tc>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Model Context Protocol — an open standard that lets AI tools call external systems via standardised servers.</w:t>
            </w:r>
          </w:p>
        </w:tc>
      </w:tr>
      <w:tr>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Connector / Plugin</w:t>
            </w:r>
          </w:p>
        </w:tc>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 managed integration that exposes a third-party service (e.g. email, ticketing) to an AI tool.</w:t>
            </w:r>
          </w:p>
        </w:tc>
      </w:tr>
      <w:tr>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Skill</w:t>
            </w:r>
          </w:p>
        </w:tc>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 packaged set of instructions, prompts, and tools that customises an AI tool's behaviour for a specific task.</w:t>
            </w:r>
          </w:p>
        </w:tc>
      </w:tr>
      <w:tr>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Prompt Injection</w:t>
            </w:r>
          </w:p>
        </w:tc>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An attack where malicious instructions hidden inside content cause an AI to behave against the user's intent.</w:t>
            </w:r>
          </w:p>
        </w:tc>
      </w:tr>
      <w:tr>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DPIA</w:t>
            </w:r>
          </w:p>
        </w:tc>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Data Protection Impact Assessment — a structured assessment required where personal data processing carries elevated risk.</w:t>
            </w:r>
          </w:p>
        </w:tc>
      </w:tr>
      <w:tr>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LLM</w:t>
            </w:r>
          </w:p>
        </w:tc>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Large Language Model — the class of AI model used for natural-language generation.</w:t>
            </w:r>
          </w:p>
        </w:tc>
      </w:tr>
      <w:tr>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Hallucination</w:t>
            </w:r>
          </w:p>
        </w:tc>
        <w:tc>
          <w:tcPr>
            <w:tcW w:type="dxa" w:w="5040"/>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AI output that is factually wrong but presented confidently.</w:t>
            </w:r>
          </w:p>
        </w:tc>
      </w:tr>
    </w:tbl>
    <w:p>
      <w:pPr>
        <w:pStyle w:val="Heading1"/>
        <w:spacing w:after="160" w:before="320"/>
      </w:pPr>
      <w:r>
        <w:rPr>
          <w:b/>
          <w:bCs/>
          <w:color w:val="0F172A"/>
          <w:sz w:val="36"/>
          <w:szCs w:val="36"/>
        </w:rPr>
        <w:t xml:space="preserve">Appendix B — Cross-Framework Mapping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BFBFBF" w:sz="4"/>
              <w:left w:val="single" w:color="BFBFBF" w:sz="4"/>
              <w:bottom w:val="single" w:color="BFBFBF" w:sz="4"/>
              <w:right w:val="single" w:color="BFBFBF" w:sz="4"/>
            </w:tcBorders>
            <w:shd w:fill="0F172A" w:color="auto" w:val="clear"/>
            <w:tcMar>
              <w:top w:type="dxa" w:w="80"/>
              <w:left w:type="dxa" w:w="120"/>
              <w:bottom w:type="dxa" w:w="80"/>
              <w:right w:type="dxa" w:w="120"/>
            </w:tcMar>
          </w:tcPr>
          <w:p>
            <w:r>
              <w:rPr>
                <w:b/>
                <w:bCs/>
                <w:color w:val="FFFFFF"/>
                <w:sz w:val="20"/>
                <w:szCs w:val="20"/>
              </w:rPr>
              <w:t xml:space="preserve">Section in this Standard</w:t>
            </w:r>
          </w:p>
        </w:tc>
        <w:tc>
          <w:tcPr>
            <w:tcW w:type="dxa" w:w="2016"/>
            <w:tcBorders>
              <w:top w:val="single" w:color="BFBFBF" w:sz="4"/>
              <w:left w:val="single" w:color="BFBFBF" w:sz="4"/>
              <w:bottom w:val="single" w:color="BFBFBF" w:sz="4"/>
              <w:right w:val="single" w:color="BFBFBF" w:sz="4"/>
            </w:tcBorders>
            <w:shd w:fill="0F172A" w:color="auto" w:val="clear"/>
            <w:tcMar>
              <w:top w:type="dxa" w:w="80"/>
              <w:left w:type="dxa" w:w="120"/>
              <w:bottom w:type="dxa" w:w="80"/>
              <w:right w:type="dxa" w:w="120"/>
            </w:tcMar>
          </w:tcPr>
          <w:p>
            <w:r>
              <w:rPr>
                <w:b/>
                <w:bCs/>
                <w:color w:val="FFFFFF"/>
                <w:sz w:val="20"/>
                <w:szCs w:val="20"/>
              </w:rPr>
              <w:t xml:space="preserve">NIST AI RMF</w:t>
            </w:r>
          </w:p>
        </w:tc>
        <w:tc>
          <w:tcPr>
            <w:tcW w:type="dxa" w:w="2016"/>
            <w:tcBorders>
              <w:top w:val="single" w:color="BFBFBF" w:sz="4"/>
              <w:left w:val="single" w:color="BFBFBF" w:sz="4"/>
              <w:bottom w:val="single" w:color="BFBFBF" w:sz="4"/>
              <w:right w:val="single" w:color="BFBFBF" w:sz="4"/>
            </w:tcBorders>
            <w:shd w:fill="0F172A" w:color="auto" w:val="clear"/>
            <w:tcMar>
              <w:top w:type="dxa" w:w="80"/>
              <w:left w:type="dxa" w:w="120"/>
              <w:bottom w:type="dxa" w:w="80"/>
              <w:right w:type="dxa" w:w="120"/>
            </w:tcMar>
          </w:tcPr>
          <w:p>
            <w:r>
              <w:rPr>
                <w:b/>
                <w:bCs/>
                <w:color w:val="FFFFFF"/>
                <w:sz w:val="20"/>
                <w:szCs w:val="20"/>
              </w:rPr>
              <w:t xml:space="preserve">ISO/IEC 42001</w:t>
            </w:r>
          </w:p>
        </w:tc>
        <w:tc>
          <w:tcPr>
            <w:tcW w:type="dxa" w:w="2016"/>
            <w:tcBorders>
              <w:top w:val="single" w:color="BFBFBF" w:sz="4"/>
              <w:left w:val="single" w:color="BFBFBF" w:sz="4"/>
              <w:bottom w:val="single" w:color="BFBFBF" w:sz="4"/>
              <w:right w:val="single" w:color="BFBFBF" w:sz="4"/>
            </w:tcBorders>
            <w:shd w:fill="0F172A" w:color="auto" w:val="clear"/>
            <w:tcMar>
              <w:top w:type="dxa" w:w="80"/>
              <w:left w:type="dxa" w:w="120"/>
              <w:bottom w:type="dxa" w:w="80"/>
              <w:right w:type="dxa" w:w="120"/>
            </w:tcMar>
          </w:tcPr>
          <w:p>
            <w:r>
              <w:rPr>
                <w:b/>
                <w:bCs/>
                <w:color w:val="FFFFFF"/>
                <w:sz w:val="20"/>
                <w:szCs w:val="20"/>
              </w:rPr>
              <w:t xml:space="preserve">EU AI Act</w:t>
            </w:r>
          </w:p>
        </w:tc>
        <w:tc>
          <w:tcPr>
            <w:tcW w:type="dxa" w:w="2016"/>
            <w:tcBorders>
              <w:top w:val="single" w:color="BFBFBF" w:sz="4"/>
              <w:left w:val="single" w:color="BFBFBF" w:sz="4"/>
              <w:bottom w:val="single" w:color="BFBFBF" w:sz="4"/>
              <w:right w:val="single" w:color="BFBFBF" w:sz="4"/>
            </w:tcBorders>
            <w:shd w:fill="0F172A" w:color="auto" w:val="clear"/>
            <w:tcMar>
              <w:top w:type="dxa" w:w="80"/>
              <w:left w:type="dxa" w:w="120"/>
              <w:bottom w:type="dxa" w:w="80"/>
              <w:right w:type="dxa" w:w="120"/>
            </w:tcMar>
          </w:tcPr>
          <w:p>
            <w:r>
              <w:rPr>
                <w:b/>
                <w:bCs/>
                <w:color w:val="FFFFFF"/>
                <w:sz w:val="20"/>
                <w:szCs w:val="20"/>
              </w:rPr>
              <w:t xml:space="preserve">OWASP LLM Top 10</w:t>
            </w:r>
          </w:p>
        </w:tc>
      </w:tr>
      <w:tr>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1. Overview</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GOVERN-1</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Cl. 4–5</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Art. 4</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w:t>
            </w:r>
          </w:p>
        </w:tc>
      </w:tr>
      <w:tr>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2.1 Hallucination</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MEASURE-2.3</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A.6.2.4</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Art. 13</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LLM09</w:t>
            </w:r>
          </w:p>
        </w:tc>
      </w:tr>
      <w:tr>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2.2 Data Leakage</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MANAGE-2.1</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A.7.4</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Art. 10</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LLM02</w:t>
            </w:r>
          </w:p>
        </w:tc>
      </w:tr>
      <w:tr>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2.3 IP/Copyright</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GOVERN-3.1</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A.10.3</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Art. 53</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w:t>
            </w:r>
          </w:p>
        </w:tc>
      </w:tr>
      <w:tr>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2.4 Bias &amp; Fairness</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MEASURE-2.11</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A.6.2.6</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Art. 10 / 14</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w:t>
            </w:r>
          </w:p>
        </w:tc>
      </w:tr>
      <w:tr>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2.5 Over-reliance</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GOVERN-2.1</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A.9.2</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Art. 14</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LLM09</w:t>
            </w:r>
          </w:p>
        </w:tc>
      </w:tr>
      <w:tr>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2.6 Supply Chain</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MAP-4.1</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A.10.2</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Art. 25</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LLM03</w:t>
            </w:r>
          </w:p>
        </w:tc>
      </w:tr>
      <w:tr>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2.7 Agentic Risk</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MANAGE-1.3</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A.6.2.7</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Art. 14 / 15</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LLM06</w:t>
            </w:r>
          </w:p>
        </w:tc>
      </w:tr>
      <w:tr>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2.8 Prompt Injection</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MEASURE-2.7</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A.6.2.5</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Art. 15</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LLM01</w:t>
            </w:r>
          </w:p>
        </w:tc>
      </w:tr>
      <w:tr>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3. Requirements</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MANAGE-1</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A.6.2</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Art. 26 / 27</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All</w:t>
            </w:r>
          </w:p>
        </w:tc>
      </w:tr>
      <w:tr>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4. Approved Tooling</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MAP-1.6</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A.6.2.2</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Art. 9</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LLM03</w:t>
            </w:r>
          </w:p>
        </w:tc>
      </w:tr>
      <w:tr>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5. Controls</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MEASURE / MANAGE</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Annex A</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Art. 9 / 15</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All</w:t>
            </w:r>
          </w:p>
        </w:tc>
      </w:tr>
      <w:tr>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6. Exceptions / Incidents</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MANAGE-2.4</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A.10.4</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Art. 26</w:t>
            </w:r>
          </w:p>
        </w:tc>
        <w:tc>
          <w:tcPr>
            <w:tcW w:type="dxa" w:w="2016"/>
            <w:tcBorders>
              <w:top w:val="single" w:color="BFBFBF" w:sz="4"/>
              <w:left w:val="single" w:color="BFBFBF" w:sz="4"/>
              <w:bottom w:val="single" w:color="BFBFBF" w:sz="4"/>
              <w:right w:val="single" w:color="BFBFBF" w:sz="4"/>
            </w:tcBorders>
            <w:shd w:fill="FFFFFF" w:color="auto" w:val="clear"/>
            <w:tcMar>
              <w:top w:type="dxa" w:w="70"/>
              <w:left w:type="dxa" w:w="120"/>
              <w:bottom w:type="dxa" w:w="70"/>
              <w:right w:type="dxa" w:w="120"/>
            </w:tcMar>
          </w:tcPr>
          <w:p>
            <w:r>
              <w:rPr>
                <w:b w:val="false"/>
                <w:bCs w:val="false"/>
                <w:sz w:val="20"/>
                <w:szCs w:val="20"/>
              </w:rPr>
              <w:t xml:space="preserv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AI Governance &amp; Hardening Project — Open Source Template  ·  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16"/>
        <w:szCs w:val="16"/>
      </w:rPr>
      <w:t xml:space="preserve">AI Usage and Governance Standard  |  Generic Template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0F172A"/>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0F172A"/>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Usage and Governance Standard (Generic Template)</dc:title>
  <dc:creator>AI Governance and Hardening Project</dc:creator>
  <dc:description>Generic template aligned to NIST AI RMF, ISO/IEC 42001, EU AI Act, OWASP LLM Top 10, and MITRE ATLAS.</dc:description>
  <cp:lastModifiedBy>Un-named</cp:lastModifiedBy>
  <cp:revision>1</cp:revision>
  <dcterms:created xsi:type="dcterms:W3CDTF">2026-04-29T21:35:05.814Z</dcterms:created>
  <dcterms:modified xsi:type="dcterms:W3CDTF">2026-04-29T21:35:05.815Z</dcterms:modified>
</cp:coreProperties>
</file>

<file path=docProps/custom.xml><?xml version="1.0" encoding="utf-8"?>
<Properties xmlns="http://schemas.openxmlformats.org/officeDocument/2006/custom-properties" xmlns:vt="http://schemas.openxmlformats.org/officeDocument/2006/docPropsVTypes"/>
</file>