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0F172A"/>
          <w:sz w:val="48"/>
          <w:szCs w:val="48"/>
        </w:rPr>
        <w:t xml:space="preserve">LLM APPLICATION DEVELOPMENT GUARDRAILS</w:t>
      </w:r>
    </w:p>
    <w:p>
      <w:pPr>
        <w:spacing w:after="240"/>
        <w:jc w:val="center"/>
      </w:pPr>
      <w:r>
        <w:rPr>
          <w:i/>
          <w:iCs/>
          <w:color w:val="64748B"/>
          <w:sz w:val="26"/>
          <w:szCs w:val="26"/>
        </w:rPr>
        <w:t xml:space="preserve">Controls for building applications that call an LLM</w:t>
      </w:r>
    </w:p>
    <w:p>
      <w:pPr>
        <w:spacing w:after="600"/>
        <w:jc w:val="center"/>
      </w:pPr>
      <w:r>
        <w:rPr>
          <w:color w:val="64748B"/>
          <w:sz w:val="18"/>
          <w:szCs w:val="18"/>
        </w:rPr>
        <w:t xml:space="preserve">OWASP Top 10 for LLM Applications 2025  ·  NIST AI RMF 1.0  ·  ISO/IEC 42001:2023  ·  EU AI Act  ·  Microsoft Responsible AI  ·  Google SAIF</w:t>
      </w:r>
    </w:p>
    <w:p>
      <w:pPr>
        <w:spacing w:before="2400"/>
      </w:pPr>
      <w:r>
        <w:t xml:space="preserve"/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[Organization Name]</w:t>
      </w:r>
    </w:p>
    <w:p>
      <w:pPr>
        <w:jc w:val="center"/>
      </w:pPr>
      <w:r>
        <w:rPr>
          <w:color w:val="64748B"/>
          <w:sz w:val="22"/>
          <w:szCs w:val="22"/>
        </w:rPr>
        <w:t xml:space="preserve">Version 1.0  |  [Effective Date]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1.  Purpose and scope</w:t>
      </w:r>
    </w:p>
    <w:p>
      <w:pPr>
        <w:spacing w:after="120"/>
        <w:jc w:val="both"/>
      </w:pPr>
      <w:r>
        <w:rPr>
          <w:sz w:val="22"/>
          <w:szCs w:val="22"/>
        </w:rPr>
        <w:t xml:space="preserve">This document defines the controls that apply when [Organization Name] builds an application or feature that calls a Large Language Model (LLM) as part of its function. Examples include: a customer-facing chatbot, an internal RAG (retrieval-augmented generation) assistant, a summarisation pipeline, a classification service, an agentic workflow that uses LLM-mediated tool calls, or any feature that wraps a hosted model (OpenAI, Anthropic, Azure OpenAI, Google, AWS Bedrock) or a self-hosted model.</w:t>
      </w:r>
    </w:p>
    <w:p>
      <w:pPr>
        <w:spacing w:after="120"/>
        <w:jc w:val="both"/>
      </w:pPr>
      <w:r>
        <w:rPr>
          <w:sz w:val="22"/>
          <w:szCs w:val="22"/>
        </w:rPr>
        <w:t xml:space="preserve">It is the companion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Usage and Governance Standard — the controlling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Endpoint Hardening Profile — controls for AI tools used by developers (Claude Code, Copilot, etc.). This document applies a different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AI-Built App Promotion Runbook — the six-stage SDLC every release goes through. The guardrails below are the engineering content of stages 0–4.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Code Review Checklist — used at stage 4 of the runbook.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1.1  Scope boundary</w:t>
      </w:r>
    </w:p>
    <w:p>
      <w:pPr>
        <w:spacing w:after="120"/>
        <w:jc w:val="both"/>
      </w:pPr>
      <w:r>
        <w:rPr>
          <w:sz w:val="22"/>
          <w:szCs w:val="22"/>
        </w:rPr>
        <w:t xml:space="preserve">This document applies when an application: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calls an LLM API (OpenAI, Anthropic, Azure OpenAI, Bedrock, Vertex AI, etc.); 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hosts an LLM endpoint (self-hosted Llama, Qwen, Mistral, etc.); 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orchestrates LLM calls into an agentic workflow that performs actions; 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wraps an LLM in a feature exposed to internal staff or customers.</w:t>
      </w:r>
    </w:p>
    <w:p>
      <w:pPr>
        <w:spacing w:after="120"/>
        <w:jc w:val="both"/>
      </w:pPr>
      <w:r>
        <w:rPr>
          <w:sz w:val="22"/>
          <w:szCs w:val="22"/>
        </w:rPr>
        <w:t xml:space="preserve">It does not apply when AI tools are merely used during development to write source code (covered by the AI Endpoint Hardening Profile and AI Code Review Checklist).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1.2  Framework alignment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Mapping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OWASP Top 10 for LLM Applications 2025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LLM01 Prompt Injection · LLM02 Sensitive Information Disclosure · LLM03 Supply Chain · LLM04 Data and Model Poisoning · LLM05 Improper Output Handling · LLM06 Excessive Agency · LLM07 System Prompt Leakage · LLM08 Vector and Embedding Weaknesses · LLM09 Misinformation · LLM10 Unbounded Consumption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OWASP ML Top 10 (2023)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ML01 Input Manipulation · ML02 Data Poisoning · ML03 Model Inversion · ML04 Membership Inference · ML05 Model Theft · ML06 AI Supply Chain · ML09 Output Integrity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NIST AI RMF 1.0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 · MAP · MEASURE · MANAGE — applied per-application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ISO/IEC 42001:2023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Annex A.6.2 (development), A.7 (data), A.9 (operations), A.10 (third-party)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EU AI Act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Art. 9 (risk management), 10 (data), 13 (transparency), 14 (oversight), 15 (accuracy &amp; cybersecurity), 50 (transparency for AI-generated content)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Responsible AI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v2 — Fairness, Reliability &amp; Safety, Privacy &amp; Security, Inclusiveness, Transparency, Accountability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Secure AI Framework (SAIF)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Six elements: foundation, detection &amp; response, defenses, secure-by-default, fast feedback, contextualised risk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NCSC / CISA Secure AI Development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Secure design, development, deployment, operation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MITRE ATLAS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 Attack Staging · Initial Access · Execution · Exfiltration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2.  Design phase guardrails</w:t>
      </w:r>
    </w:p>
    <w:p>
      <w:pPr>
        <w:spacing w:after="120"/>
        <w:jc w:val="both"/>
      </w:pPr>
      <w:r>
        <w:rPr>
          <w:sz w:val="22"/>
          <w:szCs w:val="22"/>
        </w:rPr>
        <w:t xml:space="preserve">Decisions taken at design time are the cheapest place to remove risk. The following must be evidenced before development starts.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2.1  Use-case classification</w:t>
      </w:r>
    </w:p>
    <w:p>
      <w:pPr>
        <w:spacing w:after="120"/>
        <w:jc w:val="both"/>
      </w:pPr>
      <w:r>
        <w:rPr>
          <w:sz w:val="22"/>
          <w:szCs w:val="22"/>
        </w:rPr>
        <w:t xml:space="preserve">Classify the LLM feature on the matrix below. Higher tiers require additional controls in subsequent sections.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T0 — Internal informational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 is read by internal staff for awareness only. No decisions or external exposure.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summarisation of meeting notes; brainstorming aid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 — Customer-facing informational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 reaches customers but is not a decision. Disclosure required ("AI-generated").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Knowledge-base assistant; product documentation chatbot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T2 — Decision-supporting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 influences a decision a human makes about a person or transaction.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Triage assistant; recommendation engine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T3 — Decisional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 IS the decision (no human in the loop).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Auto-approval / auto-rejection of low-value items; classifier with hard-bound action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T4 — Agentic with external action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LLM-mediated tool calls touch external systems / customers / data.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that books appointments, creates tickets, sends emails, modifies records</w:t>
            </w:r>
          </w:p>
        </w:tc>
      </w:tr>
    </w:tbl>
    <w:p>
      <w:pPr>
        <w:spacing w:after="120"/>
        <w:jc w:val="both"/>
      </w:pPr>
      <w:r>
        <w:rPr>
          <w:sz w:val="22"/>
          <w:szCs w:val="22"/>
        </w:rPr>
        <w:t xml:space="preserve">T2, T3 and T4 are high-risk classes. They require: documented DPIA where personal data is processed; named human accountable for fairness and outcomes; an evaluation harness with demonstrable performance bars; and the controls in sections 5 and 7 of this document.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2.2  Data classification of inputs and outputs</w:t>
      </w:r>
    </w:p>
    <w:p>
      <w:pPr>
        <w:spacing w:after="120"/>
        <w:jc w:val="both"/>
      </w:pPr>
      <w:r>
        <w:rPr>
          <w:sz w:val="22"/>
          <w:szCs w:val="22"/>
        </w:rPr>
        <w:t xml:space="preserve">Document, before development: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 data classification (Public / Internal / Confidential / Restricted) is allowed in inputs to the LLM.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 data classification can appear in outputs.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 data classification must NEVER reach the model (e.g. payment-card data, authentication credentials, government IDs).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retention period for prompts and responses (vendor-side and tenant-side).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data residency posture (where prompts are processed; where responses are stored).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2.3  Model selection</w:t>
      </w:r>
    </w:p>
    <w:p>
      <w:pPr>
        <w:spacing w:after="120"/>
        <w:jc w:val="both"/>
      </w:pPr>
      <w:r>
        <w:rPr>
          <w:sz w:val="22"/>
          <w:szCs w:val="22"/>
        </w:rPr>
        <w:t xml:space="preserve">Selection criteria, with evidence: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Vendor passed the Third-Party Due Diligence questionnaire (see AI Tool Risk Assessment workbook).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Contract confirms no training on customer prompts / outputs.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Sub-processors disclosed and acceptable.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Region pinning available and configured to the regulatory footprint.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 size and capability matched to the use case (do not over-spec).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Cost ceiling per request and per day understood.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 version pinning available; auto-upgrade gated by retest.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2.4  Threat model</w:t>
      </w:r>
    </w:p>
    <w:p>
      <w:pPr>
        <w:spacing w:after="120"/>
        <w:jc w:val="both"/>
      </w:pPr>
      <w:r>
        <w:rPr>
          <w:sz w:val="22"/>
          <w:szCs w:val="22"/>
        </w:rPr>
        <w:t xml:space="preserve">Run a structured threat-model session before coding. Cover at minimum: prompt injection (direct + indirect), system prompt leakage, sensitive information disclosure, training-data poisoning of upstream model, RAG source-ACL bypass, excessive agency, output handling vulnerabilities, supply-chain compromise of dependencies, denial-of-wallet via unbounded consumption.</w:t>
      </w:r>
    </w:p>
    <w:p>
      <w:pPr>
        <w:spacing w:after="120"/>
        <w:jc w:val="both"/>
      </w:pPr>
      <w:r>
        <w:rPr>
          <w:sz w:val="22"/>
          <w:szCs w:val="22"/>
        </w:rPr>
        <w:t xml:space="preserve">Output: a threat model document attached to the project's design record. Cite OWASP LLM Top 10 IDs against each identified threat.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2.5  DPIA trigger criteria</w:t>
      </w:r>
    </w:p>
    <w:p>
      <w:pPr>
        <w:spacing w:after="120"/>
        <w:jc w:val="both"/>
      </w:pPr>
      <w:r>
        <w:rPr>
          <w:sz w:val="22"/>
          <w:szCs w:val="22"/>
        </w:rPr>
        <w:t xml:space="preserve">A Data Protection Impact Assessment is required if any of the following apply: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Personal data is processed by the LLM.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Decisions affecting individuals (T2 / T3 / T4) are taken in part by the LLM.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Special-category data (health, biometrics, beliefs) is processed.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Cross-border transfer of personal data to the model provider's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Children's data is processed.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3.  Input layer guardrails</w:t>
      </w:r>
    </w:p>
    <w:p>
      <w:pPr>
        <w:spacing w:after="120"/>
        <w:jc w:val="both"/>
      </w:pPr>
      <w:r>
        <w:rPr>
          <w:sz w:val="22"/>
          <w:szCs w:val="22"/>
        </w:rPr>
        <w:t xml:space="preserve">Untrusted input is the most common vector. Treat every byte arriving at the LLM as adversarial until proven otherwise.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3.1  Input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Length cap on every prompt at the application layer (do not rely on the model's context window as the limit).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Character set restrictions where the use case allows (e.g. ASCII-only inputs for structured fields).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File-type allow-list for any file inputs; size cap per file; AV / malware scan before ingestion; reject archives that auto-extract.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Reject inputs containing zero-width characters, unicode tag characters, and other obfuscation primitives unless explicitly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Reject control characters that are not part of the documented input grammar.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3.2  Prompt-injection mitigations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structured message APIs (system / user / assistant roles) — never concatenate user input into a string that includes the system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 a guard model or rule-based classifier on incoming prompts before dispatching to the main model. Reference implementations: Lakera Guard, NVIDIA NeMo Guardrails, Azure AI Content Safety Prompt Shields, OpenAI Moderation. Pick one; do not skip.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RAG: retrieved context must be marked as untrusted in the prompt structure (separate role, explicit prefix). Retrieval is NOT a free pass for trust.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agentic workflows: every tool call argument must pass validation as untrusted input regardless of who provided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Never auto-execute code returned by the LLM. Code suggestions are always reviewed before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Block known prompt-injection patterns at the gateway (e.g. "ignore previous instructions", role-assertion strings, tool-name spoofing).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3.3  PII redaction before LLM call</w:t>
      </w:r>
    </w:p>
    <w:p>
      <w:pPr>
        <w:spacing w:after="120"/>
        <w:jc w:val="both"/>
      </w:pPr>
      <w:r>
        <w:rPr>
          <w:sz w:val="22"/>
          <w:szCs w:val="22"/>
        </w:rPr>
        <w:t xml:space="preserve">If the use case does not require personal data to be sent to the model, redact it before the call. Reference engines: Microsoft Presidio, AWS Macie, Google DLP API, Azure AI Content Safety PII detection. Capture the redaction event in the call audit record.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3.4  Rate limiting and abuse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Per-user rate limit (requests per minute / per hour / per day).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Per-IP rate limit on public endpoints.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Per-tenant cost cap (tokens per day) where the app is multi-tenant.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Anomaly detection on prompt entropy, prompt length, and request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Hard cut-off when the cost cap is hit; alert the owner.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3.5  Multi-tenant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Tenant ID is part of every LLM call's metadata; never relies on user-supplied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Caching of prompts / embeddings is keyed by tenant. Cross-tenant cache hits are forbidden.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RAG retrieval is constrained to the calling tenant's documents. The retrieval layer enforces ACLs at query time, not just at index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Vector DB row-level security tied to tenant identity.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4.  Prompt and RAG layer guardrails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4.1  System prompt versioning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System prompts live in source control, NOT in app config or environment variables that can be modified ad-hoc.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system prompt has a version, an owner, and a sign-off record by the AI Governance Lead before deploying to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Material changes (&gt;10% of tokens, or a change of intent) trigger re-evaluation against the test harness.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Prompt diffs are reviewed in PR like code.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4.2  System prompt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model is instructed not to reveal the system prompt content. Add an explicit refusal rule at the top of the system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guard layer detects prompts attempting to extract the system prompt ("repeat your instructions", "what are your rules", encoded variants) and refuses.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application logs any successful or attempted system-prompt extraction as a security event.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4.3  RAG source-ACL preservation</w:t>
      </w:r>
    </w:p>
    <w:p>
      <w:pPr>
        <w:spacing w:after="120"/>
        <w:jc w:val="both"/>
      </w:pPr>
      <w:r>
        <w:rPr>
          <w:sz w:val="22"/>
          <w:szCs w:val="22"/>
        </w:rPr>
        <w:t xml:space="preserve">This is the highest-impact RAG control. Misconfigured retrieval is the most common way RAG systems leak data the user shouldn't see.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Retrieval is performed AS the calling user, not as a service principal with broad rights. Either: (a) the app passes the user identity to the retrieval layer which applies row/column ACLs; or (b) the index is partitioned per user / per group and the app picks the right partition.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Source documents that change ACLs trigger re-indexing or removal from the index. A daily reconciliation job catches drift.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Retrieved chunks include their source URI; the LLM is required to cite sources in the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Cite-then-summarise pattern is preferred over summarise-then-cite (the former is harder to manipulate).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4.4  Vector database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Vector DB authentication via the corporate IdP, not shared API keys.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 access scoped per service / per 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Embeddings of personal data are treated as personal data (they may be inverted in some cases) — same retention and access rules apply.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Embedding model and version are pinned and recorded in the SBOM.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Index updates are auditable: who indexed what, when.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4.5  Prompt template tests in CI</w:t>
      </w:r>
    </w:p>
    <w:p>
      <w:pPr>
        <w:spacing w:after="120"/>
        <w:jc w:val="both"/>
      </w:pPr>
      <w:r>
        <w:rPr>
          <w:sz w:val="22"/>
          <w:szCs w:val="22"/>
        </w:rPr>
        <w:t xml:space="preserve">Prompt templates are tested like code. The CI pipeline runs: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Smoke tests that confirm the template returns parseable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Regression tests covering the gold-standard set of prompts and expected behaviours.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Adversarial tests (the prompt-injection battery) — must pass at the documented refusal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Cost tests: tokens per request must not exceed the documented ceiling.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5.  Output layer guardrails</w:t>
      </w:r>
    </w:p>
    <w:p>
      <w:pPr>
        <w:spacing w:after="120"/>
        <w:jc w:val="both"/>
      </w:pPr>
      <w:r>
        <w:rPr>
          <w:sz w:val="22"/>
          <w:szCs w:val="22"/>
        </w:rPr>
        <w:t xml:space="preserve">LLM output is untrusted by default. Validate before use, classify before display.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5.1  Output schema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Where structured output is required, use constrained generation (function calling, JSON mode, structured outputs API) — not regex parsing of free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Validate the parsed output against an explicit JSON Schema before consumption. Reject and retry on schema-violation.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Bound the retry count (default 3); fall back to a deterministic path or surface an error rather than infinite retry.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5.2  PII detection on output</w:t>
      </w:r>
    </w:p>
    <w:p>
      <w:pPr>
        <w:spacing w:after="120"/>
        <w:jc w:val="both"/>
      </w:pPr>
      <w:r>
        <w:rPr>
          <w:sz w:val="22"/>
          <w:szCs w:val="22"/>
        </w:rPr>
        <w:t xml:space="preserve">Even with redaction on input, the model may produce personal data from training data or from RAG sources. Run a PII detector on every output before returning to the caller. Reference engines: Microsoft Presidio, Azure AI Content Safety, Amazon Comprehend, Google DLP API. Either redact or refuse to return the response if classification exceeds the threshold.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5.3  Harm and toxicity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T1+ (customer-facing), every output passes a content safety classifier before display. Reference: Azure AI Content Safety, OpenAI Moderation, Anthropic Constitutional Classifiers, Perspective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Block, transform, or refuse based on score; log the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Tune the threshold per use case; document the choice.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5.4  Hallucination guards (groundedness)</w:t>
      </w:r>
    </w:p>
    <w:p>
      <w:pPr>
        <w:spacing w:after="120"/>
        <w:jc w:val="both"/>
      </w:pPr>
      <w:r>
        <w:rPr>
          <w:sz w:val="22"/>
          <w:szCs w:val="22"/>
        </w:rPr>
        <w:t xml:space="preserve">For RAG and any factual use case: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Cross-check that statements in the response are supported by retrieved sources. Tools: Azure AI Content Safety Groundedness Detection, Vectara Hallucination Evaluation Model, Patronus AI Lynx, custom NLI-based 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Flag unsupported assertions; either remove them, redact them, or surface a low-confidence indicator.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T2+ outputs, the response includes citations. Outputs without citations are blocked from display.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5.5  Citation and provenance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customer-facing output that incorporates retrieved data carries citations to the source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Citations are clickable and lead to the user's permitted view of the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AI-generated content is labelled ("AI-generated" or "Generated with help from AI") per EU AI Act Art. 50 and good-faith transparency.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5.6  Output disclosure to end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UI clearly indicates when content is AI-generated.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Suggested-action prompts ("Send this email") require an explicit human click — never auto-execute.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Where the use case is decisional (T2 / T3), the user is informed they are seeing an AI-supported decision and the basis for it (where contractually possible).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6.  Agentic AI guardrails</w:t>
      </w:r>
    </w:p>
    <w:p>
      <w:pPr>
        <w:spacing w:after="120"/>
        <w:jc w:val="both"/>
      </w:pPr>
      <w:r>
        <w:rPr>
          <w:sz w:val="22"/>
          <w:szCs w:val="22"/>
        </w:rPr>
        <w:t xml:space="preserve">Agentic systems are the highest-risk class. The same model now performs actions, not just produces text. Apply the strictest discipline.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6.1  Tool allow-list per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agent has a documented set of tools it can call. The set is the minimum needed for the use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Tool descriptions exposed to the LLM are reviewed — the descriptions ARE part of the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Adding a tool to an agent requires a security review and an updated threat model.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6.2  Tool argument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tool argument is validated as untrusted input regardless of LLM-claimed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URL arguments validated against an allow-list (block private IPs, link-local, metadata endpoints).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File-path arguments validated against the working folder.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 query arguments parameterised; literal strings rejected for unsafe verbs.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/ message arguments rate-limited per agent / per session.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6.3  Iteration and runtime caps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Hard cap on the number of tool-call iterations per request (default 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Hard cap on wall-clock time per request (default 60 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Hard cap on tokens consumed per request (default 100k).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Auto-terminate when a cap is hit; surface an error; do not silently continue.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6.4  Human-in-the-loop triggers</w:t>
      </w:r>
    </w:p>
    <w:p>
      <w:pPr>
        <w:spacing w:after="120"/>
        <w:jc w:val="both"/>
      </w:pPr>
      <w:r>
        <w:rPr>
          <w:sz w:val="22"/>
          <w:szCs w:val="22"/>
        </w:rPr>
        <w:t xml:space="preserve">Some classes of action require explicit human confirmation regardless of the agent's confidence. Document them in policy and enforce in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Sending external email or external messaging.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Modifying / deleting records in production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Spending money — purchases, transactions, refunds.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Sharing files outside the organisation.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Cross-tenant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 action that touches financial, health, or HR data.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6.5  Audit log of every tool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tool call logged with: agent ID, calling user, tool name, arguments (redacted where appropriate), result status,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Logs forwarded to SIEM. Retention aligned with the records retention 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Anomaly detection: tool-call sequences that deviate from the known-good distribution surface alerts.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6.6  Kill switch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Operators can kill any running agent session immediately from a tenant-wide control plane.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Agent definitions can be disabled tenant-wide without re-deploying the application.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7.  Observability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7.1  LLM call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call recorded: user / tenant ID, prompt template version, model + version, input tokens, output tokens, latency,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Prompt and response content stored to a tenant-controlled store with PII redaction; retained per the records-retention 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Logs are immutable and time-stamped.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7.2  Trace correlation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Distributed tracing IDs propagated from the user request through the LLM call to any downstream tool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OpenTelemetry-compatible where the platform supports it.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7.3  Cost and token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Tokens-in and tokens-out per request, per user, per tenant, per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Cost ceiling alarms at 50%, 80%, 100% of the documented daily / monthly budget.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7.4  Quality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Refusal rate, retry rate, schema-validation failure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Content-safety classifier hit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feedback (thumbs up / down) tracked per use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Hallucination flags per request.</w:t>
      </w:r>
    </w:p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8.  Security controls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8.1  API key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 keys per environment (dev / staging / prod) — never share.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Rotation on a documented cadence (default 90 days) and on suspected compromise.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Stored in a secrets manager (Vault, AWS Secrets Manager, Azure Key Vault), never in source or .env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Key scope restricted to the minimum capabilities required.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8.2  Egress allow-list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application can only egress to the model API host, the secrets manager, the observability platform, and any documented dependencies.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Default-deny with explicit allow-list; enforce at the network policy / sidecar.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8.3  Specialised guards</w:t>
      </w:r>
    </w:p>
    <w:p>
      <w:pPr>
        <w:spacing w:after="120"/>
        <w:jc w:val="both"/>
      </w:pPr>
      <w:r>
        <w:rPr>
          <w:sz w:val="22"/>
          <w:szCs w:val="22"/>
        </w:rPr>
        <w:t xml:space="preserve">In production, the LLM is wrapped by a guard layer that runs synchronously before / after the model call. Pick one or more from: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Lakera Guard — hosted detection of prompt injection, jailbreaks, PII, secrets.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NVIDIA NeMo Guardrails — open-source policy framework for input /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Azure AI Content Safety — Prompt Shields, Groundedness, Harm classification.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OpenAI Moderation API — toxicity, harm classification.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Anthropic safety filters / Constitutional Classifiers — vendor-side.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 rules — the org's specific policy not covered by hosted guards.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9.  Evaluation harness</w:t>
      </w:r>
    </w:p>
    <w:p>
      <w:pPr>
        <w:spacing w:after="120"/>
        <w:jc w:val="both"/>
      </w:pPr>
      <w:r>
        <w:rPr>
          <w:sz w:val="22"/>
          <w:szCs w:val="22"/>
        </w:rPr>
        <w:t xml:space="preserve">Every LLM application has a test harness that runs in CI and at scheduled intervals in production.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9.1  Prompt-injection battery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Curated set of known prompt-injection attempts (direct, indirect via uploaded content, encoded, multi-turn). Reference: OWASP LLM01 test cases, NIST AI RMF MEASURE-2.7, recent academic red-team papers.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Documented refusal rate target. Failures block 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Re-run on every model version change.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9.2  Hallucination evaluation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Gold-standard set of factual questions where the answer is in the RAG corpus. Measure groundedness and factual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Counterfactual set: questions where the answer is NOT in the corpus. The system must refuse or surface low confidence.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9.3  Bias and fairness evaluation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T2+ use cases, run a bias evaluation against a documented protected-class set (race, gender, age, disability, sexual orientation, etc. as relevant in your jurisdiction).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Metrics: demographic parity, equalised odds, predictive parity — pick the metric that matches the use case and the regulatory regime.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Failure thresholds defined and gating.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9.4  Performance and cost regression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Latency p50, p95, p99 against the SLA.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Tokens per request against the cost ceiling.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Refusal-rate drift on known-good prompts.</w:t>
      </w:r>
    </w:p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10.  Operate phase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10.1  User feedback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Thumbs up / thumbs down captured on every customer-facing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Negative feedback above a threshold creates an incident ticket; sample reviewed weekly.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User-reported jailbreaks routed to the security team.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10.2  Drift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Vendor model upgrade events monitored. Upgrade does not auto-roll-out — gated by re-evaluation.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Embedding model upgrades are particularly impactful — re-index is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 distribution monitored; sudden shifts flagged.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10.3  Re-evaluation cadence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Quarterly re-run of the full evaluation harness.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Annual review of the system prompt against current threat-injection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After every material vendor change.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10.4  LLM-specific incident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Confirmed jailbreak: rotate prompts, deploy fix, post-incident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Mass PII leak: take feature offline, notify Privacy / DPO, log per Incident Response Procedure.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Hallucination causing customer harm: take feature offline, customer comms, root-cause analysis, training-data / prompt 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Cost-runaway / denial-of-wallet: hit the cost cap kill-switch, investigate, tighten limits.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Appendix A — Pre-deploy checklist</w:t>
      </w:r>
    </w:p>
    <w:p>
      <w:pPr>
        <w:spacing w:after="120"/>
        <w:jc w:val="both"/>
      </w:pPr>
      <w:r>
        <w:rPr>
          <w:sz w:val="22"/>
          <w:szCs w:val="22"/>
        </w:rPr>
        <w:t xml:space="preserve">Print and tick before a feature wrapping an LLM is allowed to enter stage 5 of the AI-Built App Promotion Runbook.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Findings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case classified (T0–T4)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classification documented (input + output)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selection criteria evidenced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Threat model produced (OWASP LLM Top 10 covered)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DPIA done (where required)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Length and character-set caps in code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Prompt-injection guard wired in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PII redaction live (where required)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Per-user / per-tenant rate limits in place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Multi-tenant isolation (cache + retrieval) tested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prompt in source control with version + owner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System-prompt extraction guard active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RAG ACLs verified with low-privilege test user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 DB authentication via IdP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Prompt-template tests passing in CI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schema validation (where structured)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PII detector on output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Harm / toxicity classifier on output (T1+)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Hallucination / groundedness check (RAG / T2+)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Citations rendered (T2+)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AI-generated disclosure visible (T1+)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Agentic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allow-list documented and minimal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Agentic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argument validation in code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Agentic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Iteration / time / token caps in place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Agentic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Human-in-the-loop triggers per policy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Agentic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Tool-call audit log to SIEM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Agentic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Kill switch tested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Per-call log with tokens, cost, model version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 ceiling alarms at 50/80/100%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Trace IDs propagated end-to-end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keys per env, in secrets manager, rotated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Egress allow-list enforced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Specialised guard wired (Lakera / NeMo / Azure / etc.)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Prompt-injection battery passing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Hallucination eval passing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Bias / fairness eval passing (T2+)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 / latency regression within SLA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 loop wired (thumbs up/down)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Drift / re-evaluation schedule documented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LLM-specific incident runbook in place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Appendix B — OWASP Top 10 for LLM Applications (2025) coverage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OWASP LLM ID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Sections in this document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LLM01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3.2 (input mitigations) · 5 (output validation) · 9.1 (eval battery)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LLM02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Sensitive Information Disclosure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3.3 (input PII redaction) · 5.2 (output PII detection) · 7.1 (logging)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LLM03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Supply Chain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2.3 (model selection) · 4.4 (vector DB) · 8.1 (key mgmt)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LLM04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and Model Poisoning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4.4 (index integrity) · 4.5 (prompt tests) · 9 (evals)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LLM05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Improper Output Handling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5.1 (schema validation) · 5.3 (harm classification)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LLM06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Excessive Agency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(entire section)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LLM07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Prompt Leakage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4.2 (system-prompt protection)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LLM08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 and Embedding Weaknesses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4.4 (vector DB controls)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LLM09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Misinformation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5.4 (hallucination guards) · 5.5 (citations) · 9.2 (eval)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LLM10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Unbounded Consumption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3.4 (rate limiting) · 6.3 (iteration caps) · 7.3 (cost metrics) · 8 (limits)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Appendix C — Recommended tooling (current at time of writing)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 tool(s)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Prompt-injection guard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Lakera Guard · NVIDIA NeMo Guardrails · Azure AI Content Safety Prompt Shields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Pick one — do not skip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PII detection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Presidio · Azure AI Content Safety PII · AWS Comprehend · Google DLP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Apply on input AND output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Harm / toxicity classification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AI Content Safety · OpenAI Moderation · Perspective API · Anthropic Constitutional Classifiers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T1+ output classification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Hallucination / groundedness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AI Content Safety Groundedness · Vectara HEM · Patronus Lynx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RAG / factual T2+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 DB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Pinecone · Weaviate · Milvus · pgvector · Azure AI Search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ACL preservation is the deciding factor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Constrained generation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 structured outputs · Anthropic tool-use JSON schema · Pydantic + Instructor · LangChain Output Parsers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Prefer over regex parsing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OpenLLMetry · Phoenix (Arize) · LangSmith · Helicone · Datadog LLM Observability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OpenTelemetry-compatible preferred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 harness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DeepEval · Promptfoo · LangSmith Evaluations · Azure AI Foundry evals · OpenAI Evals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in CI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Red-team / adversarial test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Garak · PyRIT (Microsoft) · Promptfoo redteam · Lakera Red Team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 deploy on regression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HashiCorp Vault · AWS Secrets Manager · Azure Key Vault · GCP Secret Manager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.env in prod</w:t>
            </w:r>
          </w:p>
        </w:tc>
      </w:tr>
    </w:tbl>
    <w:p>
      <w:pPr>
        <w:spacing w:after="120"/>
        <w:jc w:val="both"/>
      </w:pPr>
      <w:r>
        <w:rPr>
          <w:sz w:val="22"/>
          <w:szCs w:val="22"/>
        </w:rPr>
        <w:t xml:space="preserve">Tools listed are illustrative of the current ecosystem. Verify each against the org's vendor-due-diligence and procurement process before adoption.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AI Governance &amp; Hardening Project — Open Source Template  · 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LLM Application Development Guardrails  |  Generic Template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Application Development Guardrails</dc:title>
  <dc:creator>AI Governance and Hardening Project</dc:creator>
  <cp:lastModifiedBy>Un-named</cp:lastModifiedBy>
  <cp:revision>1</cp:revision>
  <dcterms:created xsi:type="dcterms:W3CDTF">2026-04-29T22:54:59.227Z</dcterms:created>
  <dcterms:modified xsi:type="dcterms:W3CDTF">2026-04-29T22:54:59.228Z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