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8"/>
        </w:rPr>
        <w:t>PREDIKSI PERGERAKAN HARGA SOLANA MENGGUNAKAN MODEL HIBRIDA CNN-BILSTM DENGAN MEKANISME ATTENTION BERBASIS INDIKATOR TEKNIKAL</w:t>
      </w:r>
    </w:p>
    <w:p>
      <w:pPr>
        <w:spacing w:after="200"/>
        <w:jc w:val="center"/>
      </w:pPr>
      <w:r>
        <w:rPr>
          <w:rFonts w:ascii="Times New Roman" w:hAnsi="Times New Roman"/>
          <w:b/>
          <w:i/>
          <w:sz w:val="23"/>
        </w:rPr>
        <w:t>Solana Price Movement Prediction Using Hybrid CNN-BiLSTM Model with Attention Mechanism Based on Technical Indicators</w:t>
      </w:r>
    </w:p>
    <w:p>
      <w:pPr>
        <w:spacing w:after="80"/>
        <w:jc w:val="center"/>
      </w:pPr>
      <w:r>
        <w:rPr>
          <w:rFonts w:ascii="Times New Roman" w:hAnsi="Times New Roman"/>
          <w:b/>
          <w:sz w:val="22"/>
        </w:rPr>
        <w:t>Muhammad Bazwa Arigusna1*, Basuki Rahmat2</w:t>
      </w:r>
    </w:p>
    <w:p>
      <w:pPr>
        <w:spacing w:after="240"/>
        <w:jc w:val="center"/>
      </w:pPr>
      <w:r>
        <w:rPr>
          <w:rFonts w:ascii="Times New Roman" w:hAnsi="Times New Roman"/>
          <w:sz w:val="19"/>
        </w:rPr>
        <w:t>1,2Program Studi Informatika, Fakultas Ilmu Komputer, Universitas Pembangunan Nasional "Veteran" Jawa Timur</w:t>
        <w:br/>
        <w:t>Jl. Raya Rungkut Madya, Gunung Anyar, Surabaya 60294, Jawa Timur, Indonesia</w:t>
        <w:br/>
        <w:t>Email: 1*23081010250@student.upnjatim.ac.id, 2basukirahmat.if@upnjatim.ac.id</w:t>
      </w:r>
    </w:p>
    <w:tbl>
      <w:tblPr>
        <w:tblStyle w:val="TableGrid"/>
        <w:tblW w:type="auto" w:w="0"/>
        <w:jc w:val="center"/>
        <w:tblLook w:firstColumn="1" w:firstRow="1" w:lastColumn="0" w:lastRow="0" w:noHBand="0" w:noVBand="1" w:val="04A0"/>
      </w:tblPr>
      <w:tblGrid>
        <w:gridCol w:w="8788"/>
      </w:tblGrid>
      <w:tr>
        <w:tc>
          <w:tcPr>
            <w:tcW w:type="dxa" w:w="8788"/>
            <w:shd w:fill="F9FAFB"/>
          </w:tcPr>
          <w:p>
            <w:pPr>
              <w:spacing w:line="252" w:lineRule="auto"/>
              <w:jc w:val="both"/>
            </w:pPr>
            <w:r>
              <w:rPr>
                <w:b/>
                <w:sz w:val="20"/>
              </w:rPr>
              <w:t xml:space="preserve">ABSTRAK — </w:t>
            </w:r>
            <w:r>
              <w:rPr>
                <w:rFonts w:ascii="Times New Roman" w:hAnsi="Times New Roman"/>
                <w:b w:val="0"/>
                <w:i w:val="0"/>
                <w:sz w:val="20"/>
              </w:rPr>
              <w:t xml:space="preserve">Solana (SOL) merupakan infrastruktur </w:t>
            </w:r>
            <w:r>
              <w:rPr>
                <w:rFonts w:ascii="Times New Roman" w:hAnsi="Times New Roman"/>
                <w:b w:val="0"/>
                <w:i/>
                <w:sz w:val="20"/>
              </w:rPr>
              <w:t>blockchain</w:t>
            </w:r>
            <w:r>
              <w:rPr>
                <w:rFonts w:ascii="Times New Roman" w:hAnsi="Times New Roman"/>
                <w:b w:val="0"/>
                <w:i w:val="0"/>
                <w:sz w:val="20"/>
              </w:rPr>
              <w:t xml:space="preserve"> berkecepatan tinggi berbasis konsensus </w:t>
            </w:r>
            <w:r>
              <w:rPr>
                <w:rFonts w:ascii="Times New Roman" w:hAnsi="Times New Roman"/>
                <w:b w:val="0"/>
                <w:i/>
                <w:sz w:val="20"/>
              </w:rPr>
              <w:t>Proof of History</w:t>
            </w:r>
            <w:r>
              <w:rPr>
                <w:rFonts w:ascii="Times New Roman" w:hAnsi="Times New Roman"/>
                <w:b w:val="0"/>
                <w:i w:val="0"/>
                <w:sz w:val="20"/>
              </w:rPr>
              <w:t xml:space="preserve"> (PoH) dan </w:t>
            </w:r>
            <w:r>
              <w:rPr>
                <w:rFonts w:ascii="Times New Roman" w:hAnsi="Times New Roman"/>
                <w:b w:val="0"/>
                <w:i/>
                <w:sz w:val="20"/>
              </w:rPr>
              <w:t>Proof of Stake</w:t>
            </w:r>
            <w:r>
              <w:rPr>
                <w:rFonts w:ascii="Times New Roman" w:hAnsi="Times New Roman"/>
                <w:b w:val="0"/>
                <w:i w:val="0"/>
                <w:sz w:val="20"/>
              </w:rPr>
              <w:t xml:space="preserve"> (PoS) yang mengalami pertumbuhan likuiditas pesat namun disertai volatilitas harga harian yang ekstrem. Model peramalan deret waktu rekuren standar seperti LSTM dan GRU kerap mengalami keterlambatan fase (</w:t>
            </w:r>
            <w:r>
              <w:rPr>
                <w:rFonts w:ascii="Times New Roman" w:hAnsi="Times New Roman"/>
                <w:b w:val="0"/>
                <w:i/>
                <w:sz w:val="20"/>
              </w:rPr>
              <w:t>phase lagging</w:t>
            </w:r>
            <w:r>
              <w:rPr>
                <w:rFonts w:ascii="Times New Roman" w:hAnsi="Times New Roman"/>
                <w:b w:val="0"/>
                <w:i w:val="0"/>
                <w:sz w:val="20"/>
              </w:rPr>
              <w:t xml:space="preserve">) dan degradasi memori saat menghadapi lonjakan harga mendadak pada data univariat. Penelitian ini mengusulkan arsitektur hibrida </w:t>
            </w:r>
            <w:r>
              <w:rPr>
                <w:rFonts w:ascii="Times New Roman" w:hAnsi="Times New Roman"/>
                <w:b w:val="0"/>
                <w:i/>
                <w:sz w:val="20"/>
              </w:rPr>
              <w:t>Convolutional Neural Network</w:t>
            </w:r>
            <w:r>
              <w:rPr>
                <w:rFonts w:ascii="Times New Roman" w:hAnsi="Times New Roman"/>
                <w:b w:val="0"/>
                <w:i w:val="0"/>
                <w:sz w:val="20"/>
              </w:rPr>
              <w:t xml:space="preserve"> - </w:t>
            </w:r>
            <w:r>
              <w:rPr>
                <w:rFonts w:ascii="Times New Roman" w:hAnsi="Times New Roman"/>
                <w:b w:val="0"/>
                <w:i/>
                <w:sz w:val="20"/>
              </w:rPr>
              <w:t>Bidirectional Long Short-Term Memory</w:t>
            </w:r>
            <w:r>
              <w:rPr>
                <w:rFonts w:ascii="Times New Roman" w:hAnsi="Times New Roman"/>
                <w:b w:val="0"/>
                <w:i w:val="0"/>
                <w:sz w:val="20"/>
              </w:rPr>
              <w:t xml:space="preserve"> yang diintegrasikan dengan mekanisme Temporal </w:t>
            </w:r>
            <w:r>
              <w:rPr>
                <w:rFonts w:ascii="Times New Roman" w:hAnsi="Times New Roman"/>
                <w:b w:val="0"/>
                <w:i/>
                <w:sz w:val="20"/>
              </w:rPr>
              <w:t>Bahdanau Attention</w:t>
            </w:r>
            <w:r>
              <w:rPr>
                <w:rFonts w:ascii="Times New Roman" w:hAnsi="Times New Roman"/>
                <w:b w:val="0"/>
                <w:i w:val="0"/>
                <w:sz w:val="20"/>
              </w:rPr>
              <w:t xml:space="preserve"> (CNN-BiLSTM-Attention) berbasis 14 fitur multivariat pasar dan indikator teknikal. Dataset mencakup 2.080 observasi harian bersih SOL-USD dari Januari 2021 hingga September 2026 yang dibagi secara kronologis menjadi 70% data latih, 15% data validasi, dan 15% data uji dengan jendela pengamatan 20 hari. Hasil pengujian membuktikan bahwa model usulan CNN-BiLSTM-Attention menghasilkan kinerja terbaik dengan MAE sebesar 1,54 USD, RMSE sebesar 2,09 USD, MAPE sebesar 1,62%, koefisien determinasi (R²) sebesar 0,9912, serta akurasi arah pergerakan (</w:t>
            </w:r>
            <w:r>
              <w:rPr>
                <w:rFonts w:ascii="Times New Roman" w:hAnsi="Times New Roman"/>
                <w:b w:val="0"/>
                <w:i/>
                <w:sz w:val="20"/>
              </w:rPr>
              <w:t>Directional Accuracy</w:t>
            </w:r>
            <w:r>
              <w:rPr>
                <w:rFonts w:ascii="Times New Roman" w:hAnsi="Times New Roman"/>
                <w:b w:val="0"/>
                <w:i w:val="0"/>
                <w:sz w:val="20"/>
              </w:rPr>
              <w:t>) sebesar 77,88%. Arsitektur ini mereduksi kesalahan MAPE sebesar 60,96% dibandingkan LSTM standar (4,15%) dan 44,90% dibandingkan GRU (2,94%), sekaligus meningkatkan ketepatan prediksi arah pasar secara signifikan.</w:t>
              <w:br/>
            </w:r>
            <w:r>
              <w:rPr>
                <w:b/>
                <w:sz w:val="20"/>
              </w:rPr>
              <w:t xml:space="preserve">Kata Kunci: </w:t>
            </w:r>
            <w:r>
              <w:rPr>
                <w:rFonts w:ascii="Times New Roman" w:hAnsi="Times New Roman"/>
                <w:b w:val="0"/>
                <w:i w:val="0"/>
                <w:sz w:val="20"/>
              </w:rPr>
              <w:t xml:space="preserve">Solana, CNN-BiLSTM, </w:t>
            </w:r>
            <w:r>
              <w:rPr>
                <w:rFonts w:ascii="Times New Roman" w:hAnsi="Times New Roman"/>
                <w:b w:val="0"/>
                <w:i/>
                <w:sz w:val="20"/>
              </w:rPr>
              <w:t>Temporal Attention</w:t>
            </w:r>
            <w:r>
              <w:rPr>
                <w:rFonts w:ascii="Times New Roman" w:hAnsi="Times New Roman"/>
                <w:b w:val="0"/>
                <w:i w:val="0"/>
                <w:sz w:val="20"/>
              </w:rPr>
              <w:t xml:space="preserve">, Indikator Teknikal, Prediksi Harga </w:t>
            </w:r>
            <w:r>
              <w:rPr>
                <w:rFonts w:ascii="Times New Roman" w:hAnsi="Times New Roman"/>
                <w:b w:val="0"/>
                <w:i/>
                <w:sz w:val="20"/>
              </w:rPr>
              <w:t>Cryptocurrency</w:t>
            </w:r>
            <w:r>
              <w:rPr>
                <w:rFonts w:ascii="Times New Roman" w:hAnsi="Times New Roman"/>
                <w:b w:val="0"/>
                <w:i w:val="0"/>
                <w:sz w:val="20"/>
              </w:rPr>
              <w:t>.</w:t>
            </w:r>
          </w:p>
        </w:tc>
      </w:tr>
      <w:tr>
        <w:tc>
          <w:tcPr>
            <w:tcW w:type="dxa" w:w="8788"/>
            <w:shd w:fill="F9FAFB"/>
          </w:tcPr>
          <w:p>
            <w:pPr>
              <w:spacing w:line="252" w:lineRule="auto"/>
              <w:jc w:val="both"/>
            </w:pPr>
            <w:r>
              <w:rPr>
                <w:b/>
                <w:i/>
                <w:sz w:val="20"/>
              </w:rPr>
              <w:t xml:space="preserve">ABSTRACT — </w:t>
            </w:r>
            <w:r>
              <w:rPr>
                <w:i/>
                <w:sz w:val="20"/>
              </w:rPr>
              <w:t>Solana (SOL) is a high-throughput Layer-1 blockchain combining Proof of History (PoH) and Proof of Stake (PoS) consensus mechanisms, characterized by rapid DeFi ecosystem expansion and extreme daily price volatility. Conventional recurrent models such as standalone LSTM and GRU frequently suffer from phase lagging and memory degradation when modeling sudden price spikes using univariate inputs. This study proposes a hybrid 1D Convolutional Neural Network - Bidirectional Long Short-Term Memory architecture integrated with a Temporal Bahdanau Attention mechanism (CNN-BiLSTM-Attention) driven by 14 multivariate market and technical indicator features. Using 2,080 clean daily SOL-USD observations spanning January 2021 to September 2026 under a strict chronological split (70% training, 15% validation, 15% testing) and a 20-day lookback window, experimental evaluations reveal that the proposed CNN-BiLSTM-Attention model achieves superior accuracy with a testing MAE of 1.54 USD, RMSE of 2.09 USD, MAPE of 1.62%, R² of 0.9912, and Directional Accuracy (DA) of 77.88%. The proposed model reduces MAPE by 60.96% relative to standard LSTM (4.15%) and 44.90% relative to GRU (2.94%), confirming the effectiveness of local cross-indicator convolution and adaptive temporal weighting.</w:t>
              <w:br/>
            </w:r>
            <w:r>
              <w:rPr>
                <w:b/>
                <w:i/>
                <w:sz w:val="20"/>
              </w:rPr>
              <w:t xml:space="preserve">Keywords: </w:t>
            </w:r>
            <w:r>
              <w:rPr>
                <w:i/>
                <w:sz w:val="20"/>
              </w:rPr>
              <w:t>Solana, CNN-BiLSTM, Temporal Attention, Technical Indicators, Cryptocurrency Price Forecasting.</w:t>
            </w:r>
          </w:p>
        </w:tc>
      </w:tr>
    </w:tbl>
    <w:p>
      <w:pPr>
        <w:spacing w:line="276" w:lineRule="auto" w:after="100"/>
        <w:ind w:firstLine="454"/>
        <w:jc w:val="both"/>
      </w:pPr>
      <w:r>
        <w:rPr>
          <w:rFonts w:ascii="Times New Roman" w:hAnsi="Times New Roman"/>
          <w:b w:val="0"/>
          <w:i w:val="0"/>
          <w:sz w:val="22"/>
        </w:rPr>
        <w:t>Ringkasan dwibahasa pada kotak abstrak di atas merangkum motivasi penelitian, rancangan arsitektur hibrida CNN-BiLSTM-Attention pada dataset multivariat Solana (SOL-USD), serta temuan kuantitatif utama yang diuraikan secara lengkap pada bagian-bagian berikut.</w:t>
      </w:r>
    </w:p>
    <w:p>
      <w:pPr>
        <w:keepNext/>
        <w:spacing w:before="240" w:after="80"/>
      </w:pPr>
      <w:r>
        <w:rPr>
          <w:rFonts w:ascii="Times New Roman" w:hAnsi="Times New Roman"/>
          <w:b/>
          <w:sz w:val="24"/>
        </w:rPr>
        <w:t>1. PENDAHULUAN</w:t>
      </w:r>
    </w:p>
    <w:p>
      <w:pPr>
        <w:spacing w:line="276" w:lineRule="auto" w:after="100"/>
        <w:ind w:firstLine="454"/>
        <w:jc w:val="both"/>
      </w:pPr>
      <w:r>
        <w:rPr>
          <w:rFonts w:ascii="Times New Roman" w:hAnsi="Times New Roman"/>
          <w:b w:val="0"/>
          <w:i w:val="0"/>
          <w:sz w:val="22"/>
        </w:rPr>
        <w:t>Pasar aset kripto (</w:t>
      </w:r>
      <w:r>
        <w:rPr>
          <w:rFonts w:ascii="Times New Roman" w:hAnsi="Times New Roman"/>
          <w:b w:val="0"/>
          <w:i/>
          <w:sz w:val="22"/>
        </w:rPr>
        <w:t>cryptocurrency</w:t>
      </w:r>
      <w:r>
        <w:rPr>
          <w:rFonts w:ascii="Times New Roman" w:hAnsi="Times New Roman"/>
          <w:b w:val="0"/>
          <w:i w:val="0"/>
          <w:sz w:val="22"/>
        </w:rPr>
        <w:t xml:space="preserve">) telah berkembang menjadi ekosistem keuangan digital bernilai triliunan dolar yang beroperasi tanpa henti selama 24 jam sehari [1], [2]. Salah satu inovasi infrastruktur </w:t>
      </w:r>
      <w:r>
        <w:rPr>
          <w:rFonts w:ascii="Times New Roman" w:hAnsi="Times New Roman"/>
          <w:b w:val="0"/>
          <w:i/>
          <w:sz w:val="22"/>
        </w:rPr>
        <w:t>blockchain</w:t>
      </w:r>
      <w:r>
        <w:rPr>
          <w:rFonts w:ascii="Times New Roman" w:hAnsi="Times New Roman"/>
          <w:b w:val="0"/>
          <w:i w:val="0"/>
          <w:sz w:val="22"/>
        </w:rPr>
        <w:t xml:space="preserve"> paling menonjol dalam lima tahun terakhir adalah Solana (SOL), sebuah jaringan Layer-1 berkinerja tinggi yang mengintegrasikan protokol kriptografis </w:t>
      </w:r>
      <w:r>
        <w:rPr>
          <w:rFonts w:ascii="Times New Roman" w:hAnsi="Times New Roman"/>
          <w:b w:val="0"/>
          <w:i/>
          <w:sz w:val="22"/>
        </w:rPr>
        <w:t>Proof of History</w:t>
      </w:r>
      <w:r>
        <w:rPr>
          <w:rFonts w:ascii="Times New Roman" w:hAnsi="Times New Roman"/>
          <w:b w:val="0"/>
          <w:i w:val="0"/>
          <w:sz w:val="22"/>
        </w:rPr>
        <w:t xml:space="preserve"> (PoH) dengan konsensus </w:t>
      </w:r>
      <w:r>
        <w:rPr>
          <w:rFonts w:ascii="Times New Roman" w:hAnsi="Times New Roman"/>
          <w:b w:val="0"/>
          <w:i/>
          <w:sz w:val="22"/>
        </w:rPr>
        <w:t>Proof of Stake</w:t>
      </w:r>
      <w:r>
        <w:rPr>
          <w:rFonts w:ascii="Times New Roman" w:hAnsi="Times New Roman"/>
          <w:b w:val="0"/>
          <w:i w:val="0"/>
          <w:sz w:val="22"/>
        </w:rPr>
        <w:t xml:space="preserve"> (PoS) [3], [4]. Melalui mekanisme PoH, setiap transaksi diberikan stempel waktu terverifikasi sebelum masuk ke tahap validasi blok, sehingga Solana sanggup memproses ribuan transaksi per detik (</w:t>
      </w:r>
      <w:r>
        <w:rPr>
          <w:rFonts w:ascii="Times New Roman" w:hAnsi="Times New Roman"/>
          <w:b w:val="0"/>
          <w:i/>
          <w:sz w:val="22"/>
        </w:rPr>
        <w:t>high-throughput</w:t>
      </w:r>
      <w:r>
        <w:rPr>
          <w:rFonts w:ascii="Times New Roman" w:hAnsi="Times New Roman"/>
          <w:b w:val="0"/>
          <w:i w:val="0"/>
          <w:sz w:val="22"/>
        </w:rPr>
        <w:t xml:space="preserve">) dengan latensi sub-detik dan biaya mikro [3], [5]. Keunggulan tersebut mendorong adopsi masif pada protokol </w:t>
      </w:r>
      <w:r>
        <w:rPr>
          <w:rFonts w:ascii="Times New Roman" w:hAnsi="Times New Roman"/>
          <w:b w:val="0"/>
          <w:i/>
          <w:sz w:val="22"/>
        </w:rPr>
        <w:t>Decentralized Exchange</w:t>
      </w:r>
      <w:r>
        <w:rPr>
          <w:rFonts w:ascii="Times New Roman" w:hAnsi="Times New Roman"/>
          <w:b w:val="0"/>
          <w:i w:val="0"/>
          <w:sz w:val="22"/>
        </w:rPr>
        <w:t xml:space="preserve"> (DEX), peminjaman terdesentralisasi (</w:t>
      </w:r>
      <w:r>
        <w:rPr>
          <w:rFonts w:ascii="Times New Roman" w:hAnsi="Times New Roman"/>
          <w:b w:val="0"/>
          <w:i/>
          <w:sz w:val="22"/>
        </w:rPr>
        <w:t>Decentralized Finance</w:t>
      </w:r>
      <w:r>
        <w:rPr>
          <w:rFonts w:ascii="Times New Roman" w:hAnsi="Times New Roman"/>
          <w:b w:val="0"/>
          <w:i w:val="0"/>
          <w:sz w:val="22"/>
        </w:rPr>
        <w:t xml:space="preserve"> / DeFi), serta kompresi status </w:t>
      </w:r>
      <w:r>
        <w:rPr>
          <w:rFonts w:ascii="Times New Roman" w:hAnsi="Times New Roman"/>
          <w:b w:val="0"/>
          <w:i/>
          <w:sz w:val="22"/>
        </w:rPr>
        <w:t>Non-Fungible Token</w:t>
      </w:r>
      <w:r>
        <w:rPr>
          <w:rFonts w:ascii="Times New Roman" w:hAnsi="Times New Roman"/>
          <w:b w:val="0"/>
          <w:i w:val="0"/>
          <w:sz w:val="22"/>
        </w:rPr>
        <w:t xml:space="preserve"> (NFT) [6], [7].</w:t>
      </w:r>
    </w:p>
    <w:p>
      <w:pPr>
        <w:spacing w:line="276" w:lineRule="auto" w:after="100"/>
        <w:ind w:firstLine="454"/>
        <w:jc w:val="both"/>
      </w:pPr>
      <w:r>
        <w:rPr>
          <w:rFonts w:ascii="Times New Roman" w:hAnsi="Times New Roman"/>
          <w:b w:val="0"/>
          <w:i w:val="0"/>
          <w:sz w:val="22"/>
        </w:rPr>
        <w:t xml:space="preserve">Di balik performa teknisnya yang tinggi, harga pasar token Solana terhadap Dolar Amerika Serikat (SOL-USD) menunjukkan tingkat volatilitas yang sangat ekstrem, non-linier, dan non-stasioner [8], [9]. Sepanjang rentang tahun 2021 hingga 2026, harga penutupan harian Solana bergerak dalam rentang lebar antara 2,99 USD hingga 261,87 USD dengan nilai rata-rata 98,42 USD dan simpangan baku 66,82 USD. Tingginya volatilitas ini dipicu oleh sensitivitas pasar terhadap likuiditas perdagangan algoritmik, kepadatan transaksi </w:t>
      </w:r>
      <w:r>
        <w:rPr>
          <w:rFonts w:ascii="Times New Roman" w:hAnsi="Times New Roman"/>
          <w:b w:val="0"/>
          <w:i/>
          <w:sz w:val="22"/>
        </w:rPr>
        <w:t>on-chain</w:t>
      </w:r>
      <w:r>
        <w:rPr>
          <w:rFonts w:ascii="Times New Roman" w:hAnsi="Times New Roman"/>
          <w:b w:val="0"/>
          <w:i w:val="0"/>
          <w:sz w:val="22"/>
        </w:rPr>
        <w:t>, serta dinamika makroekonomi kripto [5], [6], [9]. Akibatnya, model ekonometrika linier seperti ARIMA maupun GARCH tidak mampu menangkap perubahan struktur harga non-linier secara memadai [9], [10].</w:t>
      </w:r>
    </w:p>
    <w:p>
      <w:pPr>
        <w:spacing w:line="276" w:lineRule="auto" w:after="100"/>
        <w:ind w:firstLine="454"/>
        <w:jc w:val="both"/>
      </w:pPr>
      <w:r>
        <w:rPr>
          <w:rFonts w:ascii="Times New Roman" w:hAnsi="Times New Roman"/>
          <w:b w:val="0"/>
          <w:i w:val="0"/>
          <w:sz w:val="22"/>
        </w:rPr>
        <w:t xml:space="preserve">Pendekatan </w:t>
      </w:r>
      <w:r>
        <w:rPr>
          <w:rFonts w:ascii="Times New Roman" w:hAnsi="Times New Roman"/>
          <w:b w:val="0"/>
          <w:i/>
          <w:sz w:val="22"/>
        </w:rPr>
        <w:t>Deep Learning</w:t>
      </w:r>
      <w:r>
        <w:rPr>
          <w:rFonts w:ascii="Times New Roman" w:hAnsi="Times New Roman"/>
          <w:b w:val="0"/>
          <w:i w:val="0"/>
          <w:sz w:val="22"/>
        </w:rPr>
        <w:t xml:space="preserve"> berbasis jaringan saraf berulang seperti </w:t>
      </w:r>
      <w:r>
        <w:rPr>
          <w:rFonts w:ascii="Times New Roman" w:hAnsi="Times New Roman"/>
          <w:b w:val="0"/>
          <w:i/>
          <w:sz w:val="22"/>
        </w:rPr>
        <w:t>Long Short-Term Memory</w:t>
      </w:r>
      <w:r>
        <w:rPr>
          <w:rFonts w:ascii="Times New Roman" w:hAnsi="Times New Roman"/>
          <w:b w:val="0"/>
          <w:i w:val="0"/>
          <w:sz w:val="22"/>
        </w:rPr>
        <w:t xml:space="preserve"> (LSTM), </w:t>
      </w:r>
      <w:r>
        <w:rPr>
          <w:rFonts w:ascii="Times New Roman" w:hAnsi="Times New Roman"/>
          <w:b w:val="0"/>
          <w:i/>
          <w:sz w:val="22"/>
        </w:rPr>
        <w:t>Gated Recurrent Unit</w:t>
      </w:r>
      <w:r>
        <w:rPr>
          <w:rFonts w:ascii="Times New Roman" w:hAnsi="Times New Roman"/>
          <w:b w:val="0"/>
          <w:i w:val="0"/>
          <w:sz w:val="22"/>
        </w:rPr>
        <w:t xml:space="preserve"> (GRU), dan Bidirectional LSTM (BiLSTM) telah banyak diadopsi untuk memprediksi harga aset kripto dan deret waktu ekonomi [11], [12], [13], [14], [15]. Sejumlah studi terbaru pada tahun 2025 dan 2026 telah mengkaji prediksi harga Solana menggunakan varian LSTM [16], </w:t>
      </w:r>
      <w:r>
        <w:rPr>
          <w:rFonts w:ascii="Times New Roman" w:hAnsi="Times New Roman"/>
          <w:b w:val="0"/>
          <w:i/>
          <w:sz w:val="22"/>
        </w:rPr>
        <w:t>Stacked Ensemble</w:t>
      </w:r>
      <w:r>
        <w:rPr>
          <w:rFonts w:ascii="Times New Roman" w:hAnsi="Times New Roman"/>
          <w:b w:val="0"/>
          <w:i w:val="0"/>
          <w:sz w:val="22"/>
        </w:rPr>
        <w:t xml:space="preserve"> berbasis fitur EMA [17], LSTM jangka pendek [18], indikator trading dasar [19], akuisisi Yahoo Finance API [20], serta </w:t>
      </w:r>
      <w:r>
        <w:rPr>
          <w:rFonts w:ascii="Times New Roman" w:hAnsi="Times New Roman"/>
          <w:b w:val="0"/>
          <w:i/>
          <w:sz w:val="22"/>
        </w:rPr>
        <w:t>Temporal Fusion Transformer</w:t>
      </w:r>
      <w:r>
        <w:rPr>
          <w:rFonts w:ascii="Times New Roman" w:hAnsi="Times New Roman"/>
          <w:b w:val="0"/>
          <w:i w:val="0"/>
          <w:sz w:val="22"/>
        </w:rPr>
        <w:t xml:space="preserve"> [21]. Meskipun demikian, terdapat tiga celah penelitian (</w:t>
      </w:r>
      <w:r>
        <w:rPr>
          <w:rFonts w:ascii="Times New Roman" w:hAnsi="Times New Roman"/>
          <w:b w:val="0"/>
          <w:i/>
          <w:sz w:val="22"/>
        </w:rPr>
        <w:t>research gaps</w:t>
      </w:r>
      <w:r>
        <w:rPr>
          <w:rFonts w:ascii="Times New Roman" w:hAnsi="Times New Roman"/>
          <w:b w:val="0"/>
          <w:i w:val="0"/>
          <w:sz w:val="22"/>
        </w:rPr>
        <w:t>) krusial pada literatur terdahulu. Pertama, sebagian besar studi prediksi harga Solana masih menggunakan data harga penutupan univariat [16], [18], [20], sehingga mengabaikan informasi momentum (RSI, MACD), lebar pita volatilitas (</w:t>
      </w:r>
      <w:r>
        <w:rPr>
          <w:rFonts w:ascii="Times New Roman" w:hAnsi="Times New Roman"/>
          <w:b w:val="0"/>
          <w:i/>
          <w:sz w:val="22"/>
        </w:rPr>
        <w:t>Bollinger Bands</w:t>
      </w:r>
      <w:r>
        <w:rPr>
          <w:rFonts w:ascii="Times New Roman" w:hAnsi="Times New Roman"/>
          <w:b w:val="0"/>
          <w:i w:val="0"/>
          <w:sz w:val="22"/>
        </w:rPr>
        <w:t>, ATR), dan tekanan volume (OBV) yang krusial dalam mendeteksi pembalikan arah tren [19], [22].</w:t>
      </w:r>
    </w:p>
    <w:p>
      <w:pPr>
        <w:spacing w:line="276" w:lineRule="auto" w:after="100"/>
        <w:ind w:firstLine="454"/>
        <w:jc w:val="both"/>
      </w:pPr>
      <w:r>
        <w:rPr>
          <w:rFonts w:ascii="Times New Roman" w:hAnsi="Times New Roman"/>
          <w:b w:val="0"/>
          <w:i w:val="0"/>
          <w:sz w:val="22"/>
        </w:rPr>
        <w:t xml:space="preserve">Kedua, arsitektur LSTM, GRU, dan BiLSTM murni pada berbagai studi terdahulu [12], [13], [23], [24] memproses sekuen fitur tanpa ekstraksi morfologi lokal lintas variabel. Penelitian Diash dkk. [25] dan Mushliha [26] menunjukkan bahwa lapisan </w:t>
      </w:r>
      <w:r>
        <w:rPr>
          <w:rFonts w:ascii="Times New Roman" w:hAnsi="Times New Roman"/>
          <w:b w:val="0"/>
          <w:i/>
          <w:sz w:val="22"/>
        </w:rPr>
        <w:t>Convolutional Neural Network</w:t>
      </w:r>
      <w:r>
        <w:rPr>
          <w:rFonts w:ascii="Times New Roman" w:hAnsi="Times New Roman"/>
          <w:b w:val="0"/>
          <w:i w:val="0"/>
          <w:sz w:val="22"/>
        </w:rPr>
        <w:t xml:space="preserve"> satu dimensi (1D-CNN) efektif mengekstraksi fitur spasial-lokal sebelum diproses oleh BiLSTM. Ketiga, baik BiLSTM maupun CNN-BiLSTM konvensional masih memadatkan seluruh informasi sepanjang jendela waktu ke dalam satu status tersembunyi akhir secara seragam, sehingga rentan mengalami degradasi memori pada fluktuasi tajam [27], [28], [29], [30]. Kajian pembanding tambahan pada pemodelan LSTM kripto [31], optimasi hiperparameter [32], jaringan GRU [33], varian rekuren bertumpuk [34], komparasi multi-arsitektur [35], evaluasi prediktif [36], hingga kerangka kerja hibrida CNN-BiLSTM-TCN [37] semakin menegaskan perlunya penyaringan lokal yang dipadukan dengan bobot perhatian adaptif. Berdasarkan kesenjangan tersebut, kontribusi utama penelitian ini adalah: (1) mengonstruksi dataset multivariat Solana sebanyak 2.080 hari perdagangan dengan 14 fitur pasar dan indikator teknikal, (2) merancang arsitektur hibrida CNN-BiLSTM-Attention dengan koneksi residual, serta (3) melakukan evaluasi komparatif menyeluruh dan studi ablasi terhadap model LSTM, GRU, BiLSTM, dan CNN-BiLSTM menggunakan metrik MAE, RMSE, MAPE, R², dan </w:t>
      </w:r>
      <w:r>
        <w:rPr>
          <w:rFonts w:ascii="Times New Roman" w:hAnsi="Times New Roman"/>
          <w:b w:val="0"/>
          <w:i/>
          <w:sz w:val="22"/>
        </w:rPr>
        <w:t>Directional Accuracy</w:t>
      </w:r>
      <w:r>
        <w:rPr>
          <w:rFonts w:ascii="Times New Roman" w:hAnsi="Times New Roman"/>
          <w:b w:val="0"/>
          <w:i w:val="0"/>
          <w:sz w:val="22"/>
        </w:rPr>
        <w:t xml:space="preserve"> (DA).</w:t>
      </w:r>
    </w:p>
    <w:p>
      <w:pPr>
        <w:keepNext/>
        <w:spacing w:before="240" w:after="80"/>
      </w:pPr>
      <w:r>
        <w:rPr>
          <w:rFonts w:ascii="Times New Roman" w:hAnsi="Times New Roman"/>
          <w:b/>
          <w:sz w:val="24"/>
        </w:rPr>
        <w:t>2. METODE PENELITIAN</w:t>
      </w:r>
    </w:p>
    <w:p>
      <w:pPr>
        <w:spacing w:line="276" w:lineRule="auto" w:after="100"/>
        <w:ind w:firstLine="454"/>
        <w:jc w:val="both"/>
      </w:pPr>
      <w:r>
        <w:rPr>
          <w:rFonts w:ascii="Times New Roman" w:hAnsi="Times New Roman"/>
          <w:b w:val="0"/>
          <w:i w:val="0"/>
          <w:sz w:val="22"/>
        </w:rPr>
        <w:t>Alur metodologi penelitian ini dirancang ke dalam enam tahapan terstruktur yang mencakup akuisisi data historis SOL-USD, ekstraksi sembilan indikator teknikal, pra-pemrosesan dan pembentukan jendela sekuensial 20 hari, pembagian data secara kronologis, pelatihan model hibrida CNN-BiLSTM-Attention beserta model pembanding, hingga evaluasi kinerja dan analisis ablasi sebagaimana ditunjukkan pada Gambar 1.</w:t>
      </w:r>
    </w:p>
    <w:p>
      <w:pPr>
        <w:keepNext/>
        <w:spacing w:before="120" w:after="40"/>
        <w:jc w:val="center"/>
      </w:pPr>
      <w:r>
        <w:drawing>
          <wp:inline xmlns:a="http://schemas.openxmlformats.org/drawingml/2006/main" xmlns:pic="http://schemas.openxmlformats.org/drawingml/2006/picture">
            <wp:extent cx="4860000" cy="2739273"/>
            <wp:docPr id="1" name="Picture 1"/>
            <wp:cNvGraphicFramePr>
              <a:graphicFrameLocks noChangeAspect="1"/>
            </wp:cNvGraphicFramePr>
            <a:graphic>
              <a:graphicData uri="http://schemas.openxmlformats.org/drawingml/2006/picture">
                <pic:pic>
                  <pic:nvPicPr>
                    <pic:cNvPr id="0" name="fig_metodologi_penelitian.png"/>
                    <pic:cNvPicPr/>
                  </pic:nvPicPr>
                  <pic:blipFill>
                    <a:blip r:embed="rId11"/>
                    <a:stretch>
                      <a:fillRect/>
                    </a:stretch>
                  </pic:blipFill>
                  <pic:spPr>
                    <a:xfrm>
                      <a:off x="0" y="0"/>
                      <a:ext cx="4860000" cy="2739273"/>
                    </a:xfrm>
                    <a:prstGeom prst="rect"/>
                  </pic:spPr>
                </pic:pic>
              </a:graphicData>
            </a:graphic>
          </wp:inline>
        </w:drawing>
      </w:r>
    </w:p>
    <w:p>
      <w:pPr>
        <w:keepNext/>
        <w:spacing w:before="40" w:after="100"/>
        <w:jc w:val="center"/>
      </w:pPr>
      <w:r>
        <w:rPr>
          <w:rFonts w:ascii="Times New Roman" w:hAnsi="Times New Roman"/>
          <w:b/>
          <w:sz w:val="20"/>
        </w:rPr>
        <w:t xml:space="preserve">Gambar 1. </w:t>
      </w:r>
      <w:r>
        <w:rPr>
          <w:rFonts w:ascii="Times New Roman" w:hAnsi="Times New Roman"/>
          <w:b/>
          <w:i w:val="0"/>
          <w:sz w:val="20"/>
        </w:rPr>
        <w:t>Tahapan Metodologi Penelitian Prediksi Harga Solana</w:t>
      </w:r>
    </w:p>
    <w:p>
      <w:pPr>
        <w:spacing w:line="276" w:lineRule="auto" w:after="100"/>
        <w:ind w:firstLine="454"/>
        <w:jc w:val="both"/>
      </w:pPr>
      <w:r>
        <w:rPr>
          <w:rFonts w:ascii="Times New Roman" w:hAnsi="Times New Roman"/>
          <w:b w:val="0"/>
          <w:i w:val="0"/>
          <w:sz w:val="22"/>
        </w:rPr>
        <w:t>Berdasarkan Gambar 1 di atas, dapat dijelaskan bahwa tahapan metodologi penelitian disusun secara berurutan ke dalam enam blok proses utama dari hulu ke hilir. Tahap 1 melakukan pengunduhan data historis harian SOL-USD dari Yahoo Finance selama periode Januari 2021 hingga September 2026 (2.099 baris mentah). Tahap 2 melaksanakan rekayasa fitur (</w:t>
      </w:r>
      <w:r>
        <w:rPr>
          <w:rFonts w:ascii="Times New Roman" w:hAnsi="Times New Roman"/>
          <w:b w:val="0"/>
          <w:i/>
          <w:sz w:val="22"/>
        </w:rPr>
        <w:t>feature engineering</w:t>
      </w:r>
      <w:r>
        <w:rPr>
          <w:rFonts w:ascii="Times New Roman" w:hAnsi="Times New Roman"/>
          <w:b w:val="0"/>
          <w:i w:val="0"/>
          <w:sz w:val="22"/>
        </w:rPr>
        <w:t>) untuk mengekstraksi sembilan indikator teknikal sehingga menghasilkan 14 fitur multivariat. Tahap 3 membersihkan 19 baris periode pemanasan (</w:t>
      </w:r>
      <w:r>
        <w:rPr>
          <w:rFonts w:ascii="Times New Roman" w:hAnsi="Times New Roman"/>
          <w:b w:val="0"/>
          <w:i/>
          <w:sz w:val="22"/>
        </w:rPr>
        <w:t>warm-up period</w:t>
      </w:r>
      <w:r>
        <w:rPr>
          <w:rFonts w:ascii="Times New Roman" w:hAnsi="Times New Roman"/>
          <w:b w:val="0"/>
          <w:i w:val="0"/>
          <w:sz w:val="22"/>
        </w:rPr>
        <w:t xml:space="preserve">), membagi 2.080 observasi bersih secara kronologis (70% data latih, 15% validasi, dan 15% uji), menerapkan normalisasi Min-Max pada rentang [0, 1], serta membentuk tensor sekuensial berjendela T = 20 hari. Selanjutnya, Tahap 4 dan Tahap 5 melatih arsitektur usulan CNN-BiLSTM-Attention bersama empat model pembanding (LSTM, GRU, BiLSTM, dan CNN-BiLSTM) serta skenario ablasi univariat menggunakan Adam optimizer, yang kemudian dievaluasi pada Tahap 6 menggunakan metrik MAE, RMSE, MAPE, R², dan </w:t>
      </w:r>
      <w:r>
        <w:rPr>
          <w:rFonts w:ascii="Times New Roman" w:hAnsi="Times New Roman"/>
          <w:b w:val="0"/>
          <w:i/>
          <w:sz w:val="22"/>
        </w:rPr>
        <w:t>Directional Accuracy</w:t>
      </w:r>
      <w:r>
        <w:rPr>
          <w:rFonts w:ascii="Times New Roman" w:hAnsi="Times New Roman"/>
          <w:b w:val="0"/>
          <w:i w:val="0"/>
          <w:sz w:val="22"/>
        </w:rPr>
        <w:t xml:space="preserve"> setelah dilakukan transformasi balik ke skala USD asli.</w:t>
      </w:r>
    </w:p>
    <w:p>
      <w:pPr>
        <w:keepNext/>
        <w:spacing w:before="160" w:after="60"/>
      </w:pPr>
      <w:r>
        <w:rPr>
          <w:rFonts w:ascii="Times New Roman" w:hAnsi="Times New Roman"/>
          <w:b/>
          <w:sz w:val="22"/>
        </w:rPr>
        <w:t xml:space="preserve">2.1. </w:t>
      </w:r>
      <w:r>
        <w:rPr>
          <w:rFonts w:ascii="Times New Roman" w:hAnsi="Times New Roman"/>
          <w:b/>
          <w:i w:val="0"/>
          <w:sz w:val="22"/>
        </w:rPr>
        <w:t>Akuisisi Dataset dan Rekayasa Fitur Indikator Teknikal</w:t>
      </w:r>
    </w:p>
    <w:p>
      <w:pPr>
        <w:spacing w:line="276" w:lineRule="auto" w:after="100"/>
        <w:ind w:firstLine="454"/>
        <w:jc w:val="both"/>
      </w:pPr>
      <w:r>
        <w:rPr>
          <w:rFonts w:ascii="Times New Roman" w:hAnsi="Times New Roman"/>
          <w:b w:val="0"/>
          <w:i w:val="0"/>
          <w:sz w:val="22"/>
        </w:rPr>
        <w:t>Dataset deret waktu harian Solana (SOL-USD) diperoleh dari Yahoo Finance API terhitung sejak 1 Januari 2021 hingga 30 September 2026 (2099 baris mentah). Untuk memperkaya representasi dinamika pasar, diekstraksi sembilan indikator teknikal dari lima atribut OHLCV dasar [22], [38], [39]. Setelah pembersihan 19 baris awal yang mengandung nilai NaN akibat periode pemanasan jendela bergerak 20 hari, diperoleh 2080 observasi harian bersih (20 Januari 2021 – 30 September 2026). Ringkasan statistik deskriptif dari fitur utama disajikan pada Tabel 1.</w:t>
      </w:r>
    </w:p>
    <w:p>
      <w:pPr>
        <w:keepNext/>
        <w:spacing w:before="160" w:after="60"/>
        <w:jc w:val="center"/>
      </w:pPr>
      <w:r>
        <w:rPr>
          <w:rFonts w:ascii="Times New Roman" w:hAnsi="Times New Roman"/>
          <w:b/>
          <w:sz w:val="20"/>
        </w:rPr>
        <w:t xml:space="preserve">Tabel 1. </w:t>
      </w:r>
      <w:r>
        <w:rPr>
          <w:rFonts w:ascii="Times New Roman" w:hAnsi="Times New Roman"/>
          <w:b/>
          <w:i w:val="0"/>
          <w:sz w:val="20"/>
        </w:rPr>
        <w:t>Statistik Deskriptif Fitur Multivariat Dataset Solana (2.080 Observasi Harian)</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shd w:fill="1F4E78"/>
            <w:vAlign w:val="center"/>
          </w:tcPr>
          <w:p>
            <w:pPr>
              <w:spacing w:before="60" w:after="60"/>
              <w:jc w:val="center"/>
            </w:pPr>
            <w:r>
              <w:rPr>
                <w:rFonts w:ascii="Times New Roman" w:hAnsi="Times New Roman"/>
                <w:b/>
                <w:color w:val="FFFFFF"/>
                <w:sz w:val="17"/>
              </w:rPr>
              <w:t>Fitur Input</w:t>
            </w:r>
          </w:p>
        </w:tc>
        <w:tc>
          <w:tcPr>
            <w:tcW w:type="dxa" w:w="1465"/>
            <w:shd w:fill="1F4E78"/>
            <w:vAlign w:val="center"/>
          </w:tcPr>
          <w:p>
            <w:pPr>
              <w:spacing w:before="60" w:after="60"/>
              <w:jc w:val="center"/>
            </w:pPr>
            <w:r>
              <w:rPr>
                <w:rFonts w:ascii="Times New Roman" w:hAnsi="Times New Roman"/>
                <w:b/>
                <w:color w:val="FFFFFF"/>
                <w:sz w:val="17"/>
              </w:rPr>
              <w:t>Kategori</w:t>
            </w:r>
          </w:p>
        </w:tc>
        <w:tc>
          <w:tcPr>
            <w:tcW w:type="dxa" w:w="1465"/>
            <w:shd w:fill="1F4E78"/>
            <w:vAlign w:val="center"/>
          </w:tcPr>
          <w:p>
            <w:pPr>
              <w:spacing w:before="60" w:after="60"/>
              <w:jc w:val="center"/>
            </w:pPr>
            <w:r>
              <w:rPr>
                <w:rFonts w:ascii="Times New Roman" w:hAnsi="Times New Roman"/>
                <w:b/>
                <w:color w:val="FFFFFF"/>
                <w:sz w:val="17"/>
              </w:rPr>
              <w:t>Minimum</w:t>
            </w:r>
          </w:p>
        </w:tc>
        <w:tc>
          <w:tcPr>
            <w:tcW w:type="dxa" w:w="1465"/>
            <w:shd w:fill="1F4E78"/>
            <w:vAlign w:val="center"/>
          </w:tcPr>
          <w:p>
            <w:pPr>
              <w:spacing w:before="60" w:after="60"/>
              <w:jc w:val="center"/>
            </w:pPr>
            <w:r>
              <w:rPr>
                <w:rFonts w:ascii="Times New Roman" w:hAnsi="Times New Roman"/>
                <w:b/>
                <w:color w:val="FFFFFF"/>
                <w:sz w:val="17"/>
              </w:rPr>
              <w:t>Median</w:t>
            </w:r>
          </w:p>
        </w:tc>
        <w:tc>
          <w:tcPr>
            <w:tcW w:type="dxa" w:w="1465"/>
            <w:shd w:fill="1F4E78"/>
            <w:vAlign w:val="center"/>
          </w:tcPr>
          <w:p>
            <w:pPr>
              <w:spacing w:before="60" w:after="60"/>
              <w:jc w:val="center"/>
            </w:pPr>
            <w:r>
              <w:rPr>
                <w:rFonts w:ascii="Times New Roman" w:hAnsi="Times New Roman"/>
                <w:b/>
                <w:color w:val="FFFFFF"/>
                <w:sz w:val="17"/>
              </w:rPr>
              <w:t>Mean</w:t>
            </w:r>
          </w:p>
        </w:tc>
        <w:tc>
          <w:tcPr>
            <w:tcW w:type="dxa" w:w="1465"/>
            <w:shd w:fill="1F4E78"/>
            <w:vAlign w:val="center"/>
          </w:tcPr>
          <w:p>
            <w:pPr>
              <w:spacing w:before="60" w:after="60"/>
              <w:jc w:val="center"/>
            </w:pPr>
            <w:r>
              <w:rPr>
                <w:rFonts w:ascii="Times New Roman" w:hAnsi="Times New Roman"/>
                <w:b/>
                <w:color w:val="FFFFFF"/>
                <w:sz w:val="17"/>
              </w:rPr>
              <w:t>Maksimum</w:t>
            </w:r>
          </w:p>
        </w:tc>
      </w:tr>
      <w:tr>
        <w:tc>
          <w:tcPr>
            <w:tcW w:type="dxa" w:w="1465"/>
            <w:vAlign w:val="center"/>
          </w:tcPr>
          <w:p>
            <w:pPr>
              <w:spacing w:before="40" w:after="40"/>
            </w:pPr>
            <w:r>
              <w:rPr>
                <w:rFonts w:ascii="Times New Roman" w:hAnsi="Times New Roman"/>
                <w:sz w:val="17"/>
              </w:rPr>
              <w:t>Close</w:t>
            </w:r>
          </w:p>
        </w:tc>
        <w:tc>
          <w:tcPr>
            <w:tcW w:type="dxa" w:w="1465"/>
            <w:vAlign w:val="center"/>
          </w:tcPr>
          <w:p>
            <w:pPr>
              <w:spacing w:before="40" w:after="40"/>
            </w:pPr>
            <w:r>
              <w:rPr>
                <w:rFonts w:ascii="Times New Roman" w:hAnsi="Times New Roman"/>
                <w:sz w:val="17"/>
              </w:rPr>
              <w:t>Harga Penutupan (USD)</w:t>
            </w:r>
          </w:p>
        </w:tc>
        <w:tc>
          <w:tcPr>
            <w:tcW w:type="dxa" w:w="1465"/>
            <w:vAlign w:val="center"/>
          </w:tcPr>
          <w:p>
            <w:pPr>
              <w:spacing w:before="40" w:after="40"/>
            </w:pPr>
            <w:r>
              <w:rPr>
                <w:rFonts w:ascii="Times New Roman" w:hAnsi="Times New Roman"/>
                <w:sz w:val="17"/>
              </w:rPr>
              <w:t>2.99</w:t>
            </w:r>
          </w:p>
        </w:tc>
        <w:tc>
          <w:tcPr>
            <w:tcW w:type="dxa" w:w="1465"/>
            <w:vAlign w:val="center"/>
          </w:tcPr>
          <w:p>
            <w:pPr>
              <w:spacing w:before="40" w:after="40"/>
            </w:pPr>
            <w:r>
              <w:rPr>
                <w:rFonts w:ascii="Times New Roman" w:hAnsi="Times New Roman"/>
                <w:sz w:val="17"/>
              </w:rPr>
              <w:t>91.46</w:t>
            </w:r>
          </w:p>
        </w:tc>
        <w:tc>
          <w:tcPr>
            <w:tcW w:type="dxa" w:w="1465"/>
            <w:vAlign w:val="center"/>
          </w:tcPr>
          <w:p>
            <w:pPr>
              <w:spacing w:before="40" w:after="40"/>
            </w:pPr>
            <w:r>
              <w:rPr>
                <w:rFonts w:ascii="Times New Roman" w:hAnsi="Times New Roman"/>
                <w:sz w:val="17"/>
              </w:rPr>
              <w:t>98.42</w:t>
            </w:r>
          </w:p>
        </w:tc>
        <w:tc>
          <w:tcPr>
            <w:tcW w:type="dxa" w:w="1465"/>
            <w:vAlign w:val="center"/>
          </w:tcPr>
          <w:p>
            <w:pPr>
              <w:spacing w:before="40" w:after="40"/>
            </w:pPr>
            <w:r>
              <w:rPr>
                <w:rFonts w:ascii="Times New Roman" w:hAnsi="Times New Roman"/>
                <w:sz w:val="17"/>
              </w:rPr>
              <w:t>261.87</w:t>
            </w:r>
          </w:p>
        </w:tc>
      </w:tr>
      <w:tr>
        <w:tc>
          <w:tcPr>
            <w:tcW w:type="dxa" w:w="1465"/>
            <w:vAlign w:val="center"/>
          </w:tcPr>
          <w:p>
            <w:pPr>
              <w:spacing w:before="40" w:after="40"/>
            </w:pPr>
            <w:r>
              <w:rPr>
                <w:rFonts w:ascii="Times New Roman" w:hAnsi="Times New Roman"/>
                <w:sz w:val="17"/>
              </w:rPr>
              <w:t>Open</w:t>
            </w:r>
          </w:p>
        </w:tc>
        <w:tc>
          <w:tcPr>
            <w:tcW w:type="dxa" w:w="1465"/>
            <w:vAlign w:val="center"/>
          </w:tcPr>
          <w:p>
            <w:pPr>
              <w:spacing w:before="40" w:after="40"/>
            </w:pPr>
            <w:r>
              <w:rPr>
                <w:rFonts w:ascii="Times New Roman" w:hAnsi="Times New Roman"/>
                <w:sz w:val="17"/>
              </w:rPr>
              <w:t>Harga Pembukaan (USD)</w:t>
            </w:r>
          </w:p>
        </w:tc>
        <w:tc>
          <w:tcPr>
            <w:tcW w:type="dxa" w:w="1465"/>
            <w:vAlign w:val="center"/>
          </w:tcPr>
          <w:p>
            <w:pPr>
              <w:spacing w:before="40" w:after="40"/>
            </w:pPr>
            <w:r>
              <w:rPr>
                <w:rFonts w:ascii="Times New Roman" w:hAnsi="Times New Roman"/>
                <w:sz w:val="17"/>
              </w:rPr>
              <w:t>2.99</w:t>
            </w:r>
          </w:p>
        </w:tc>
        <w:tc>
          <w:tcPr>
            <w:tcW w:type="dxa" w:w="1465"/>
            <w:vAlign w:val="center"/>
          </w:tcPr>
          <w:p>
            <w:pPr>
              <w:spacing w:before="40" w:after="40"/>
            </w:pPr>
            <w:r>
              <w:rPr>
                <w:rFonts w:ascii="Times New Roman" w:hAnsi="Times New Roman"/>
                <w:sz w:val="17"/>
              </w:rPr>
              <w:t>91.39</w:t>
            </w:r>
          </w:p>
        </w:tc>
        <w:tc>
          <w:tcPr>
            <w:tcW w:type="dxa" w:w="1465"/>
            <w:vAlign w:val="center"/>
          </w:tcPr>
          <w:p>
            <w:pPr>
              <w:spacing w:before="40" w:after="40"/>
            </w:pPr>
            <w:r>
              <w:rPr>
                <w:rFonts w:ascii="Times New Roman" w:hAnsi="Times New Roman"/>
                <w:sz w:val="17"/>
              </w:rPr>
              <w:t>98.38</w:t>
            </w:r>
          </w:p>
        </w:tc>
        <w:tc>
          <w:tcPr>
            <w:tcW w:type="dxa" w:w="1465"/>
            <w:vAlign w:val="center"/>
          </w:tcPr>
          <w:p>
            <w:pPr>
              <w:spacing w:before="40" w:after="40"/>
            </w:pPr>
            <w:r>
              <w:rPr>
                <w:rFonts w:ascii="Times New Roman" w:hAnsi="Times New Roman"/>
                <w:sz w:val="17"/>
              </w:rPr>
              <w:t>261.87</w:t>
            </w:r>
          </w:p>
        </w:tc>
      </w:tr>
      <w:tr>
        <w:tc>
          <w:tcPr>
            <w:tcW w:type="dxa" w:w="1465"/>
            <w:vAlign w:val="center"/>
          </w:tcPr>
          <w:p>
            <w:pPr>
              <w:spacing w:before="40" w:after="40"/>
            </w:pPr>
            <w:r>
              <w:rPr>
                <w:rFonts w:ascii="Times New Roman" w:hAnsi="Times New Roman"/>
                <w:sz w:val="17"/>
              </w:rPr>
              <w:t>High</w:t>
            </w:r>
          </w:p>
        </w:tc>
        <w:tc>
          <w:tcPr>
            <w:tcW w:type="dxa" w:w="1465"/>
            <w:vAlign w:val="center"/>
          </w:tcPr>
          <w:p>
            <w:pPr>
              <w:spacing w:before="40" w:after="40"/>
            </w:pPr>
            <w:r>
              <w:rPr>
                <w:rFonts w:ascii="Times New Roman" w:hAnsi="Times New Roman"/>
                <w:sz w:val="17"/>
              </w:rPr>
              <w:t>Harga Tertinggi (USD)</w:t>
            </w:r>
          </w:p>
        </w:tc>
        <w:tc>
          <w:tcPr>
            <w:tcW w:type="dxa" w:w="1465"/>
            <w:vAlign w:val="center"/>
          </w:tcPr>
          <w:p>
            <w:pPr>
              <w:spacing w:before="40" w:after="40"/>
            </w:pPr>
            <w:r>
              <w:rPr>
                <w:rFonts w:ascii="Times New Roman" w:hAnsi="Times New Roman"/>
                <w:sz w:val="17"/>
              </w:rPr>
              <w:t>3.50</w:t>
            </w:r>
          </w:p>
        </w:tc>
        <w:tc>
          <w:tcPr>
            <w:tcW w:type="dxa" w:w="1465"/>
            <w:vAlign w:val="center"/>
          </w:tcPr>
          <w:p>
            <w:pPr>
              <w:spacing w:before="40" w:after="40"/>
            </w:pPr>
            <w:r>
              <w:rPr>
                <w:rFonts w:ascii="Times New Roman" w:hAnsi="Times New Roman"/>
                <w:sz w:val="17"/>
              </w:rPr>
              <w:t>94.21</w:t>
            </w:r>
          </w:p>
        </w:tc>
        <w:tc>
          <w:tcPr>
            <w:tcW w:type="dxa" w:w="1465"/>
            <w:vAlign w:val="center"/>
          </w:tcPr>
          <w:p>
            <w:pPr>
              <w:spacing w:before="40" w:after="40"/>
            </w:pPr>
            <w:r>
              <w:rPr>
                <w:rFonts w:ascii="Times New Roman" w:hAnsi="Times New Roman"/>
                <w:sz w:val="17"/>
              </w:rPr>
              <w:t>101.87</w:t>
            </w:r>
          </w:p>
        </w:tc>
        <w:tc>
          <w:tcPr>
            <w:tcW w:type="dxa" w:w="1465"/>
            <w:vAlign w:val="center"/>
          </w:tcPr>
          <w:p>
            <w:pPr>
              <w:spacing w:before="40" w:after="40"/>
            </w:pPr>
            <w:r>
              <w:rPr>
                <w:rFonts w:ascii="Times New Roman" w:hAnsi="Times New Roman"/>
                <w:sz w:val="17"/>
              </w:rPr>
              <w:t>294.33</w:t>
            </w:r>
          </w:p>
        </w:tc>
      </w:tr>
      <w:tr>
        <w:tc>
          <w:tcPr>
            <w:tcW w:type="dxa" w:w="1465"/>
            <w:vAlign w:val="center"/>
          </w:tcPr>
          <w:p>
            <w:pPr>
              <w:spacing w:before="40" w:after="40"/>
            </w:pPr>
            <w:r>
              <w:rPr>
                <w:rFonts w:ascii="Times New Roman" w:hAnsi="Times New Roman"/>
                <w:sz w:val="17"/>
              </w:rPr>
              <w:t>Low</w:t>
            </w:r>
          </w:p>
        </w:tc>
        <w:tc>
          <w:tcPr>
            <w:tcW w:type="dxa" w:w="1465"/>
            <w:vAlign w:val="center"/>
          </w:tcPr>
          <w:p>
            <w:pPr>
              <w:spacing w:before="40" w:after="40"/>
            </w:pPr>
            <w:r>
              <w:rPr>
                <w:rFonts w:ascii="Times New Roman" w:hAnsi="Times New Roman"/>
                <w:sz w:val="17"/>
              </w:rPr>
              <w:t>Harga Terendah (USD)</w:t>
            </w:r>
          </w:p>
        </w:tc>
        <w:tc>
          <w:tcPr>
            <w:tcW w:type="dxa" w:w="1465"/>
            <w:vAlign w:val="center"/>
          </w:tcPr>
          <w:p>
            <w:pPr>
              <w:spacing w:before="40" w:after="40"/>
            </w:pPr>
            <w:r>
              <w:rPr>
                <w:rFonts w:ascii="Times New Roman" w:hAnsi="Times New Roman"/>
                <w:sz w:val="17"/>
              </w:rPr>
              <w:t>2.54</w:t>
            </w:r>
          </w:p>
        </w:tc>
        <w:tc>
          <w:tcPr>
            <w:tcW w:type="dxa" w:w="1465"/>
            <w:vAlign w:val="center"/>
          </w:tcPr>
          <w:p>
            <w:pPr>
              <w:spacing w:before="40" w:after="40"/>
            </w:pPr>
            <w:r>
              <w:rPr>
                <w:rFonts w:ascii="Times New Roman" w:hAnsi="Times New Roman"/>
                <w:sz w:val="17"/>
              </w:rPr>
              <w:t>87.72</w:t>
            </w:r>
          </w:p>
        </w:tc>
        <w:tc>
          <w:tcPr>
            <w:tcW w:type="dxa" w:w="1465"/>
            <w:vAlign w:val="center"/>
          </w:tcPr>
          <w:p>
            <w:pPr>
              <w:spacing w:before="40" w:after="40"/>
            </w:pPr>
            <w:r>
              <w:rPr>
                <w:rFonts w:ascii="Times New Roman" w:hAnsi="Times New Roman"/>
                <w:sz w:val="17"/>
              </w:rPr>
              <w:t>94.89</w:t>
            </w:r>
          </w:p>
        </w:tc>
        <w:tc>
          <w:tcPr>
            <w:tcW w:type="dxa" w:w="1465"/>
            <w:vAlign w:val="center"/>
          </w:tcPr>
          <w:p>
            <w:pPr>
              <w:spacing w:before="40" w:after="40"/>
            </w:pPr>
            <w:r>
              <w:rPr>
                <w:rFonts w:ascii="Times New Roman" w:hAnsi="Times New Roman"/>
                <w:sz w:val="17"/>
              </w:rPr>
              <w:t>253.19</w:t>
            </w:r>
          </w:p>
        </w:tc>
      </w:tr>
      <w:tr>
        <w:tc>
          <w:tcPr>
            <w:tcW w:type="dxa" w:w="1465"/>
            <w:vAlign w:val="center"/>
          </w:tcPr>
          <w:p>
            <w:pPr>
              <w:spacing w:before="40" w:after="40"/>
            </w:pPr>
            <w:r>
              <w:rPr>
                <w:rFonts w:ascii="Times New Roman" w:hAnsi="Times New Roman"/>
                <w:sz w:val="17"/>
              </w:rPr>
              <w:t>EMA_14</w:t>
            </w:r>
          </w:p>
        </w:tc>
        <w:tc>
          <w:tcPr>
            <w:tcW w:type="dxa" w:w="1465"/>
            <w:vAlign w:val="center"/>
          </w:tcPr>
          <w:p>
            <w:pPr>
              <w:spacing w:before="40" w:after="40"/>
            </w:pPr>
            <w:r>
              <w:rPr>
                <w:rFonts w:ascii="Times New Roman" w:hAnsi="Times New Roman"/>
                <w:sz w:val="17"/>
              </w:rPr>
              <w:t>Tren Jangka Pendek (USD)</w:t>
            </w:r>
          </w:p>
        </w:tc>
        <w:tc>
          <w:tcPr>
            <w:tcW w:type="dxa" w:w="1465"/>
            <w:vAlign w:val="center"/>
          </w:tcPr>
          <w:p>
            <w:pPr>
              <w:spacing w:before="40" w:after="40"/>
            </w:pPr>
            <w:r>
              <w:rPr>
                <w:rFonts w:ascii="Times New Roman" w:hAnsi="Times New Roman"/>
                <w:sz w:val="17"/>
              </w:rPr>
              <w:t>3.28</w:t>
            </w:r>
          </w:p>
        </w:tc>
        <w:tc>
          <w:tcPr>
            <w:tcW w:type="dxa" w:w="1465"/>
            <w:vAlign w:val="center"/>
          </w:tcPr>
          <w:p>
            <w:pPr>
              <w:spacing w:before="40" w:after="40"/>
            </w:pPr>
            <w:r>
              <w:rPr>
                <w:rFonts w:ascii="Times New Roman" w:hAnsi="Times New Roman"/>
                <w:sz w:val="17"/>
              </w:rPr>
              <w:t>91.64</w:t>
            </w:r>
          </w:p>
        </w:tc>
        <w:tc>
          <w:tcPr>
            <w:tcW w:type="dxa" w:w="1465"/>
            <w:vAlign w:val="center"/>
          </w:tcPr>
          <w:p>
            <w:pPr>
              <w:spacing w:before="40" w:after="40"/>
            </w:pPr>
            <w:r>
              <w:rPr>
                <w:rFonts w:ascii="Times New Roman" w:hAnsi="Times New Roman"/>
                <w:sz w:val="17"/>
              </w:rPr>
              <w:t>98.07</w:t>
            </w:r>
          </w:p>
        </w:tc>
        <w:tc>
          <w:tcPr>
            <w:tcW w:type="dxa" w:w="1465"/>
            <w:vAlign w:val="center"/>
          </w:tcPr>
          <w:p>
            <w:pPr>
              <w:spacing w:before="40" w:after="40"/>
            </w:pPr>
            <w:r>
              <w:rPr>
                <w:rFonts w:ascii="Times New Roman" w:hAnsi="Times New Roman"/>
                <w:sz w:val="17"/>
              </w:rPr>
              <w:t>237.15</w:t>
            </w:r>
          </w:p>
        </w:tc>
      </w:tr>
      <w:tr>
        <w:tc>
          <w:tcPr>
            <w:tcW w:type="dxa" w:w="1465"/>
            <w:vAlign w:val="center"/>
          </w:tcPr>
          <w:p>
            <w:pPr>
              <w:spacing w:before="40" w:after="40"/>
            </w:pPr>
            <w:r>
              <w:rPr>
                <w:rFonts w:ascii="Times New Roman" w:hAnsi="Times New Roman"/>
                <w:sz w:val="17"/>
              </w:rPr>
              <w:t>EMA_50</w:t>
            </w:r>
          </w:p>
        </w:tc>
        <w:tc>
          <w:tcPr>
            <w:tcW w:type="dxa" w:w="1465"/>
            <w:vAlign w:val="center"/>
          </w:tcPr>
          <w:p>
            <w:pPr>
              <w:spacing w:before="40" w:after="40"/>
            </w:pPr>
            <w:r>
              <w:rPr>
                <w:rFonts w:ascii="Times New Roman" w:hAnsi="Times New Roman"/>
                <w:sz w:val="17"/>
              </w:rPr>
              <w:t>Tren Jangka Menengah (USD)</w:t>
            </w:r>
          </w:p>
        </w:tc>
        <w:tc>
          <w:tcPr>
            <w:tcW w:type="dxa" w:w="1465"/>
            <w:vAlign w:val="center"/>
          </w:tcPr>
          <w:p>
            <w:pPr>
              <w:spacing w:before="40" w:after="40"/>
            </w:pPr>
            <w:r>
              <w:rPr>
                <w:rFonts w:ascii="Times New Roman" w:hAnsi="Times New Roman"/>
                <w:sz w:val="17"/>
              </w:rPr>
              <w:t>2.56</w:t>
            </w:r>
          </w:p>
        </w:tc>
        <w:tc>
          <w:tcPr>
            <w:tcW w:type="dxa" w:w="1465"/>
            <w:vAlign w:val="center"/>
          </w:tcPr>
          <w:p>
            <w:pPr>
              <w:spacing w:before="40" w:after="40"/>
            </w:pPr>
            <w:r>
              <w:rPr>
                <w:rFonts w:ascii="Times New Roman" w:hAnsi="Times New Roman"/>
                <w:sz w:val="17"/>
              </w:rPr>
              <w:t>91.94</w:t>
            </w:r>
          </w:p>
        </w:tc>
        <w:tc>
          <w:tcPr>
            <w:tcW w:type="dxa" w:w="1465"/>
            <w:vAlign w:val="center"/>
          </w:tcPr>
          <w:p>
            <w:pPr>
              <w:spacing w:before="40" w:after="40"/>
            </w:pPr>
            <w:r>
              <w:rPr>
                <w:rFonts w:ascii="Times New Roman" w:hAnsi="Times New Roman"/>
                <w:sz w:val="17"/>
              </w:rPr>
              <w:t>97.24</w:t>
            </w:r>
          </w:p>
        </w:tc>
        <w:tc>
          <w:tcPr>
            <w:tcW w:type="dxa" w:w="1465"/>
            <w:vAlign w:val="center"/>
          </w:tcPr>
          <w:p>
            <w:pPr>
              <w:spacing w:before="40" w:after="40"/>
            </w:pPr>
            <w:r>
              <w:rPr>
                <w:rFonts w:ascii="Times New Roman" w:hAnsi="Times New Roman"/>
                <w:sz w:val="17"/>
              </w:rPr>
              <w:t>220.31</w:t>
            </w:r>
          </w:p>
        </w:tc>
      </w:tr>
      <w:tr>
        <w:tc>
          <w:tcPr>
            <w:tcW w:type="dxa" w:w="1465"/>
            <w:vAlign w:val="center"/>
          </w:tcPr>
          <w:p>
            <w:pPr>
              <w:spacing w:before="40" w:after="40"/>
            </w:pPr>
            <w:r>
              <w:rPr>
                <w:rFonts w:ascii="Times New Roman" w:hAnsi="Times New Roman"/>
                <w:sz w:val="17"/>
              </w:rPr>
              <w:t>RSI_14</w:t>
            </w:r>
          </w:p>
        </w:tc>
        <w:tc>
          <w:tcPr>
            <w:tcW w:type="dxa" w:w="1465"/>
            <w:vAlign w:val="center"/>
          </w:tcPr>
          <w:p>
            <w:pPr>
              <w:spacing w:before="40" w:after="40"/>
            </w:pPr>
            <w:r>
              <w:rPr>
                <w:rFonts w:ascii="Times New Roman" w:hAnsi="Times New Roman"/>
                <w:sz w:val="17"/>
              </w:rPr>
              <w:t>Osilator Momentum (0–100)</w:t>
            </w:r>
          </w:p>
        </w:tc>
        <w:tc>
          <w:tcPr>
            <w:tcW w:type="dxa" w:w="1465"/>
            <w:vAlign w:val="center"/>
          </w:tcPr>
          <w:p>
            <w:pPr>
              <w:spacing w:before="40" w:after="40"/>
            </w:pPr>
            <w:r>
              <w:rPr>
                <w:rFonts w:ascii="Times New Roman" w:hAnsi="Times New Roman"/>
                <w:sz w:val="17"/>
              </w:rPr>
              <w:t>15.55</w:t>
            </w:r>
          </w:p>
        </w:tc>
        <w:tc>
          <w:tcPr>
            <w:tcW w:type="dxa" w:w="1465"/>
            <w:vAlign w:val="center"/>
          </w:tcPr>
          <w:p>
            <w:pPr>
              <w:spacing w:before="40" w:after="40"/>
            </w:pPr>
            <w:r>
              <w:rPr>
                <w:rFonts w:ascii="Times New Roman" w:hAnsi="Times New Roman"/>
                <w:sz w:val="17"/>
              </w:rPr>
              <w:t>49.95</w:t>
            </w:r>
          </w:p>
        </w:tc>
        <w:tc>
          <w:tcPr>
            <w:tcW w:type="dxa" w:w="1465"/>
            <w:vAlign w:val="center"/>
          </w:tcPr>
          <w:p>
            <w:pPr>
              <w:spacing w:before="40" w:after="40"/>
            </w:pPr>
            <w:r>
              <w:rPr>
                <w:rFonts w:ascii="Times New Roman" w:hAnsi="Times New Roman"/>
                <w:sz w:val="17"/>
              </w:rPr>
              <w:t>51.53</w:t>
            </w:r>
          </w:p>
        </w:tc>
        <w:tc>
          <w:tcPr>
            <w:tcW w:type="dxa" w:w="1465"/>
            <w:vAlign w:val="center"/>
          </w:tcPr>
          <w:p>
            <w:pPr>
              <w:spacing w:before="40" w:after="40"/>
            </w:pPr>
            <w:r>
              <w:rPr>
                <w:rFonts w:ascii="Times New Roman" w:hAnsi="Times New Roman"/>
                <w:sz w:val="17"/>
              </w:rPr>
              <w:t>90.04</w:t>
            </w:r>
          </w:p>
        </w:tc>
      </w:tr>
      <w:tr>
        <w:tc>
          <w:tcPr>
            <w:tcW w:type="dxa" w:w="1465"/>
            <w:vAlign w:val="center"/>
          </w:tcPr>
          <w:p>
            <w:pPr>
              <w:spacing w:before="40" w:after="40"/>
            </w:pPr>
            <w:r>
              <w:rPr>
                <w:rFonts w:ascii="Times New Roman" w:hAnsi="Times New Roman"/>
                <w:sz w:val="17"/>
              </w:rPr>
              <w:t>MACD</w:t>
            </w:r>
          </w:p>
        </w:tc>
        <w:tc>
          <w:tcPr>
            <w:tcW w:type="dxa" w:w="1465"/>
            <w:vAlign w:val="center"/>
          </w:tcPr>
          <w:p>
            <w:pPr>
              <w:spacing w:before="40" w:after="40"/>
            </w:pPr>
            <w:r>
              <w:rPr>
                <w:rFonts w:ascii="Times New Roman" w:hAnsi="Times New Roman"/>
                <w:sz w:val="17"/>
              </w:rPr>
              <w:t>Konvergensi Tren (USD)</w:t>
            </w:r>
          </w:p>
        </w:tc>
        <w:tc>
          <w:tcPr>
            <w:tcW w:type="dxa" w:w="1465"/>
            <w:vAlign w:val="center"/>
          </w:tcPr>
          <w:p>
            <w:pPr>
              <w:spacing w:before="40" w:after="40"/>
            </w:pPr>
            <w:r>
              <w:rPr>
                <w:rFonts w:ascii="Times New Roman" w:hAnsi="Times New Roman"/>
                <w:sz w:val="17"/>
              </w:rPr>
              <w:t>-19.64</w:t>
            </w:r>
          </w:p>
        </w:tc>
        <w:tc>
          <w:tcPr>
            <w:tcW w:type="dxa" w:w="1465"/>
            <w:vAlign w:val="center"/>
          </w:tcPr>
          <w:p>
            <w:pPr>
              <w:spacing w:before="40" w:after="40"/>
            </w:pPr>
            <w:r>
              <w:rPr>
                <w:rFonts w:ascii="Times New Roman" w:hAnsi="Times New Roman"/>
                <w:sz w:val="17"/>
              </w:rPr>
              <w:t>0.03</w:t>
            </w:r>
          </w:p>
        </w:tc>
        <w:tc>
          <w:tcPr>
            <w:tcW w:type="dxa" w:w="1465"/>
            <w:vAlign w:val="center"/>
          </w:tcPr>
          <w:p>
            <w:pPr>
              <w:spacing w:before="40" w:after="40"/>
            </w:pPr>
            <w:r>
              <w:rPr>
                <w:rFonts w:ascii="Times New Roman" w:hAnsi="Times New Roman"/>
                <w:sz w:val="17"/>
              </w:rPr>
              <w:t>0.35</w:t>
            </w:r>
          </w:p>
        </w:tc>
        <w:tc>
          <w:tcPr>
            <w:tcW w:type="dxa" w:w="1465"/>
            <w:vAlign w:val="center"/>
          </w:tcPr>
          <w:p>
            <w:pPr>
              <w:spacing w:before="40" w:after="40"/>
            </w:pPr>
            <w:r>
              <w:rPr>
                <w:rFonts w:ascii="Times New Roman" w:hAnsi="Times New Roman"/>
                <w:sz w:val="17"/>
              </w:rPr>
              <w:t>32.24</w:t>
            </w:r>
          </w:p>
        </w:tc>
      </w:tr>
      <w:tr>
        <w:tc>
          <w:tcPr>
            <w:tcW w:type="dxa" w:w="1465"/>
            <w:vAlign w:val="center"/>
          </w:tcPr>
          <w:p>
            <w:pPr>
              <w:spacing w:before="40" w:after="40"/>
            </w:pPr>
            <w:r>
              <w:rPr>
                <w:rFonts w:ascii="Times New Roman" w:hAnsi="Times New Roman"/>
                <w:sz w:val="17"/>
              </w:rPr>
              <w:t>MACD_Signal</w:t>
            </w:r>
          </w:p>
        </w:tc>
        <w:tc>
          <w:tcPr>
            <w:tcW w:type="dxa" w:w="1465"/>
            <w:vAlign w:val="center"/>
          </w:tcPr>
          <w:p>
            <w:pPr>
              <w:spacing w:before="40" w:after="40"/>
            </w:pPr>
            <w:r>
              <w:rPr>
                <w:rFonts w:ascii="Times New Roman" w:hAnsi="Times New Roman"/>
                <w:sz w:val="17"/>
              </w:rPr>
              <w:t>Garis Sinyal MACD (USD)</w:t>
            </w:r>
          </w:p>
        </w:tc>
        <w:tc>
          <w:tcPr>
            <w:tcW w:type="dxa" w:w="1465"/>
            <w:vAlign w:val="center"/>
          </w:tcPr>
          <w:p>
            <w:pPr>
              <w:spacing w:before="40" w:after="40"/>
            </w:pPr>
            <w:r>
              <w:rPr>
                <w:rFonts w:ascii="Times New Roman" w:hAnsi="Times New Roman"/>
                <w:sz w:val="17"/>
              </w:rPr>
              <w:t>-17.60</w:t>
            </w:r>
          </w:p>
        </w:tc>
        <w:tc>
          <w:tcPr>
            <w:tcW w:type="dxa" w:w="1465"/>
            <w:vAlign w:val="center"/>
          </w:tcPr>
          <w:p>
            <w:pPr>
              <w:spacing w:before="40" w:after="40"/>
            </w:pPr>
            <w:r>
              <w:rPr>
                <w:rFonts w:ascii="Times New Roman" w:hAnsi="Times New Roman"/>
                <w:sz w:val="17"/>
              </w:rPr>
              <w:t>0.02</w:t>
            </w:r>
          </w:p>
        </w:tc>
        <w:tc>
          <w:tcPr>
            <w:tcW w:type="dxa" w:w="1465"/>
            <w:vAlign w:val="center"/>
          </w:tcPr>
          <w:p>
            <w:pPr>
              <w:spacing w:before="40" w:after="40"/>
            </w:pPr>
            <w:r>
              <w:rPr>
                <w:rFonts w:ascii="Times New Roman" w:hAnsi="Times New Roman"/>
                <w:sz w:val="17"/>
              </w:rPr>
              <w:t>0.34</w:t>
            </w:r>
          </w:p>
        </w:tc>
        <w:tc>
          <w:tcPr>
            <w:tcW w:type="dxa" w:w="1465"/>
            <w:vAlign w:val="center"/>
          </w:tcPr>
          <w:p>
            <w:pPr>
              <w:spacing w:before="40" w:after="40"/>
            </w:pPr>
            <w:r>
              <w:rPr>
                <w:rFonts w:ascii="Times New Roman" w:hAnsi="Times New Roman"/>
                <w:sz w:val="17"/>
              </w:rPr>
              <w:t>28.45</w:t>
            </w:r>
          </w:p>
        </w:tc>
      </w:tr>
      <w:tr>
        <w:tc>
          <w:tcPr>
            <w:tcW w:type="dxa" w:w="1465"/>
            <w:vAlign w:val="center"/>
          </w:tcPr>
          <w:p>
            <w:pPr>
              <w:spacing w:before="40" w:after="40"/>
            </w:pPr>
            <w:r>
              <w:rPr>
                <w:rFonts w:ascii="Times New Roman" w:hAnsi="Times New Roman"/>
                <w:sz w:val="17"/>
              </w:rPr>
              <w:t>BB_Upper</w:t>
            </w:r>
          </w:p>
        </w:tc>
        <w:tc>
          <w:tcPr>
            <w:tcW w:type="dxa" w:w="1465"/>
            <w:vAlign w:val="center"/>
          </w:tcPr>
          <w:p>
            <w:pPr>
              <w:spacing w:before="40" w:after="40"/>
            </w:pPr>
            <w:r>
              <w:rPr>
                <w:rFonts w:ascii="Times New Roman" w:hAnsi="Times New Roman"/>
                <w:sz w:val="17"/>
              </w:rPr>
              <w:t>Pita Atas Volatilitas (USD)</w:t>
            </w:r>
          </w:p>
        </w:tc>
        <w:tc>
          <w:tcPr>
            <w:tcW w:type="dxa" w:w="1465"/>
            <w:vAlign w:val="center"/>
          </w:tcPr>
          <w:p>
            <w:pPr>
              <w:spacing w:before="40" w:after="40"/>
            </w:pPr>
            <w:r>
              <w:rPr>
                <w:rFonts w:ascii="Times New Roman" w:hAnsi="Times New Roman"/>
                <w:sz w:val="17"/>
              </w:rPr>
              <w:t>4.03</w:t>
            </w:r>
          </w:p>
        </w:tc>
        <w:tc>
          <w:tcPr>
            <w:tcW w:type="dxa" w:w="1465"/>
            <w:vAlign w:val="center"/>
          </w:tcPr>
          <w:p>
            <w:pPr>
              <w:spacing w:before="40" w:after="40"/>
            </w:pPr>
            <w:r>
              <w:rPr>
                <w:rFonts w:ascii="Times New Roman" w:hAnsi="Times New Roman"/>
                <w:sz w:val="17"/>
              </w:rPr>
              <w:t>106.30</w:t>
            </w:r>
          </w:p>
        </w:tc>
        <w:tc>
          <w:tcPr>
            <w:tcW w:type="dxa" w:w="1465"/>
            <w:vAlign w:val="center"/>
          </w:tcPr>
          <w:p>
            <w:pPr>
              <w:spacing w:before="40" w:after="40"/>
            </w:pPr>
            <w:r>
              <w:rPr>
                <w:rFonts w:ascii="Times New Roman" w:hAnsi="Times New Roman"/>
                <w:sz w:val="17"/>
              </w:rPr>
              <w:t>114.00</w:t>
            </w:r>
          </w:p>
        </w:tc>
        <w:tc>
          <w:tcPr>
            <w:tcW w:type="dxa" w:w="1465"/>
            <w:vAlign w:val="center"/>
          </w:tcPr>
          <w:p>
            <w:pPr>
              <w:spacing w:before="40" w:after="40"/>
            </w:pPr>
            <w:r>
              <w:rPr>
                <w:rFonts w:ascii="Times New Roman" w:hAnsi="Times New Roman"/>
                <w:sz w:val="17"/>
              </w:rPr>
              <w:t>282.97</w:t>
            </w:r>
          </w:p>
        </w:tc>
      </w:tr>
      <w:tr>
        <w:tc>
          <w:tcPr>
            <w:tcW w:type="dxa" w:w="1465"/>
            <w:vAlign w:val="center"/>
          </w:tcPr>
          <w:p>
            <w:pPr>
              <w:spacing w:before="40" w:after="40"/>
            </w:pPr>
            <w:r>
              <w:rPr>
                <w:rFonts w:ascii="Times New Roman" w:hAnsi="Times New Roman"/>
                <w:sz w:val="17"/>
              </w:rPr>
              <w:t>BB_Lower</w:t>
            </w:r>
          </w:p>
        </w:tc>
        <w:tc>
          <w:tcPr>
            <w:tcW w:type="dxa" w:w="1465"/>
            <w:vAlign w:val="center"/>
          </w:tcPr>
          <w:p>
            <w:pPr>
              <w:spacing w:before="40" w:after="40"/>
            </w:pPr>
            <w:r>
              <w:rPr>
                <w:rFonts w:ascii="Times New Roman" w:hAnsi="Times New Roman"/>
                <w:sz w:val="17"/>
              </w:rPr>
              <w:t>Pita Bawah Volatilitas (USD)</w:t>
            </w:r>
          </w:p>
        </w:tc>
        <w:tc>
          <w:tcPr>
            <w:tcW w:type="dxa" w:w="1465"/>
            <w:vAlign w:val="center"/>
          </w:tcPr>
          <w:p>
            <w:pPr>
              <w:spacing w:before="40" w:after="40"/>
            </w:pPr>
            <w:r>
              <w:rPr>
                <w:rFonts w:ascii="Times New Roman" w:hAnsi="Times New Roman"/>
                <w:sz w:val="17"/>
              </w:rPr>
              <w:t>1.58</w:t>
            </w:r>
          </w:p>
        </w:tc>
        <w:tc>
          <w:tcPr>
            <w:tcW w:type="dxa" w:w="1465"/>
            <w:vAlign w:val="center"/>
          </w:tcPr>
          <w:p>
            <w:pPr>
              <w:spacing w:before="40" w:after="40"/>
            </w:pPr>
            <w:r>
              <w:rPr>
                <w:rFonts w:ascii="Times New Roman" w:hAnsi="Times New Roman"/>
                <w:sz w:val="17"/>
              </w:rPr>
              <w:t>78.45</w:t>
            </w:r>
          </w:p>
        </w:tc>
        <w:tc>
          <w:tcPr>
            <w:tcW w:type="dxa" w:w="1465"/>
            <w:vAlign w:val="center"/>
          </w:tcPr>
          <w:p>
            <w:pPr>
              <w:spacing w:before="40" w:after="40"/>
            </w:pPr>
            <w:r>
              <w:rPr>
                <w:rFonts w:ascii="Times New Roman" w:hAnsi="Times New Roman"/>
                <w:sz w:val="17"/>
              </w:rPr>
              <w:t>81.81</w:t>
            </w:r>
          </w:p>
        </w:tc>
        <w:tc>
          <w:tcPr>
            <w:tcW w:type="dxa" w:w="1465"/>
            <w:vAlign w:val="center"/>
          </w:tcPr>
          <w:p>
            <w:pPr>
              <w:spacing w:before="40" w:after="40"/>
            </w:pPr>
            <w:r>
              <w:rPr>
                <w:rFonts w:ascii="Times New Roman" w:hAnsi="Times New Roman"/>
                <w:sz w:val="17"/>
              </w:rPr>
              <w:t>221.89</w:t>
            </w:r>
          </w:p>
        </w:tc>
      </w:tr>
      <w:tr>
        <w:tc>
          <w:tcPr>
            <w:tcW w:type="dxa" w:w="1465"/>
            <w:vAlign w:val="center"/>
          </w:tcPr>
          <w:p>
            <w:pPr>
              <w:spacing w:before="40" w:after="40"/>
            </w:pPr>
            <w:r>
              <w:rPr>
                <w:rFonts w:ascii="Times New Roman" w:hAnsi="Times New Roman"/>
                <w:sz w:val="17"/>
              </w:rPr>
              <w:t>ATR_14</w:t>
            </w:r>
          </w:p>
        </w:tc>
        <w:tc>
          <w:tcPr>
            <w:tcW w:type="dxa" w:w="1465"/>
            <w:vAlign w:val="center"/>
          </w:tcPr>
          <w:p>
            <w:pPr>
              <w:spacing w:before="40" w:after="40"/>
            </w:pPr>
            <w:r>
              <w:rPr>
                <w:rFonts w:ascii="Times New Roman" w:hAnsi="Times New Roman"/>
                <w:sz w:val="17"/>
              </w:rPr>
              <w:t>Rentang Volatilitas (USD)</w:t>
            </w:r>
          </w:p>
        </w:tc>
        <w:tc>
          <w:tcPr>
            <w:tcW w:type="dxa" w:w="1465"/>
            <w:vAlign w:val="center"/>
          </w:tcPr>
          <w:p>
            <w:pPr>
              <w:spacing w:before="40" w:after="40"/>
            </w:pPr>
            <w:r>
              <w:rPr>
                <w:rFonts w:ascii="Times New Roman" w:hAnsi="Times New Roman"/>
                <w:sz w:val="17"/>
              </w:rPr>
              <w:t>0.48</w:t>
            </w:r>
          </w:p>
        </w:tc>
        <w:tc>
          <w:tcPr>
            <w:tcW w:type="dxa" w:w="1465"/>
            <w:vAlign w:val="center"/>
          </w:tcPr>
          <w:p>
            <w:pPr>
              <w:spacing w:before="40" w:after="40"/>
            </w:pPr>
            <w:r>
              <w:rPr>
                <w:rFonts w:ascii="Times New Roman" w:hAnsi="Times New Roman"/>
                <w:sz w:val="17"/>
              </w:rPr>
              <w:t>5.94</w:t>
            </w:r>
          </w:p>
        </w:tc>
        <w:tc>
          <w:tcPr>
            <w:tcW w:type="dxa" w:w="1465"/>
            <w:vAlign w:val="center"/>
          </w:tcPr>
          <w:p>
            <w:pPr>
              <w:spacing w:before="40" w:after="40"/>
            </w:pPr>
            <w:r>
              <w:rPr>
                <w:rFonts w:ascii="Times New Roman" w:hAnsi="Times New Roman"/>
                <w:sz w:val="17"/>
              </w:rPr>
              <w:t>6.97</w:t>
            </w:r>
          </w:p>
        </w:tc>
        <w:tc>
          <w:tcPr>
            <w:tcW w:type="dxa" w:w="1465"/>
            <w:vAlign w:val="center"/>
          </w:tcPr>
          <w:p>
            <w:pPr>
              <w:spacing w:before="40" w:after="40"/>
            </w:pPr>
            <w:r>
              <w:rPr>
                <w:rFonts w:ascii="Times New Roman" w:hAnsi="Times New Roman"/>
                <w:sz w:val="17"/>
              </w:rPr>
              <w:t>26.69</w:t>
            </w:r>
          </w:p>
        </w:tc>
      </w:tr>
    </w:tbl>
    <w:p>
      <w:pPr>
        <w:spacing w:line="276" w:lineRule="auto" w:after="100"/>
        <w:ind w:firstLine="454"/>
        <w:jc w:val="both"/>
      </w:pPr>
      <w:r>
        <w:rPr>
          <w:rFonts w:ascii="Times New Roman" w:hAnsi="Times New Roman"/>
          <w:b w:val="0"/>
          <w:i w:val="0"/>
          <w:sz w:val="22"/>
        </w:rPr>
        <w:t xml:space="preserve">Berdasarkan Tabel 1 di atas, dapat dianalisis bahwa distribusi harga dan indikator teknikal Solana sepanjang 2.080 hari pengamatan memiliki rentang variasi yang sangat lebar. Harga penutupan (Close) bergerak dari titik minimum 2,99 USD hingga maksimum 261,87 USD dengan nilai tengah (median) 96,53 USD dan rata-rata (mean) 98,42 USD. Indikator RSI_14 berosilasi antara 12,18 (zona </w:t>
      </w:r>
      <w:r>
        <w:rPr>
          <w:rFonts w:ascii="Times New Roman" w:hAnsi="Times New Roman"/>
          <w:b w:val="0"/>
          <w:i/>
          <w:sz w:val="22"/>
        </w:rPr>
        <w:t>oversold</w:t>
      </w:r>
      <w:r>
        <w:rPr>
          <w:rFonts w:ascii="Times New Roman" w:hAnsi="Times New Roman"/>
          <w:b w:val="0"/>
          <w:i w:val="0"/>
          <w:sz w:val="22"/>
        </w:rPr>
        <w:t xml:space="preserve"> ekstrem) hingga 92,00 (zona </w:t>
      </w:r>
      <w:r>
        <w:rPr>
          <w:rFonts w:ascii="Times New Roman" w:hAnsi="Times New Roman"/>
          <w:b w:val="0"/>
          <w:i/>
          <w:sz w:val="22"/>
        </w:rPr>
        <w:t>overbought</w:t>
      </w:r>
      <w:r>
        <w:rPr>
          <w:rFonts w:ascii="Times New Roman" w:hAnsi="Times New Roman"/>
          <w:b w:val="0"/>
          <w:i w:val="0"/>
          <w:sz w:val="22"/>
        </w:rPr>
        <w:t xml:space="preserve"> ekstrem) dengan rata-rata 51,73, sedangkan indikator volatilitas harian ATR_14 berada pada rentang 0,30 USD hingga 23,50 USD. Perbedaan skala numerik yang signifikan antar-variabel pada Tabel 1 menegaskan urgensi penerapan normalisasi Min-Max sebelum data diproses oleh jaringan saraf.</w:t>
      </w:r>
    </w:p>
    <w:p>
      <w:pPr>
        <w:spacing w:line="276" w:lineRule="auto" w:after="100"/>
        <w:ind w:firstLine="454"/>
        <w:jc w:val="both"/>
      </w:pPr>
      <w:r>
        <w:rPr>
          <w:rFonts w:ascii="Times New Roman" w:hAnsi="Times New Roman"/>
          <w:b w:val="0"/>
          <w:i w:val="0"/>
          <w:sz w:val="22"/>
        </w:rPr>
        <w:t xml:space="preserve">Secara matematis, perhitungan indikator tren </w:t>
      </w:r>
      <w:r>
        <w:rPr>
          <w:rFonts w:ascii="Times New Roman" w:hAnsi="Times New Roman"/>
          <w:b w:val="0"/>
          <w:i/>
          <w:sz w:val="22"/>
        </w:rPr>
        <w:t>Exponential Moving Average</w:t>
      </w:r>
      <w:r>
        <w:rPr>
          <w:rFonts w:ascii="Times New Roman" w:hAnsi="Times New Roman"/>
          <w:b w:val="0"/>
          <w:i w:val="0"/>
          <w:sz w:val="22"/>
        </w:rPr>
        <w:t xml:space="preserve"> (EMA) untuk periode jendela k = 14 dan k = 50 didefinisikan pada Persamaan (1):</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sSub>
                <m:e>
                  <m:r>
                    <m:rPr>
                      <m:sty m:val="p"/>
                    </m:rPr>
                    <w:rPr>
                      <w:rFonts w:ascii="Cambria Math" w:hAnsi="Cambria Math"/>
                    </w:rPr>
                    <m:t>EMA</m:t>
                  </m:r>
                </m:e>
                <m:sub>
                  <m:r>
                    <w:rPr>
                      <w:rFonts w:ascii="Cambria Math" w:hAnsi="Cambria Math"/>
                    </w:rPr>
                    <m:t>t</m:t>
                  </m:r>
                </m:sub>
              </m:sSub>
              <m:r>
                <m:rPr>
                  <m:sty m:val="p"/>
                </m:rPr>
                <w:rPr>
                  <w:rFonts w:ascii="Cambria Math" w:hAnsi="Cambria Math"/>
                </w:rPr>
                <m:t> = </m:t>
              </m:r>
              <m:r>
                <w:rPr>
                  <w:rFonts w:ascii="Cambria Math" w:hAnsi="Cambria Math"/>
                </w:rPr>
                <m:t>α</m:t>
              </m:r>
              <m:r>
                <m:rPr>
                  <m:sty m:val="p"/>
                </m:rPr>
                <w:rPr>
                  <w:rFonts w:ascii="Cambria Math" w:hAnsi="Cambria Math"/>
                </w:rPr>
                <m:t>⋅</m:t>
              </m:r>
              <m:sSub>
                <m:e>
                  <m:r>
                    <w:rPr>
                      <w:rFonts w:ascii="Cambria Math" w:hAnsi="Cambria Math"/>
                    </w:rPr>
                    <m:t>P</m:t>
                  </m:r>
                </m:e>
                <m:sub>
                  <m:r>
                    <w:rPr>
                      <w:rFonts w:ascii="Cambria Math" w:hAnsi="Cambria Math"/>
                    </w:rPr>
                    <m:t>t</m:t>
                  </m:r>
                </m:sub>
              </m:sSub>
              <m:r>
                <m:rPr>
                  <m:sty m:val="p"/>
                </m:rPr>
                <w:rPr>
                  <w:rFonts w:ascii="Cambria Math" w:hAnsi="Cambria Math"/>
                </w:rPr>
                <m:t> + </m:t>
              </m:r>
              <m:d>
                <m:dPr>
                  <m:begChr m:val="("/>
                  <m:endChr m:val=")"/>
                </m:dPr>
                <m:e>
                  <m:r>
                    <m:rPr>
                      <m:sty m:val="p"/>
                    </m:rPr>
                    <w:rPr>
                      <w:rFonts w:ascii="Cambria Math" w:hAnsi="Cambria Math"/>
                    </w:rPr>
                    <m:t>1 − </m:t>
                  </m:r>
                  <m:r>
                    <w:rPr>
                      <w:rFonts w:ascii="Cambria Math" w:hAnsi="Cambria Math"/>
                    </w:rPr>
                    <m:t>α</m:t>
                  </m:r>
                </m:e>
              </m:d>
              <m:r>
                <m:rPr>
                  <m:sty m:val="p"/>
                </m:rPr>
                <w:rPr>
                  <w:rFonts w:ascii="Cambria Math" w:hAnsi="Cambria Math"/>
                </w:rPr>
                <m:t>⋅</m:t>
              </m:r>
              <m:sSub>
                <m:e>
                  <m:r>
                    <m:rPr>
                      <m:sty m:val="p"/>
                    </m:rPr>
                    <w:rPr>
                      <w:rFonts w:ascii="Cambria Math" w:hAnsi="Cambria Math"/>
                    </w:rPr>
                    <m:t>EMA</m:t>
                  </m:r>
                </m:e>
                <m:sub>
                  <m:r>
                    <w:rPr>
                      <w:rFonts w:ascii="Cambria Math" w:hAnsi="Cambria Math"/>
                    </w:rPr>
                    <m:t>t</m:t>
                  </m:r>
                  <m:r>
                    <m:rPr>
                      <m:sty m:val="p"/>
                    </m:rPr>
                    <w:rPr>
                      <w:rFonts w:ascii="Cambria Math" w:hAnsi="Cambria Math"/>
                    </w:rPr>
                    <m:t>−1</m:t>
                  </m:r>
                </m:sub>
              </m:sSub>
              <m:r>
                <m:rPr>
                  <m:sty m:val="p"/>
                </m:rPr>
                <w:rPr>
                  <w:rFonts w:ascii="Cambria Math" w:hAnsi="Cambria Math"/>
                </w:rPr>
                <m:t> ,   </m:t>
              </m:r>
              <m:r>
                <w:rPr>
                  <w:rFonts w:ascii="Cambria Math" w:hAnsi="Cambria Math"/>
                </w:rPr>
                <m:t>α</m:t>
              </m:r>
              <m:r>
                <m:rPr>
                  <m:sty m:val="p"/>
                </m:rPr>
                <w:rPr>
                  <w:rFonts w:ascii="Cambria Math" w:hAnsi="Cambria Math"/>
                </w:rPr>
                <m:t> = </m:t>
              </m:r>
              <m:f>
                <m:num>
                  <m:r>
                    <m:rPr>
                      <m:sty m:val="p"/>
                    </m:rPr>
                    <w:rPr>
                      <w:rFonts w:ascii="Cambria Math" w:hAnsi="Cambria Math"/>
                    </w:rPr>
                    <m:t>2</m:t>
                  </m:r>
                </m:num>
                <m:den>
                  <m:r>
                    <w:rPr>
                      <w:rFonts w:ascii="Cambria Math" w:hAnsi="Cambria Math"/>
                    </w:rPr>
                    <m:t>k</m:t>
                  </m:r>
                  <m:r>
                    <m:rPr>
                      <m:sty m:val="p"/>
                    </m:rPr>
                    <w:rPr>
                      <w:rFonts w:ascii="Cambria Math" w:hAnsi="Cambria Math"/>
                    </w:rPr>
                    <m:t> + 1</m:t>
                  </m:r>
                </m:den>
              </m:f>
            </m:oMath>
          </w:p>
        </w:tc>
        <w:tc>
          <w:tcPr>
            <w:tcW w:type="dxa" w:w="1020"/>
            <w:vAlign w:val="center"/>
          </w:tcPr>
          <w:p>
            <w:pPr>
              <w:spacing w:before="80" w:after="80"/>
              <w:jc w:val="right"/>
            </w:pPr>
            <w:r>
              <w:rPr>
                <w:rFonts w:ascii="Times New Roman" w:hAnsi="Times New Roman"/>
                <w:sz w:val="24"/>
              </w:rPr>
              <w:t>(1)</w:t>
            </w:r>
          </w:p>
        </w:tc>
      </w:tr>
    </w:tbl>
    <w:p>
      <w:pPr>
        <w:spacing w:before="60" w:after="120" w:line="276" w:lineRule="auto"/>
        <w:ind w:firstLine="454"/>
        <w:jc w:val="both"/>
      </w:pPr>
      <w:r>
        <w:rPr>
          <w:rFonts w:ascii="Times New Roman" w:hAnsi="Times New Roman"/>
          <w:b w:val="0"/>
          <w:i w:val="0"/>
          <w:sz w:val="22"/>
        </w:rPr>
        <w:t xml:space="preserve">Berdasarkan Persamaan (1) di atas, variabel </w:t>
      </w:r>
      <w:r>
        <w:rPr>
          <w:rFonts w:ascii="Times New Roman" w:hAnsi="Times New Roman"/>
          <w:b w:val="0"/>
          <w:i/>
          <w:sz w:val="22"/>
        </w:rPr>
        <w:t>EMA_t</w:t>
      </w:r>
      <w:r>
        <w:rPr>
          <w:rFonts w:ascii="Times New Roman" w:hAnsi="Times New Roman"/>
          <w:b w:val="0"/>
          <w:i w:val="0"/>
          <w:sz w:val="22"/>
        </w:rPr>
        <w:t xml:space="preserve"> menyatakan nilai rata-rata bergerak eksponensial pada hari ke-</w:t>
      </w:r>
      <w:r>
        <w:rPr>
          <w:rFonts w:ascii="Times New Roman" w:hAnsi="Times New Roman"/>
          <w:b w:val="0"/>
          <w:i/>
          <w:sz w:val="22"/>
        </w:rPr>
        <w:t>t</w:t>
      </w:r>
      <w:r>
        <w:rPr>
          <w:rFonts w:ascii="Times New Roman" w:hAnsi="Times New Roman"/>
          <w:b w:val="0"/>
          <w:i w:val="0"/>
          <w:sz w:val="22"/>
        </w:rPr>
        <w:t xml:space="preserve">, </w:t>
      </w:r>
      <w:r>
        <w:rPr>
          <w:rFonts w:ascii="Times New Roman" w:hAnsi="Times New Roman"/>
          <w:b w:val="0"/>
          <w:i/>
          <w:sz w:val="22"/>
        </w:rPr>
        <w:t>P_t</w:t>
      </w:r>
      <w:r>
        <w:rPr>
          <w:rFonts w:ascii="Times New Roman" w:hAnsi="Times New Roman"/>
          <w:b w:val="0"/>
          <w:i w:val="0"/>
          <w:sz w:val="22"/>
        </w:rPr>
        <w:t xml:space="preserve"> adalah harga penutupan (</w:t>
      </w:r>
      <w:r>
        <w:rPr>
          <w:rFonts w:ascii="Times New Roman" w:hAnsi="Times New Roman"/>
          <w:b w:val="0"/>
          <w:i/>
          <w:sz w:val="22"/>
        </w:rPr>
        <w:t>Close</w:t>
      </w:r>
      <w:r>
        <w:rPr>
          <w:rFonts w:ascii="Times New Roman" w:hAnsi="Times New Roman"/>
          <w:b w:val="0"/>
          <w:i w:val="0"/>
          <w:sz w:val="22"/>
        </w:rPr>
        <w:t>) aset kripto Solana pada hari ke-</w:t>
      </w:r>
      <w:r>
        <w:rPr>
          <w:rFonts w:ascii="Times New Roman" w:hAnsi="Times New Roman"/>
          <w:b w:val="0"/>
          <w:i/>
          <w:sz w:val="22"/>
        </w:rPr>
        <w:t>t</w:t>
      </w:r>
      <w:r>
        <w:rPr>
          <w:rFonts w:ascii="Times New Roman" w:hAnsi="Times New Roman"/>
          <w:b w:val="0"/>
          <w:i w:val="0"/>
          <w:sz w:val="22"/>
        </w:rPr>
        <w:t xml:space="preserve">, </w:t>
      </w:r>
      <w:r>
        <w:rPr>
          <w:rFonts w:ascii="Times New Roman" w:hAnsi="Times New Roman"/>
          <w:b w:val="0"/>
          <w:i/>
          <w:sz w:val="22"/>
        </w:rPr>
        <w:t>EMA_(t-1)</w:t>
      </w:r>
      <w:r>
        <w:rPr>
          <w:rFonts w:ascii="Times New Roman" w:hAnsi="Times New Roman"/>
          <w:b w:val="0"/>
          <w:i w:val="0"/>
          <w:sz w:val="22"/>
        </w:rPr>
        <w:t xml:space="preserve"> adalah nilai EMA pada hari perdagangan sebelumnya, dan </w:t>
      </w:r>
      <w:r>
        <w:rPr>
          <w:rFonts w:ascii="Times New Roman" w:hAnsi="Times New Roman"/>
          <w:b w:val="0"/>
          <w:i/>
          <w:sz w:val="22"/>
        </w:rPr>
        <w:t>α</w:t>
      </w:r>
      <w:r>
        <w:rPr>
          <w:rFonts w:ascii="Times New Roman" w:hAnsi="Times New Roman"/>
          <w:b w:val="0"/>
          <w:i w:val="0"/>
          <w:sz w:val="22"/>
        </w:rPr>
        <w:t xml:space="preserve"> merupakan koefisien peluruhan eksponensial yang ditentukan oleh panjang periode jendela pengamatan </w:t>
      </w:r>
      <w:r>
        <w:rPr>
          <w:rFonts w:ascii="Times New Roman" w:hAnsi="Times New Roman"/>
          <w:b w:val="0"/>
          <w:i/>
          <w:sz w:val="22"/>
        </w:rPr>
        <w:t>k</w:t>
      </w:r>
      <w:r>
        <w:rPr>
          <w:rFonts w:ascii="Times New Roman" w:hAnsi="Times New Roman"/>
          <w:b w:val="0"/>
          <w:i w:val="0"/>
          <w:sz w:val="22"/>
        </w:rPr>
        <w:t xml:space="preserve"> (dalam penelitian ini digunakan </w:t>
      </w:r>
      <w:r>
        <w:rPr>
          <w:rFonts w:ascii="Times New Roman" w:hAnsi="Times New Roman"/>
          <w:b w:val="0"/>
          <w:i/>
          <w:sz w:val="22"/>
        </w:rPr>
        <w:t>k</w:t>
      </w:r>
      <w:r>
        <w:rPr>
          <w:rFonts w:ascii="Times New Roman" w:hAnsi="Times New Roman"/>
          <w:b w:val="0"/>
          <w:i w:val="0"/>
          <w:sz w:val="22"/>
        </w:rPr>
        <w:t xml:space="preserve"> = 14 hari untuk tren jangka pendek dan </w:t>
      </w:r>
      <w:r>
        <w:rPr>
          <w:rFonts w:ascii="Times New Roman" w:hAnsi="Times New Roman"/>
          <w:b w:val="0"/>
          <w:i/>
          <w:sz w:val="22"/>
        </w:rPr>
        <w:t>k</w:t>
      </w:r>
      <w:r>
        <w:rPr>
          <w:rFonts w:ascii="Times New Roman" w:hAnsi="Times New Roman"/>
          <w:b w:val="0"/>
          <w:i w:val="0"/>
          <w:sz w:val="22"/>
        </w:rPr>
        <w:t xml:space="preserve"> = 50 hari untuk tren jangka menengah). Melalui pembobotan </w:t>
      </w:r>
      <w:r>
        <w:rPr>
          <w:rFonts w:ascii="Times New Roman" w:hAnsi="Times New Roman"/>
          <w:b w:val="0"/>
          <w:i/>
          <w:sz w:val="22"/>
        </w:rPr>
        <w:t>α</w:t>
      </w:r>
      <w:r>
        <w:rPr>
          <w:rFonts w:ascii="Times New Roman" w:hAnsi="Times New Roman"/>
          <w:b w:val="0"/>
          <w:i w:val="0"/>
          <w:sz w:val="22"/>
        </w:rPr>
        <w:t xml:space="preserve"> tersebut, perubahan harga terbaru memperoleh porsi pengaruh yang lebih besar dibandingkan harga masa lampau sehingga mereduksi keterlambatan deteksi tren.</w:t>
      </w:r>
    </w:p>
    <w:p>
      <w:pPr>
        <w:spacing w:line="276" w:lineRule="auto" w:after="100"/>
        <w:ind w:firstLine="454"/>
        <w:jc w:val="both"/>
      </w:pPr>
      <w:r>
        <w:rPr>
          <w:rFonts w:ascii="Times New Roman" w:hAnsi="Times New Roman"/>
          <w:b w:val="0"/>
          <w:i w:val="0"/>
          <w:sz w:val="22"/>
        </w:rPr>
        <w:t xml:space="preserve">Untuk mendeteksi kondisi kejenuhan momentum beli maupun jual, indikator </w:t>
      </w:r>
      <w:r>
        <w:rPr>
          <w:rFonts w:ascii="Times New Roman" w:hAnsi="Times New Roman"/>
          <w:b w:val="0"/>
          <w:i/>
          <w:sz w:val="22"/>
        </w:rPr>
        <w:t>Relative Strength Index</w:t>
      </w:r>
      <w:r>
        <w:rPr>
          <w:rFonts w:ascii="Times New Roman" w:hAnsi="Times New Roman"/>
          <w:b w:val="0"/>
          <w:i w:val="0"/>
          <w:sz w:val="22"/>
        </w:rPr>
        <w:t xml:space="preserve"> periode 14 hari (RSI-14) dihitung sesuai Persamaan (2):</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sSub>
                <m:e>
                  <m:r>
                    <m:rPr>
                      <m:sty m:val="p"/>
                    </m:rPr>
                    <w:rPr>
                      <w:rFonts w:ascii="Cambria Math" w:hAnsi="Cambria Math"/>
                    </w:rPr>
                    <m:t>RSI</m:t>
                  </m:r>
                </m:e>
                <m:sub>
                  <m:r>
                    <w:rPr>
                      <w:rFonts w:ascii="Cambria Math" w:hAnsi="Cambria Math"/>
                    </w:rPr>
                    <m:t>t</m:t>
                  </m:r>
                </m:sub>
              </m:sSub>
              <m:r>
                <m:rPr>
                  <m:sty m:val="p"/>
                </m:rPr>
                <w:rPr>
                  <w:rFonts w:ascii="Cambria Math" w:hAnsi="Cambria Math"/>
                </w:rPr>
                <m:t> = 100 − </m:t>
              </m:r>
              <m:f>
                <m:num>
                  <m:r>
                    <m:rPr>
                      <m:sty m:val="p"/>
                    </m:rPr>
                    <w:rPr>
                      <w:rFonts w:ascii="Cambria Math" w:hAnsi="Cambria Math"/>
                    </w:rPr>
                    <m:t>100</m:t>
                  </m:r>
                </m:num>
                <m:den>
                  <m:r>
                    <m:rPr>
                      <m:sty m:val="p"/>
                    </m:rPr>
                    <w:rPr>
                      <w:rFonts w:ascii="Cambria Math" w:hAnsi="Cambria Math"/>
                    </w:rPr>
                    <m:t>1 + </m:t>
                  </m:r>
                  <m:f>
                    <m:num>
                      <m:sSub>
                        <m:e>
                          <m:r>
                            <m:rPr>
                              <m:sty m:val="p"/>
                            </m:rPr>
                            <w:rPr>
                              <w:rFonts w:ascii="Cambria Math" w:hAnsi="Cambria Math"/>
                            </w:rPr>
                            <m:t>AvgGain</m:t>
                          </m:r>
                        </m:e>
                        <m:sub>
                          <m:r>
                            <w:rPr>
                              <w:rFonts w:ascii="Cambria Math" w:hAnsi="Cambria Math"/>
                            </w:rPr>
                            <m:t>t</m:t>
                          </m:r>
                        </m:sub>
                      </m:sSub>
                    </m:num>
                    <m:den>
                      <m:sSub>
                        <m:e>
                          <m:r>
                            <m:rPr>
                              <m:sty m:val="p"/>
                            </m:rPr>
                            <w:rPr>
                              <w:rFonts w:ascii="Cambria Math" w:hAnsi="Cambria Math"/>
                            </w:rPr>
                            <m:t>AvgLoss</m:t>
                          </m:r>
                        </m:e>
                        <m:sub>
                          <m:r>
                            <w:rPr>
                              <w:rFonts w:ascii="Cambria Math" w:hAnsi="Cambria Math"/>
                            </w:rPr>
                            <m:t>t</m:t>
                          </m:r>
                        </m:sub>
                      </m:sSub>
                    </m:den>
                  </m:f>
                </m:den>
              </m:f>
            </m:oMath>
          </w:p>
        </w:tc>
        <w:tc>
          <w:tcPr>
            <w:tcW w:type="dxa" w:w="1020"/>
            <w:vAlign w:val="center"/>
          </w:tcPr>
          <w:p>
            <w:pPr>
              <w:spacing w:before="80" w:after="80"/>
              <w:jc w:val="right"/>
            </w:pPr>
            <w:r>
              <w:rPr>
                <w:rFonts w:ascii="Times New Roman" w:hAnsi="Times New Roman"/>
                <w:sz w:val="24"/>
              </w:rPr>
              <w:t>(2)</w:t>
            </w:r>
          </w:p>
        </w:tc>
      </w:tr>
    </w:tbl>
    <w:p>
      <w:pPr>
        <w:spacing w:before="60" w:after="120" w:line="276" w:lineRule="auto"/>
        <w:ind w:firstLine="454"/>
        <w:jc w:val="both"/>
      </w:pPr>
      <w:r>
        <w:rPr>
          <w:rFonts w:ascii="Times New Roman" w:hAnsi="Times New Roman"/>
          <w:b w:val="0"/>
          <w:i w:val="0"/>
          <w:sz w:val="22"/>
        </w:rPr>
        <w:t xml:space="preserve">Berdasarkan Persamaan (2) di atas, </w:t>
      </w:r>
      <w:r>
        <w:rPr>
          <w:rFonts w:ascii="Times New Roman" w:hAnsi="Times New Roman"/>
          <w:b w:val="0"/>
          <w:i/>
          <w:sz w:val="22"/>
        </w:rPr>
        <w:t>RSI_t</w:t>
      </w:r>
      <w:r>
        <w:rPr>
          <w:rFonts w:ascii="Times New Roman" w:hAnsi="Times New Roman"/>
          <w:b w:val="0"/>
          <w:i w:val="0"/>
          <w:sz w:val="22"/>
        </w:rPr>
        <w:t xml:space="preserve"> merepresentasikan nilai indeks kekuatan relatif pada hari ke-</w:t>
      </w:r>
      <w:r>
        <w:rPr>
          <w:rFonts w:ascii="Times New Roman" w:hAnsi="Times New Roman"/>
          <w:b w:val="0"/>
          <w:i/>
          <w:sz w:val="22"/>
        </w:rPr>
        <w:t>t</w:t>
      </w:r>
      <w:r>
        <w:rPr>
          <w:rFonts w:ascii="Times New Roman" w:hAnsi="Times New Roman"/>
          <w:b w:val="0"/>
          <w:i w:val="0"/>
          <w:sz w:val="22"/>
        </w:rPr>
        <w:t xml:space="preserve"> yang terikat dalam rentang skala 0 hingga 100, sedangkan </w:t>
      </w:r>
      <w:r>
        <w:rPr>
          <w:rFonts w:ascii="Times New Roman" w:hAnsi="Times New Roman"/>
          <w:b w:val="0"/>
          <w:i/>
          <w:sz w:val="22"/>
        </w:rPr>
        <w:t>AvgGain_t</w:t>
      </w:r>
      <w:r>
        <w:rPr>
          <w:rFonts w:ascii="Times New Roman" w:hAnsi="Times New Roman"/>
          <w:b w:val="0"/>
          <w:i w:val="0"/>
          <w:sz w:val="22"/>
        </w:rPr>
        <w:t xml:space="preserve"> dan </w:t>
      </w:r>
      <w:r>
        <w:rPr>
          <w:rFonts w:ascii="Times New Roman" w:hAnsi="Times New Roman"/>
          <w:b w:val="0"/>
          <w:i/>
          <w:sz w:val="22"/>
        </w:rPr>
        <w:t>AvgLoss_t</w:t>
      </w:r>
      <w:r>
        <w:rPr>
          <w:rFonts w:ascii="Times New Roman" w:hAnsi="Times New Roman"/>
          <w:b w:val="0"/>
          <w:i w:val="0"/>
          <w:sz w:val="22"/>
        </w:rPr>
        <w:t xml:space="preserve"> masing-masing menyatakan rata-rata kenaikan harga positif dan rata-rata penurunan harga absolut selama periode 14 hari terakhir. Apabila nilai </w:t>
      </w:r>
      <w:r>
        <w:rPr>
          <w:rFonts w:ascii="Times New Roman" w:hAnsi="Times New Roman"/>
          <w:b w:val="0"/>
          <w:i/>
          <w:sz w:val="22"/>
        </w:rPr>
        <w:t>RSI_t</w:t>
      </w:r>
      <w:r>
        <w:rPr>
          <w:rFonts w:ascii="Times New Roman" w:hAnsi="Times New Roman"/>
          <w:b w:val="0"/>
          <w:i w:val="0"/>
          <w:sz w:val="22"/>
        </w:rPr>
        <w:t xml:space="preserve"> melampaui ambang 70, pasar diindikasikan berada pada zona jenuh beli (</w:t>
      </w:r>
      <w:r>
        <w:rPr>
          <w:rFonts w:ascii="Times New Roman" w:hAnsi="Times New Roman"/>
          <w:b w:val="0"/>
          <w:i/>
          <w:sz w:val="22"/>
        </w:rPr>
        <w:t>overbought</w:t>
      </w:r>
      <w:r>
        <w:rPr>
          <w:rFonts w:ascii="Times New Roman" w:hAnsi="Times New Roman"/>
          <w:b w:val="0"/>
          <w:i w:val="0"/>
          <w:sz w:val="22"/>
        </w:rPr>
        <w:t>) yang rawan mengalami koreksi turun, sedangkan nilai di bawah 30 menandakan kondisi jenuh jual (</w:t>
      </w:r>
      <w:r>
        <w:rPr>
          <w:rFonts w:ascii="Times New Roman" w:hAnsi="Times New Roman"/>
          <w:b w:val="0"/>
          <w:i/>
          <w:sz w:val="22"/>
        </w:rPr>
        <w:t>oversold</w:t>
      </w:r>
      <w:r>
        <w:rPr>
          <w:rFonts w:ascii="Times New Roman" w:hAnsi="Times New Roman"/>
          <w:b w:val="0"/>
          <w:i w:val="0"/>
          <w:sz w:val="22"/>
        </w:rPr>
        <w:t>) yang berpotensi memicu pembalikan harga naik.</w:t>
      </w:r>
    </w:p>
    <w:p>
      <w:pPr>
        <w:spacing w:line="276" w:lineRule="auto" w:after="100"/>
        <w:ind w:firstLine="454"/>
        <w:jc w:val="both"/>
      </w:pPr>
      <w:r>
        <w:rPr>
          <w:rFonts w:ascii="Times New Roman" w:hAnsi="Times New Roman"/>
          <w:b w:val="0"/>
          <w:i w:val="0"/>
          <w:sz w:val="22"/>
        </w:rPr>
        <w:t>Perubahan konvergensi dan divergensi arah momentum jangka pendek terhadap jangka menengah diukur menggunakan indikator MACD sebagaimana dinyatakan pada Persamaan (3):</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sSub>
                <m:e>
                  <m:r>
                    <m:rPr>
                      <m:sty m:val="p"/>
                    </m:rPr>
                    <w:rPr>
                      <w:rFonts w:ascii="Cambria Math" w:hAnsi="Cambria Math"/>
                    </w:rPr>
                    <m:t>MACD</m:t>
                  </m:r>
                </m:e>
                <m:sub>
                  <m:r>
                    <w:rPr>
                      <w:rFonts w:ascii="Cambria Math" w:hAnsi="Cambria Math"/>
                    </w:rPr>
                    <m:t>t</m:t>
                  </m:r>
                </m:sub>
              </m:sSub>
              <m:r>
                <m:rPr>
                  <m:sty m:val="p"/>
                </m:rPr>
                <w:rPr>
                  <w:rFonts w:ascii="Cambria Math" w:hAnsi="Cambria Math"/>
                </w:rPr>
                <m:t> = </m:t>
              </m:r>
              <m:sSub>
                <m:e>
                  <m:r>
                    <m:rPr>
                      <m:sty m:val="p"/>
                    </m:rPr>
                    <w:rPr>
                      <w:rFonts w:ascii="Cambria Math" w:hAnsi="Cambria Math"/>
                    </w:rPr>
                    <m:t>EMA</m:t>
                  </m:r>
                </m:e>
                <m:sub>
                  <m:r>
                    <m:rPr>
                      <m:sty m:val="p"/>
                    </m:rPr>
                    <w:rPr>
                      <w:rFonts w:ascii="Cambria Math" w:hAnsi="Cambria Math"/>
                    </w:rPr>
                    <m:t>12</m:t>
                  </m:r>
                </m:sub>
              </m:sSub>
              <m:d>
                <m:dPr>
                  <m:begChr m:val="("/>
                  <m:endChr m:val=")"/>
                </m:dPr>
                <m:e>
                  <m:sSub>
                    <m:e>
                      <m:r>
                        <w:rPr>
                          <w:rFonts w:ascii="Cambria Math" w:hAnsi="Cambria Math"/>
                        </w:rPr>
                        <m:t>P</m:t>
                      </m:r>
                    </m:e>
                    <m:sub>
                      <m:r>
                        <w:rPr>
                          <w:rFonts w:ascii="Cambria Math" w:hAnsi="Cambria Math"/>
                        </w:rPr>
                        <m:t>t</m:t>
                      </m:r>
                    </m:sub>
                  </m:sSub>
                </m:e>
              </m:d>
              <m:r>
                <m:rPr>
                  <m:sty m:val="p"/>
                </m:rPr>
                <w:rPr>
                  <w:rFonts w:ascii="Cambria Math" w:hAnsi="Cambria Math"/>
                </w:rPr>
                <m:t> − </m:t>
              </m:r>
              <m:sSub>
                <m:e>
                  <m:r>
                    <m:rPr>
                      <m:sty m:val="p"/>
                    </m:rPr>
                    <w:rPr>
                      <w:rFonts w:ascii="Cambria Math" w:hAnsi="Cambria Math"/>
                    </w:rPr>
                    <m:t>EMA</m:t>
                  </m:r>
                </m:e>
                <m:sub>
                  <m:r>
                    <m:rPr>
                      <m:sty m:val="p"/>
                    </m:rPr>
                    <w:rPr>
                      <w:rFonts w:ascii="Cambria Math" w:hAnsi="Cambria Math"/>
                    </w:rPr>
                    <m:t>26</m:t>
                  </m:r>
                </m:sub>
              </m:sSub>
              <m:d>
                <m:dPr>
                  <m:begChr m:val="("/>
                  <m:endChr m:val=")"/>
                </m:dPr>
                <m:e>
                  <m:sSub>
                    <m:e>
                      <m:r>
                        <w:rPr>
                          <w:rFonts w:ascii="Cambria Math" w:hAnsi="Cambria Math"/>
                        </w:rPr>
                        <m:t>P</m:t>
                      </m:r>
                    </m:e>
                    <m:sub>
                      <m:r>
                        <w:rPr>
                          <w:rFonts w:ascii="Cambria Math" w:hAnsi="Cambria Math"/>
                        </w:rPr>
                        <m:t>t</m:t>
                      </m:r>
                    </m:sub>
                  </m:sSub>
                </m:e>
              </m:d>
            </m:oMath>
          </w:p>
        </w:tc>
        <w:tc>
          <w:tcPr>
            <w:tcW w:type="dxa" w:w="1020"/>
            <w:vAlign w:val="center"/>
          </w:tcPr>
          <w:p>
            <w:pPr>
              <w:spacing w:before="80" w:after="80"/>
              <w:jc w:val="right"/>
            </w:pPr>
            <w:r>
              <w:rPr>
                <w:rFonts w:ascii="Times New Roman" w:hAnsi="Times New Roman"/>
                <w:sz w:val="24"/>
              </w:rPr>
              <w:t>(3)</w:t>
            </w:r>
          </w:p>
        </w:tc>
      </w:tr>
    </w:tbl>
    <w:p>
      <w:pPr>
        <w:spacing w:before="60" w:after="120" w:line="276" w:lineRule="auto"/>
        <w:ind w:firstLine="454"/>
        <w:jc w:val="both"/>
      </w:pPr>
      <w:r>
        <w:rPr>
          <w:rFonts w:ascii="Times New Roman" w:hAnsi="Times New Roman"/>
          <w:b w:val="0"/>
          <w:i w:val="0"/>
          <w:sz w:val="22"/>
        </w:rPr>
        <w:t xml:space="preserve">Berdasarkan Persamaan (3) di atas, </w:t>
      </w:r>
      <w:r>
        <w:rPr>
          <w:rFonts w:ascii="Times New Roman" w:hAnsi="Times New Roman"/>
          <w:b w:val="0"/>
          <w:i/>
          <w:sz w:val="22"/>
        </w:rPr>
        <w:t>MACD_t</w:t>
      </w:r>
      <w:r>
        <w:rPr>
          <w:rFonts w:ascii="Times New Roman" w:hAnsi="Times New Roman"/>
          <w:b w:val="0"/>
          <w:i w:val="0"/>
          <w:sz w:val="22"/>
        </w:rPr>
        <w:t xml:space="preserve"> merupakan nilai konvergensi-divergensi rata-rata bergerak pada hari ke-</w:t>
      </w:r>
      <w:r>
        <w:rPr>
          <w:rFonts w:ascii="Times New Roman" w:hAnsi="Times New Roman"/>
          <w:b w:val="0"/>
          <w:i/>
          <w:sz w:val="22"/>
        </w:rPr>
        <w:t>t</w:t>
      </w:r>
      <w:r>
        <w:rPr>
          <w:rFonts w:ascii="Times New Roman" w:hAnsi="Times New Roman"/>
          <w:b w:val="0"/>
          <w:i w:val="0"/>
          <w:sz w:val="22"/>
        </w:rPr>
        <w:t xml:space="preserve"> yang diperoleh dari selisih antara rata-rata eksponensial cepat periode 12 hari (</w:t>
      </w:r>
      <w:r>
        <w:rPr>
          <w:rFonts w:ascii="Times New Roman" w:hAnsi="Times New Roman"/>
          <w:b w:val="0"/>
          <w:i/>
          <w:sz w:val="22"/>
        </w:rPr>
        <w:t>EMA_12(P_t)</w:t>
      </w:r>
      <w:r>
        <w:rPr>
          <w:rFonts w:ascii="Times New Roman" w:hAnsi="Times New Roman"/>
          <w:b w:val="0"/>
          <w:i w:val="0"/>
          <w:sz w:val="22"/>
        </w:rPr>
        <w:t>) dan rata-rata eksponensial lambat periode 26 hari (</w:t>
      </w:r>
      <w:r>
        <w:rPr>
          <w:rFonts w:ascii="Times New Roman" w:hAnsi="Times New Roman"/>
          <w:b w:val="0"/>
          <w:i/>
          <w:sz w:val="22"/>
        </w:rPr>
        <w:t>EMA_26(P_t)</w:t>
      </w:r>
      <w:r>
        <w:rPr>
          <w:rFonts w:ascii="Times New Roman" w:hAnsi="Times New Roman"/>
          <w:b w:val="0"/>
          <w:i w:val="0"/>
          <w:sz w:val="22"/>
        </w:rPr>
        <w:t xml:space="preserve">). Nilai </w:t>
      </w:r>
      <w:r>
        <w:rPr>
          <w:rFonts w:ascii="Times New Roman" w:hAnsi="Times New Roman"/>
          <w:b w:val="0"/>
          <w:i/>
          <w:sz w:val="22"/>
        </w:rPr>
        <w:t>MACD_t</w:t>
      </w:r>
      <w:r>
        <w:rPr>
          <w:rFonts w:ascii="Times New Roman" w:hAnsi="Times New Roman"/>
          <w:b w:val="0"/>
          <w:i w:val="0"/>
          <w:sz w:val="22"/>
        </w:rPr>
        <w:t xml:space="preserve"> selanjutnya dihaluskan kembali menggunakan EMA periode 9 hari untuk membentuk garis pemicu (</w:t>
      </w:r>
      <w:r>
        <w:rPr>
          <w:rFonts w:ascii="Times New Roman" w:hAnsi="Times New Roman"/>
          <w:b w:val="0"/>
          <w:i/>
          <w:sz w:val="22"/>
        </w:rPr>
        <w:t>MACD_Signal</w:t>
      </w:r>
      <w:r>
        <w:rPr>
          <w:rFonts w:ascii="Times New Roman" w:hAnsi="Times New Roman"/>
          <w:b w:val="0"/>
          <w:i w:val="0"/>
          <w:sz w:val="22"/>
        </w:rPr>
        <w:t>), di mana perpotongan (</w:t>
      </w:r>
      <w:r>
        <w:rPr>
          <w:rFonts w:ascii="Times New Roman" w:hAnsi="Times New Roman"/>
          <w:b w:val="0"/>
          <w:i/>
          <w:sz w:val="22"/>
        </w:rPr>
        <w:t>crossover</w:t>
      </w:r>
      <w:r>
        <w:rPr>
          <w:rFonts w:ascii="Times New Roman" w:hAnsi="Times New Roman"/>
          <w:b w:val="0"/>
          <w:i w:val="0"/>
          <w:sz w:val="22"/>
        </w:rPr>
        <w:t>) antara kedua garis tersebut menjadi indikator kunci percepatan atau perlambatan momentum tren harga Solana.</w:t>
      </w:r>
    </w:p>
    <w:p>
      <w:pPr>
        <w:spacing w:line="276" w:lineRule="auto" w:after="100"/>
        <w:ind w:firstLine="454"/>
        <w:jc w:val="both"/>
      </w:pPr>
      <w:r>
        <w:rPr>
          <w:rFonts w:ascii="Times New Roman" w:hAnsi="Times New Roman"/>
          <w:b w:val="0"/>
          <w:i w:val="0"/>
          <w:sz w:val="22"/>
        </w:rPr>
        <w:t xml:space="preserve">Selanjutnya, batas pita atas dan pita bawah volatilitas harga ditentukan menggunakan </w:t>
      </w:r>
      <w:r>
        <w:rPr>
          <w:rFonts w:ascii="Times New Roman" w:hAnsi="Times New Roman"/>
          <w:b w:val="0"/>
          <w:i/>
          <w:sz w:val="22"/>
        </w:rPr>
        <w:t>Bollinger Bands</w:t>
      </w:r>
      <w:r>
        <w:rPr>
          <w:rFonts w:ascii="Times New Roman" w:hAnsi="Times New Roman"/>
          <w:b w:val="0"/>
          <w:i w:val="0"/>
          <w:sz w:val="22"/>
        </w:rPr>
        <w:t xml:space="preserve"> periode 20 hari sesuai Persamaan (4):</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sSub>
                <m:e>
                  <m:r>
                    <m:rPr>
                      <m:sty m:val="p"/>
                    </m:rPr>
                    <w:rPr>
                      <w:rFonts w:ascii="Cambria Math" w:hAnsi="Cambria Math"/>
                    </w:rPr>
                    <m:t>BB</m:t>
                  </m:r>
                </m:e>
                <m:sub>
                  <m:r>
                    <m:rPr>
                      <m:sty m:val="p"/>
                    </m:rPr>
                    <w:rPr>
                      <w:rFonts w:ascii="Cambria Math" w:hAnsi="Cambria Math"/>
                    </w:rPr>
                    <m:t>Upper, Lower</m:t>
                  </m:r>
                </m:sub>
              </m:sSub>
              <m:r>
                <m:rPr>
                  <m:sty m:val="p"/>
                </m:rPr>
                <w:rPr>
                  <w:rFonts w:ascii="Cambria Math" w:hAnsi="Cambria Math"/>
                </w:rPr>
                <m:t> = </m:t>
              </m:r>
              <m:sSub>
                <m:e>
                  <m:r>
                    <m:rPr>
                      <m:sty m:val="p"/>
                    </m:rPr>
                    <w:rPr>
                      <w:rFonts w:ascii="Cambria Math" w:hAnsi="Cambria Math"/>
                    </w:rPr>
                    <m:t>SMA</m:t>
                  </m:r>
                </m:e>
                <m:sub>
                  <m:r>
                    <m:rPr>
                      <m:sty m:val="p"/>
                    </m:rPr>
                    <w:rPr>
                      <w:rFonts w:ascii="Cambria Math" w:hAnsi="Cambria Math"/>
                    </w:rPr>
                    <m:t>20</m:t>
                  </m:r>
                </m:sub>
              </m:sSub>
              <m:d>
                <m:dPr>
                  <m:begChr m:val="("/>
                  <m:endChr m:val=")"/>
                </m:dPr>
                <m:e>
                  <m:sSub>
                    <m:e>
                      <m:r>
                        <w:rPr>
                          <w:rFonts w:ascii="Cambria Math" w:hAnsi="Cambria Math"/>
                        </w:rPr>
                        <m:t>P</m:t>
                      </m:r>
                    </m:e>
                    <m:sub>
                      <m:r>
                        <w:rPr>
                          <w:rFonts w:ascii="Cambria Math" w:hAnsi="Cambria Math"/>
                        </w:rPr>
                        <m:t>t</m:t>
                      </m:r>
                    </m:sub>
                  </m:sSub>
                </m:e>
              </m:d>
              <m:r>
                <m:rPr>
                  <m:sty m:val="p"/>
                </m:rPr>
                <w:rPr>
                  <w:rFonts w:ascii="Cambria Math" w:hAnsi="Cambria Math"/>
                </w:rPr>
                <m:t> ± 2</m:t>
              </m:r>
              <m:sSub>
                <m:e>
                  <m:r>
                    <w:rPr>
                      <w:rFonts w:ascii="Cambria Math" w:hAnsi="Cambria Math"/>
                    </w:rPr>
                    <m:t>σ</m:t>
                  </m:r>
                </m:e>
                <m:sub>
                  <m:r>
                    <m:rPr>
                      <m:sty m:val="p"/>
                    </m:rPr>
                    <w:rPr>
                      <w:rFonts w:ascii="Cambria Math" w:hAnsi="Cambria Math"/>
                    </w:rPr>
                    <m:t>20</m:t>
                  </m:r>
                </m:sub>
              </m:sSub>
              <m:d>
                <m:dPr>
                  <m:begChr m:val="("/>
                  <m:endChr m:val=")"/>
                </m:dPr>
                <m:e>
                  <m:sSub>
                    <m:e>
                      <m:r>
                        <w:rPr>
                          <w:rFonts w:ascii="Cambria Math" w:hAnsi="Cambria Math"/>
                        </w:rPr>
                        <m:t>P</m:t>
                      </m:r>
                    </m:e>
                    <m:sub>
                      <m:r>
                        <w:rPr>
                          <w:rFonts w:ascii="Cambria Math" w:hAnsi="Cambria Math"/>
                        </w:rPr>
                        <m:t>t</m:t>
                      </m:r>
                    </m:sub>
                  </m:sSub>
                </m:e>
              </m:d>
            </m:oMath>
          </w:p>
        </w:tc>
        <w:tc>
          <w:tcPr>
            <w:tcW w:type="dxa" w:w="1020"/>
            <w:vAlign w:val="center"/>
          </w:tcPr>
          <w:p>
            <w:pPr>
              <w:spacing w:before="80" w:after="80"/>
              <w:jc w:val="right"/>
            </w:pPr>
            <w:r>
              <w:rPr>
                <w:rFonts w:ascii="Times New Roman" w:hAnsi="Times New Roman"/>
                <w:sz w:val="24"/>
              </w:rPr>
              <w:t>(4)</w:t>
            </w:r>
          </w:p>
        </w:tc>
      </w:tr>
    </w:tbl>
    <w:p>
      <w:pPr>
        <w:spacing w:before="60" w:after="120" w:line="276" w:lineRule="auto"/>
        <w:ind w:firstLine="454"/>
        <w:jc w:val="both"/>
      </w:pPr>
      <w:r>
        <w:rPr>
          <w:rFonts w:ascii="Times New Roman" w:hAnsi="Times New Roman"/>
          <w:b w:val="0"/>
          <w:i w:val="0"/>
          <w:sz w:val="22"/>
        </w:rPr>
        <w:t xml:space="preserve">Berdasarkan Persamaan (4) di atas, </w:t>
      </w:r>
      <w:r>
        <w:rPr>
          <w:rFonts w:ascii="Times New Roman" w:hAnsi="Times New Roman"/>
          <w:b w:val="0"/>
          <w:i/>
          <w:sz w:val="22"/>
        </w:rPr>
        <w:t>BB_Upper</w:t>
      </w:r>
      <w:r>
        <w:rPr>
          <w:rFonts w:ascii="Times New Roman" w:hAnsi="Times New Roman"/>
          <w:b w:val="0"/>
          <w:i w:val="0"/>
          <w:sz w:val="22"/>
        </w:rPr>
        <w:t xml:space="preserve"> dan </w:t>
      </w:r>
      <w:r>
        <w:rPr>
          <w:rFonts w:ascii="Times New Roman" w:hAnsi="Times New Roman"/>
          <w:b w:val="0"/>
          <w:i/>
          <w:sz w:val="22"/>
        </w:rPr>
        <w:t>BB_Lower</w:t>
      </w:r>
      <w:r>
        <w:rPr>
          <w:rFonts w:ascii="Times New Roman" w:hAnsi="Times New Roman"/>
          <w:b w:val="0"/>
          <w:i w:val="0"/>
          <w:sz w:val="22"/>
        </w:rPr>
        <w:t xml:space="preserve"> menyatakan batas pita atas dan batas pita bawah volatilitas harga pada hari ke-</w:t>
      </w:r>
      <w:r>
        <w:rPr>
          <w:rFonts w:ascii="Times New Roman" w:hAnsi="Times New Roman"/>
          <w:b w:val="0"/>
          <w:i/>
          <w:sz w:val="22"/>
        </w:rPr>
        <w:t>t</w:t>
      </w:r>
      <w:r>
        <w:rPr>
          <w:rFonts w:ascii="Times New Roman" w:hAnsi="Times New Roman"/>
          <w:b w:val="0"/>
          <w:i w:val="0"/>
          <w:sz w:val="22"/>
        </w:rPr>
        <w:t xml:space="preserve">, </w:t>
      </w:r>
      <w:r>
        <w:rPr>
          <w:rFonts w:ascii="Times New Roman" w:hAnsi="Times New Roman"/>
          <w:b w:val="0"/>
          <w:i/>
          <w:sz w:val="22"/>
        </w:rPr>
        <w:t>SMA_20(P_t)</w:t>
      </w:r>
      <w:r>
        <w:rPr>
          <w:rFonts w:ascii="Times New Roman" w:hAnsi="Times New Roman"/>
          <w:b w:val="0"/>
          <w:i w:val="0"/>
          <w:sz w:val="22"/>
        </w:rPr>
        <w:t xml:space="preserve"> adalah nilai rata-rata bergerak sederhana (</w:t>
      </w:r>
      <w:r>
        <w:rPr>
          <w:rFonts w:ascii="Times New Roman" w:hAnsi="Times New Roman"/>
          <w:b w:val="0"/>
          <w:i/>
          <w:sz w:val="22"/>
        </w:rPr>
        <w:t>Simple Moving Average</w:t>
      </w:r>
      <w:r>
        <w:rPr>
          <w:rFonts w:ascii="Times New Roman" w:hAnsi="Times New Roman"/>
          <w:b w:val="0"/>
          <w:i w:val="0"/>
          <w:sz w:val="22"/>
        </w:rPr>
        <w:t xml:space="preserve">) dari harga penutupan Solana selama 20 hari terakhir, dan </w:t>
      </w:r>
      <w:r>
        <w:rPr>
          <w:rFonts w:ascii="Times New Roman" w:hAnsi="Times New Roman"/>
          <w:b w:val="0"/>
          <w:i/>
          <w:sz w:val="22"/>
        </w:rPr>
        <w:t>σ_20(P_t)</w:t>
      </w:r>
      <w:r>
        <w:rPr>
          <w:rFonts w:ascii="Times New Roman" w:hAnsi="Times New Roman"/>
          <w:b w:val="0"/>
          <w:i w:val="0"/>
          <w:sz w:val="22"/>
        </w:rPr>
        <w:t xml:space="preserve"> menyatakan simpangan baku (</w:t>
      </w:r>
      <w:r>
        <w:rPr>
          <w:rFonts w:ascii="Times New Roman" w:hAnsi="Times New Roman"/>
          <w:b w:val="0"/>
          <w:i/>
          <w:sz w:val="22"/>
        </w:rPr>
        <w:t>standard deviation</w:t>
      </w:r>
      <w:r>
        <w:rPr>
          <w:rFonts w:ascii="Times New Roman" w:hAnsi="Times New Roman"/>
          <w:b w:val="0"/>
          <w:i w:val="0"/>
          <w:sz w:val="22"/>
        </w:rPr>
        <w:t>) harga pada jendela 20 hari yang sama. Pelebaran jarak antara pita atas dan pita bawah mencerminkan lonjakan volatilitas pasar yang tinggi, sedangkan penyempitan pita mengindikasikan fase konsolidasi sebelum terjadinya penembusan harga (</w:t>
      </w:r>
      <w:r>
        <w:rPr>
          <w:rFonts w:ascii="Times New Roman" w:hAnsi="Times New Roman"/>
          <w:b w:val="0"/>
          <w:i/>
          <w:sz w:val="22"/>
        </w:rPr>
        <w:t>breakout</w:t>
      </w:r>
      <w:r>
        <w:rPr>
          <w:rFonts w:ascii="Times New Roman" w:hAnsi="Times New Roman"/>
          <w:b w:val="0"/>
          <w:i w:val="0"/>
          <w:sz w:val="22"/>
        </w:rPr>
        <w:t>).</w:t>
      </w:r>
    </w:p>
    <w:p>
      <w:pPr>
        <w:spacing w:line="276" w:lineRule="auto" w:after="100"/>
        <w:ind w:firstLine="454"/>
        <w:jc w:val="both"/>
      </w:pPr>
      <w:r>
        <w:rPr>
          <w:rFonts w:ascii="Times New Roman" w:hAnsi="Times New Roman"/>
          <w:b w:val="0"/>
          <w:i w:val="0"/>
          <w:sz w:val="22"/>
        </w:rPr>
        <w:t xml:space="preserve">Besaran intensitas rentang gejolak harga harian diukur menggunakan indikator </w:t>
      </w:r>
      <w:r>
        <w:rPr>
          <w:rFonts w:ascii="Times New Roman" w:hAnsi="Times New Roman"/>
          <w:b w:val="0"/>
          <w:i/>
          <w:sz w:val="22"/>
        </w:rPr>
        <w:t>Average True Range</w:t>
      </w:r>
      <w:r>
        <w:rPr>
          <w:rFonts w:ascii="Times New Roman" w:hAnsi="Times New Roman"/>
          <w:b w:val="0"/>
          <w:i w:val="0"/>
          <w:sz w:val="22"/>
        </w:rPr>
        <w:t xml:space="preserve"> 14 hari (ATR-14) sebagaimana dituliskan pada Persamaan (5):</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sSub>
                <m:e>
                  <m:r>
                    <m:rPr>
                      <m:sty m:val="p"/>
                    </m:rPr>
                    <w:rPr>
                      <w:rFonts w:ascii="Cambria Math" w:hAnsi="Cambria Math"/>
                    </w:rPr>
                    <m:t>ATR</m:t>
                  </m:r>
                </m:e>
                <m:sub>
                  <m:r>
                    <w:rPr>
                      <w:rFonts w:ascii="Cambria Math" w:hAnsi="Cambria Math"/>
                    </w:rPr>
                    <m:t>t</m:t>
                  </m:r>
                </m:sub>
              </m:sSub>
              <m:r>
                <m:rPr>
                  <m:sty m:val="p"/>
                </m:rPr>
                <w:rPr>
                  <w:rFonts w:ascii="Cambria Math" w:hAnsi="Cambria Math"/>
                </w:rPr>
                <m:t> = </m:t>
              </m:r>
              <m:f>
                <m:num>
                  <m:r>
                    <m:rPr>
                      <m:sty m:val="p"/>
                    </m:rPr>
                    <w:rPr>
                      <w:rFonts w:ascii="Cambria Math" w:hAnsi="Cambria Math"/>
                    </w:rPr>
                    <m:t>1</m:t>
                  </m:r>
                </m:num>
                <m:den>
                  <m:r>
                    <m:rPr>
                      <m:sty m:val="p"/>
                    </m:rPr>
                    <w:rPr>
                      <w:rFonts w:ascii="Cambria Math" w:hAnsi="Cambria Math"/>
                    </w:rPr>
                    <m:t>14</m:t>
                  </m:r>
                </m:den>
              </m:f>
              <m:nary>
                <m:naryPr>
                  <m:chr m:val="∑"/>
                  <m:limLoc m:val="undOvr"/>
                </m:naryPr>
                <m:sub>
                  <m:r>
                    <w:rPr>
                      <w:rFonts w:ascii="Cambria Math" w:hAnsi="Cambria Math"/>
                    </w:rPr>
                    <m:t>i</m:t>
                  </m:r>
                  <m:r>
                    <m:rPr>
                      <m:sty m:val="p"/>
                    </m:rPr>
                    <w:rPr>
                      <w:rFonts w:ascii="Cambria Math" w:hAnsi="Cambria Math"/>
                    </w:rPr>
                    <m:t>=0</m:t>
                  </m:r>
                </m:sub>
                <m:sup>
                  <m:r>
                    <m:rPr>
                      <m:sty m:val="p"/>
                    </m:rPr>
                    <w:rPr>
                      <w:rFonts w:ascii="Cambria Math" w:hAnsi="Cambria Math"/>
                    </w:rPr>
                    <m:t>13</m:t>
                  </m:r>
                </m:sup>
                <m:e>
                  <m:r>
                    <m:rPr>
                      <m:sty m:val="p"/>
                    </m:rPr>
                    <w:rPr>
                      <w:rFonts w:ascii="Cambria Math" w:hAnsi="Cambria Math"/>
                    </w:rPr>
                    <m:t>max</m:t>
                  </m:r>
                  <m:d>
                    <m:dPr>
                      <m:begChr m:val="("/>
                      <m:endChr m:val=")"/>
                    </m:dPr>
                    <m:e>
                      <m:sSub>
                        <m:e>
                          <m:r>
                            <w:rPr>
                              <w:rFonts w:ascii="Cambria Math" w:hAnsi="Cambria Math"/>
                            </w:rPr>
                            <m:t>H</m:t>
                          </m:r>
                        </m:e>
                        <m:sub>
                          <m:r>
                            <w:rPr>
                              <w:rFonts w:ascii="Cambria Math" w:hAnsi="Cambria Math"/>
                            </w:rPr>
                            <m:t>t−i</m:t>
                          </m:r>
                        </m:sub>
                      </m:sSub>
                      <m:r>
                        <m:rPr>
                          <m:sty m:val="p"/>
                        </m:rPr>
                        <w:rPr>
                          <w:rFonts w:ascii="Cambria Math" w:hAnsi="Cambria Math"/>
                        </w:rPr>
                        <m:t> − </m:t>
                      </m:r>
                      <m:sSub>
                        <m:e>
                          <m:r>
                            <w:rPr>
                              <w:rFonts w:ascii="Cambria Math" w:hAnsi="Cambria Math"/>
                            </w:rPr>
                            <m:t>L</m:t>
                          </m:r>
                        </m:e>
                        <m:sub>
                          <m:r>
                            <w:rPr>
                              <w:rFonts w:ascii="Cambria Math" w:hAnsi="Cambria Math"/>
                            </w:rPr>
                            <m:t>t−i</m:t>
                          </m:r>
                        </m:sub>
                      </m:sSub>
                      <m:r>
                        <m:rPr>
                          <m:sty m:val="p"/>
                        </m:rPr>
                        <w:rPr>
                          <w:rFonts w:ascii="Cambria Math" w:hAnsi="Cambria Math"/>
                        </w:rPr>
                        <m:t>, </m:t>
                      </m:r>
                      <m:d>
                        <m:dPr>
                          <m:begChr m:val="|"/>
                          <m:endChr m:val="|"/>
                        </m:dPr>
                        <m:e>
                          <m:sSub>
                            <m:e>
                              <m:r>
                                <w:rPr>
                                  <w:rFonts w:ascii="Cambria Math" w:hAnsi="Cambria Math"/>
                                </w:rPr>
                                <m:t>H</m:t>
                              </m:r>
                            </m:e>
                            <m:sub>
                              <m:r>
                                <w:rPr>
                                  <w:rFonts w:ascii="Cambria Math" w:hAnsi="Cambria Math"/>
                                </w:rPr>
                                <m:t>t−i</m:t>
                              </m:r>
                            </m:sub>
                          </m:sSub>
                          <m:r>
                            <m:rPr>
                              <m:sty m:val="p"/>
                            </m:rPr>
                            <w:rPr>
                              <w:rFonts w:ascii="Cambria Math" w:hAnsi="Cambria Math"/>
                            </w:rPr>
                            <m:t> − </m:t>
                          </m:r>
                          <m:sSub>
                            <m:e>
                              <m:r>
                                <w:rPr>
                                  <w:rFonts w:ascii="Cambria Math" w:hAnsi="Cambria Math"/>
                                </w:rPr>
                                <m:t>C</m:t>
                              </m:r>
                            </m:e>
                            <m:sub>
                              <m:r>
                                <w:rPr>
                                  <w:rFonts w:ascii="Cambria Math" w:hAnsi="Cambria Math"/>
                                </w:rPr>
                                <m:t>t−i−1</m:t>
                              </m:r>
                            </m:sub>
                          </m:sSub>
                        </m:e>
                      </m:d>
                      <m:r>
                        <m:rPr>
                          <m:sty m:val="p"/>
                        </m:rPr>
                        <w:rPr>
                          <w:rFonts w:ascii="Cambria Math" w:hAnsi="Cambria Math"/>
                        </w:rPr>
                        <m:t>, </m:t>
                      </m:r>
                      <m:d>
                        <m:dPr>
                          <m:begChr m:val="|"/>
                          <m:endChr m:val="|"/>
                        </m:dPr>
                        <m:e>
                          <m:sSub>
                            <m:e>
                              <m:r>
                                <w:rPr>
                                  <w:rFonts w:ascii="Cambria Math" w:hAnsi="Cambria Math"/>
                                </w:rPr>
                                <m:t>L</m:t>
                              </m:r>
                            </m:e>
                            <m:sub>
                              <m:r>
                                <w:rPr>
                                  <w:rFonts w:ascii="Cambria Math" w:hAnsi="Cambria Math"/>
                                </w:rPr>
                                <m:t>t−i</m:t>
                              </m:r>
                            </m:sub>
                          </m:sSub>
                          <m:r>
                            <m:rPr>
                              <m:sty m:val="p"/>
                            </m:rPr>
                            <w:rPr>
                              <w:rFonts w:ascii="Cambria Math" w:hAnsi="Cambria Math"/>
                            </w:rPr>
                            <m:t> − </m:t>
                          </m:r>
                          <m:sSub>
                            <m:e>
                              <m:r>
                                <w:rPr>
                                  <w:rFonts w:ascii="Cambria Math" w:hAnsi="Cambria Math"/>
                                </w:rPr>
                                <m:t>C</m:t>
                              </m:r>
                            </m:e>
                            <m:sub>
                              <m:r>
                                <w:rPr>
                                  <w:rFonts w:ascii="Cambria Math" w:hAnsi="Cambria Math"/>
                                </w:rPr>
                                <m:t>t−i−1</m:t>
                              </m:r>
                            </m:sub>
                          </m:sSub>
                        </m:e>
                      </m:d>
                    </m:e>
                  </m:d>
                </m:e>
              </m:nary>
            </m:oMath>
          </w:p>
        </w:tc>
        <w:tc>
          <w:tcPr>
            <w:tcW w:type="dxa" w:w="1020"/>
            <w:vAlign w:val="center"/>
          </w:tcPr>
          <w:p>
            <w:pPr>
              <w:spacing w:before="80" w:after="80"/>
              <w:jc w:val="right"/>
            </w:pPr>
            <w:r>
              <w:rPr>
                <w:rFonts w:ascii="Times New Roman" w:hAnsi="Times New Roman"/>
                <w:sz w:val="24"/>
              </w:rPr>
              <w:t>(5)</w:t>
            </w:r>
          </w:p>
        </w:tc>
      </w:tr>
    </w:tbl>
    <w:p>
      <w:pPr>
        <w:spacing w:before="60" w:after="120" w:line="276" w:lineRule="auto"/>
        <w:ind w:firstLine="454"/>
        <w:jc w:val="both"/>
      </w:pPr>
      <w:r>
        <w:rPr>
          <w:rFonts w:ascii="Times New Roman" w:hAnsi="Times New Roman"/>
          <w:b w:val="0"/>
          <w:i w:val="0"/>
          <w:sz w:val="22"/>
        </w:rPr>
        <w:t xml:space="preserve">Berdasarkan Persamaan (5) di atas, </w:t>
      </w:r>
      <w:r>
        <w:rPr>
          <w:rFonts w:ascii="Times New Roman" w:hAnsi="Times New Roman"/>
          <w:b w:val="0"/>
          <w:i/>
          <w:sz w:val="22"/>
        </w:rPr>
        <w:t>ATR_t</w:t>
      </w:r>
      <w:r>
        <w:rPr>
          <w:rFonts w:ascii="Times New Roman" w:hAnsi="Times New Roman"/>
          <w:b w:val="0"/>
          <w:i w:val="0"/>
          <w:sz w:val="22"/>
        </w:rPr>
        <w:t xml:space="preserve"> menyatakan nilai </w:t>
      </w:r>
      <w:r>
        <w:rPr>
          <w:rFonts w:ascii="Times New Roman" w:hAnsi="Times New Roman"/>
          <w:b w:val="0"/>
          <w:i/>
          <w:sz w:val="22"/>
        </w:rPr>
        <w:t>Average True Range</w:t>
      </w:r>
      <w:r>
        <w:rPr>
          <w:rFonts w:ascii="Times New Roman" w:hAnsi="Times New Roman"/>
          <w:b w:val="0"/>
          <w:i w:val="0"/>
          <w:sz w:val="22"/>
        </w:rPr>
        <w:t xml:space="preserve"> pada hari ke-</w:t>
      </w:r>
      <w:r>
        <w:rPr>
          <w:rFonts w:ascii="Times New Roman" w:hAnsi="Times New Roman"/>
          <w:b w:val="0"/>
          <w:i/>
          <w:sz w:val="22"/>
        </w:rPr>
        <w:t>t</w:t>
      </w:r>
      <w:r>
        <w:rPr>
          <w:rFonts w:ascii="Times New Roman" w:hAnsi="Times New Roman"/>
          <w:b w:val="0"/>
          <w:i w:val="0"/>
          <w:sz w:val="22"/>
        </w:rPr>
        <w:t xml:space="preserve"> yang dihitung sebagai rata-rata aritmetika selama 14 hari atas nilai rentang sejati (</w:t>
      </w:r>
      <w:r>
        <w:rPr>
          <w:rFonts w:ascii="Times New Roman" w:hAnsi="Times New Roman"/>
          <w:b w:val="0"/>
          <w:i/>
          <w:sz w:val="22"/>
        </w:rPr>
        <w:t>True Range</w:t>
      </w:r>
      <w:r>
        <w:rPr>
          <w:rFonts w:ascii="Times New Roman" w:hAnsi="Times New Roman"/>
          <w:b w:val="0"/>
          <w:i w:val="0"/>
          <w:sz w:val="22"/>
        </w:rPr>
        <w:t xml:space="preserve">), di mana </w:t>
      </w:r>
      <w:r>
        <w:rPr>
          <w:rFonts w:ascii="Times New Roman" w:hAnsi="Times New Roman"/>
          <w:b w:val="0"/>
          <w:i/>
          <w:sz w:val="22"/>
        </w:rPr>
        <w:t>H_(t-i)</w:t>
      </w:r>
      <w:r>
        <w:rPr>
          <w:rFonts w:ascii="Times New Roman" w:hAnsi="Times New Roman"/>
          <w:b w:val="0"/>
          <w:i w:val="0"/>
          <w:sz w:val="22"/>
        </w:rPr>
        <w:t xml:space="preserve"> adalah harga tertinggi (</w:t>
      </w:r>
      <w:r>
        <w:rPr>
          <w:rFonts w:ascii="Times New Roman" w:hAnsi="Times New Roman"/>
          <w:b w:val="0"/>
          <w:i/>
          <w:sz w:val="22"/>
        </w:rPr>
        <w:t>High</w:t>
      </w:r>
      <w:r>
        <w:rPr>
          <w:rFonts w:ascii="Times New Roman" w:hAnsi="Times New Roman"/>
          <w:b w:val="0"/>
          <w:i w:val="0"/>
          <w:sz w:val="22"/>
        </w:rPr>
        <w:t xml:space="preserve">), </w:t>
      </w:r>
      <w:r>
        <w:rPr>
          <w:rFonts w:ascii="Times New Roman" w:hAnsi="Times New Roman"/>
          <w:b w:val="0"/>
          <w:i/>
          <w:sz w:val="22"/>
        </w:rPr>
        <w:t>L_(t-i)</w:t>
      </w:r>
      <w:r>
        <w:rPr>
          <w:rFonts w:ascii="Times New Roman" w:hAnsi="Times New Roman"/>
          <w:b w:val="0"/>
          <w:i w:val="0"/>
          <w:sz w:val="22"/>
        </w:rPr>
        <w:t xml:space="preserve"> adalah harga terendah (</w:t>
      </w:r>
      <w:r>
        <w:rPr>
          <w:rFonts w:ascii="Times New Roman" w:hAnsi="Times New Roman"/>
          <w:b w:val="0"/>
          <w:i/>
          <w:sz w:val="22"/>
        </w:rPr>
        <w:t>Low</w:t>
      </w:r>
      <w:r>
        <w:rPr>
          <w:rFonts w:ascii="Times New Roman" w:hAnsi="Times New Roman"/>
          <w:b w:val="0"/>
          <w:i w:val="0"/>
          <w:sz w:val="22"/>
        </w:rPr>
        <w:t>) pada hari ke-</w:t>
      </w:r>
      <w:r>
        <w:rPr>
          <w:rFonts w:ascii="Times New Roman" w:hAnsi="Times New Roman"/>
          <w:b w:val="0"/>
          <w:i/>
          <w:sz w:val="22"/>
        </w:rPr>
        <w:t>(t-i)</w:t>
      </w:r>
      <w:r>
        <w:rPr>
          <w:rFonts w:ascii="Times New Roman" w:hAnsi="Times New Roman"/>
          <w:b w:val="0"/>
          <w:i w:val="0"/>
          <w:sz w:val="22"/>
        </w:rPr>
        <w:t xml:space="preserve">, dan </w:t>
      </w:r>
      <w:r>
        <w:rPr>
          <w:rFonts w:ascii="Times New Roman" w:hAnsi="Times New Roman"/>
          <w:b w:val="0"/>
          <w:i/>
          <w:sz w:val="22"/>
        </w:rPr>
        <w:t>C_(t-i-1)</w:t>
      </w:r>
      <w:r>
        <w:rPr>
          <w:rFonts w:ascii="Times New Roman" w:hAnsi="Times New Roman"/>
          <w:b w:val="0"/>
          <w:i w:val="0"/>
          <w:sz w:val="22"/>
        </w:rPr>
        <w:t xml:space="preserve"> adalah harga penutupan pada hari sebelumnya. Penggunaan operator nilai maksimum dari ketiga komponen selisih harga tersebut memungkinkan indikator </w:t>
      </w:r>
      <w:r>
        <w:rPr>
          <w:rFonts w:ascii="Times New Roman" w:hAnsi="Times New Roman"/>
          <w:b w:val="0"/>
          <w:i/>
          <w:sz w:val="22"/>
        </w:rPr>
        <w:t>ATR_14</w:t>
      </w:r>
      <w:r>
        <w:rPr>
          <w:rFonts w:ascii="Times New Roman" w:hAnsi="Times New Roman"/>
          <w:b w:val="0"/>
          <w:i w:val="0"/>
          <w:sz w:val="22"/>
        </w:rPr>
        <w:t xml:space="preserve"> menangkap lompatan celah harga (</w:t>
      </w:r>
      <w:r>
        <w:rPr>
          <w:rFonts w:ascii="Times New Roman" w:hAnsi="Times New Roman"/>
          <w:b w:val="0"/>
          <w:i/>
          <w:sz w:val="22"/>
        </w:rPr>
        <w:t>price gap</w:t>
      </w:r>
      <w:r>
        <w:rPr>
          <w:rFonts w:ascii="Times New Roman" w:hAnsi="Times New Roman"/>
          <w:b w:val="0"/>
          <w:i w:val="0"/>
          <w:sz w:val="22"/>
        </w:rPr>
        <w:t>) dan intensitas gejolak harian secara utuh.</w:t>
      </w:r>
    </w:p>
    <w:p>
      <w:pPr>
        <w:spacing w:line="276" w:lineRule="auto" w:after="100"/>
        <w:ind w:firstLine="454"/>
        <w:jc w:val="both"/>
      </w:pPr>
      <w:r>
        <w:rPr>
          <w:rFonts w:ascii="Times New Roman" w:hAnsi="Times New Roman"/>
          <w:b w:val="0"/>
          <w:i w:val="0"/>
          <w:sz w:val="22"/>
        </w:rPr>
        <w:t>Seluruh ke-14 fitur multivariat kemudian ditransformasikan ke dalam interval [0, 1] menggunakan normalisasi Min-Max sesuai Persamaan (6):</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sSup>
                <m:e>
                  <m:sSub>
                    <m:e>
                      <m:r>
                        <w:rPr>
                          <w:rFonts w:ascii="Cambria Math" w:hAnsi="Cambria Math"/>
                        </w:rPr>
                        <m:t>x</m:t>
                      </m:r>
                    </m:e>
                    <m:sub>
                      <m:r>
                        <w:rPr>
                          <w:rFonts w:ascii="Cambria Math" w:hAnsi="Cambria Math"/>
                        </w:rPr>
                        <m:t>t</m:t>
                      </m:r>
                    </m:sub>
                  </m:sSub>
                </m:e>
                <m:sup>
                  <m:r>
                    <m:rPr>
                      <m:sty m:val="p"/>
                    </m:rPr>
                    <w:rPr>
                      <w:rFonts w:ascii="Cambria Math" w:hAnsi="Cambria Math"/>
                    </w:rPr>
                    <m:t>'</m:t>
                  </m:r>
                </m:sup>
              </m:sSup>
              <m:r>
                <m:rPr>
                  <m:sty m:val="p"/>
                </m:rPr>
                <w:rPr>
                  <w:rFonts w:ascii="Cambria Math" w:hAnsi="Cambria Math"/>
                </w:rPr>
                <m:t> = </m:t>
              </m:r>
              <m:f>
                <m:num>
                  <m:sSub>
                    <m:e>
                      <m:r>
                        <w:rPr>
                          <w:rFonts w:ascii="Cambria Math" w:hAnsi="Cambria Math"/>
                        </w:rPr>
                        <m:t>x</m:t>
                      </m:r>
                    </m:e>
                    <m:sub>
                      <m:r>
                        <w:rPr>
                          <w:rFonts w:ascii="Cambria Math" w:hAnsi="Cambria Math"/>
                        </w:rPr>
                        <m:t>t</m:t>
                      </m:r>
                    </m:sub>
                  </m:sSub>
                  <m:r>
                    <m:rPr>
                      <m:sty m:val="p"/>
                    </m:rPr>
                    <w:rPr>
                      <w:rFonts w:ascii="Cambria Math" w:hAnsi="Cambria Math"/>
                    </w:rPr>
                    <m:t> − </m:t>
                  </m:r>
                  <m:sSub>
                    <m:e>
                      <m:r>
                        <w:rPr>
                          <w:rFonts w:ascii="Cambria Math" w:hAnsi="Cambria Math"/>
                        </w:rPr>
                        <m:t>x</m:t>
                      </m:r>
                    </m:e>
                    <m:sub>
                      <m:r>
                        <m:rPr>
                          <m:sty m:val="p"/>
                        </m:rPr>
                        <w:rPr>
                          <w:rFonts w:ascii="Cambria Math" w:hAnsi="Cambria Math"/>
                        </w:rPr>
                        <m:t>min</m:t>
                      </m:r>
                    </m:sub>
                  </m:sSub>
                </m:num>
                <m:den>
                  <m:sSub>
                    <m:e>
                      <m:r>
                        <w:rPr>
                          <w:rFonts w:ascii="Cambria Math" w:hAnsi="Cambria Math"/>
                        </w:rPr>
                        <m:t>x</m:t>
                      </m:r>
                    </m:e>
                    <m:sub>
                      <m:r>
                        <m:rPr>
                          <m:sty m:val="p"/>
                        </m:rPr>
                        <w:rPr>
                          <w:rFonts w:ascii="Cambria Math" w:hAnsi="Cambria Math"/>
                        </w:rPr>
                        <m:t>max</m:t>
                      </m:r>
                    </m:sub>
                  </m:sSub>
                  <m:r>
                    <m:rPr>
                      <m:sty m:val="p"/>
                    </m:rPr>
                    <w:rPr>
                      <w:rFonts w:ascii="Cambria Math" w:hAnsi="Cambria Math"/>
                    </w:rPr>
                    <m:t> − </m:t>
                  </m:r>
                  <m:sSub>
                    <m:e>
                      <m:r>
                        <w:rPr>
                          <w:rFonts w:ascii="Cambria Math" w:hAnsi="Cambria Math"/>
                        </w:rPr>
                        <m:t>x</m:t>
                      </m:r>
                    </m:e>
                    <m:sub>
                      <m:r>
                        <m:rPr>
                          <m:sty m:val="p"/>
                        </m:rPr>
                        <w:rPr>
                          <w:rFonts w:ascii="Cambria Math" w:hAnsi="Cambria Math"/>
                        </w:rPr>
                        <m:t>min</m:t>
                      </m:r>
                    </m:sub>
                  </m:sSub>
                </m:den>
              </m:f>
            </m:oMath>
          </w:p>
        </w:tc>
        <w:tc>
          <w:tcPr>
            <w:tcW w:type="dxa" w:w="1020"/>
            <w:vAlign w:val="center"/>
          </w:tcPr>
          <w:p>
            <w:pPr>
              <w:spacing w:before="80" w:after="80"/>
              <w:jc w:val="right"/>
            </w:pPr>
            <w:r>
              <w:rPr>
                <w:rFonts w:ascii="Times New Roman" w:hAnsi="Times New Roman"/>
                <w:sz w:val="24"/>
              </w:rPr>
              <w:t>(6)</w:t>
            </w:r>
          </w:p>
        </w:tc>
      </w:tr>
    </w:tbl>
    <w:p>
      <w:pPr>
        <w:spacing w:before="60" w:after="120" w:line="276" w:lineRule="auto"/>
        <w:ind w:firstLine="454"/>
        <w:jc w:val="both"/>
      </w:pPr>
      <w:r>
        <w:rPr>
          <w:rFonts w:ascii="Times New Roman" w:hAnsi="Times New Roman"/>
          <w:b w:val="0"/>
          <w:i w:val="0"/>
          <w:sz w:val="22"/>
        </w:rPr>
        <w:t xml:space="preserve">Berdasarkan Persamaan (6) di atas, </w:t>
      </w:r>
      <w:r>
        <w:rPr>
          <w:rFonts w:ascii="Times New Roman" w:hAnsi="Times New Roman"/>
          <w:b w:val="0"/>
          <w:i/>
          <w:sz w:val="22"/>
        </w:rPr>
        <w:t>x'_t</w:t>
      </w:r>
      <w:r>
        <w:rPr>
          <w:rFonts w:ascii="Times New Roman" w:hAnsi="Times New Roman"/>
          <w:b w:val="0"/>
          <w:i w:val="0"/>
          <w:sz w:val="22"/>
        </w:rPr>
        <w:t xml:space="preserve"> menyatakan nilai fitur pada hari ke-</w:t>
      </w:r>
      <w:r>
        <w:rPr>
          <w:rFonts w:ascii="Times New Roman" w:hAnsi="Times New Roman"/>
          <w:b w:val="0"/>
          <w:i/>
          <w:sz w:val="22"/>
        </w:rPr>
        <w:t>t</w:t>
      </w:r>
      <w:r>
        <w:rPr>
          <w:rFonts w:ascii="Times New Roman" w:hAnsi="Times New Roman"/>
          <w:b w:val="0"/>
          <w:i w:val="0"/>
          <w:sz w:val="22"/>
        </w:rPr>
        <w:t xml:space="preserve"> yang telah dinormalisasi ke dalam interval [0, 1], </w:t>
      </w:r>
      <w:r>
        <w:rPr>
          <w:rFonts w:ascii="Times New Roman" w:hAnsi="Times New Roman"/>
          <w:b w:val="0"/>
          <w:i/>
          <w:sz w:val="22"/>
        </w:rPr>
        <w:t>x_t</w:t>
      </w:r>
      <w:r>
        <w:rPr>
          <w:rFonts w:ascii="Times New Roman" w:hAnsi="Times New Roman"/>
          <w:b w:val="0"/>
          <w:i w:val="0"/>
          <w:sz w:val="22"/>
        </w:rPr>
        <w:t xml:space="preserve"> adalah nilai fitur asli sebelum transformasi, serta </w:t>
      </w:r>
      <w:r>
        <w:rPr>
          <w:rFonts w:ascii="Times New Roman" w:hAnsi="Times New Roman"/>
          <w:b w:val="0"/>
          <w:i/>
          <w:sz w:val="22"/>
        </w:rPr>
        <w:t>x_min</w:t>
      </w:r>
      <w:r>
        <w:rPr>
          <w:rFonts w:ascii="Times New Roman" w:hAnsi="Times New Roman"/>
          <w:b w:val="0"/>
          <w:i w:val="0"/>
          <w:sz w:val="22"/>
        </w:rPr>
        <w:t xml:space="preserve"> dan </w:t>
      </w:r>
      <w:r>
        <w:rPr>
          <w:rFonts w:ascii="Times New Roman" w:hAnsi="Times New Roman"/>
          <w:b w:val="0"/>
          <w:i/>
          <w:sz w:val="22"/>
        </w:rPr>
        <w:t>x_max</w:t>
      </w:r>
      <w:r>
        <w:rPr>
          <w:rFonts w:ascii="Times New Roman" w:hAnsi="Times New Roman"/>
          <w:b w:val="0"/>
          <w:i w:val="0"/>
          <w:sz w:val="22"/>
        </w:rPr>
        <w:t xml:space="preserve"> masing-masing menyatakan nilai minimum dan nilai maksimum dari fitur tersebut yang diekstraksi secara eksklusif dari himpunan Data Latih (</w:t>
      </w:r>
      <w:r>
        <w:rPr>
          <w:rFonts w:ascii="Times New Roman" w:hAnsi="Times New Roman"/>
          <w:b w:val="0"/>
          <w:i/>
          <w:sz w:val="22"/>
        </w:rPr>
        <w:t>Training Set</w:t>
      </w:r>
      <w:r>
        <w:rPr>
          <w:rFonts w:ascii="Times New Roman" w:hAnsi="Times New Roman"/>
          <w:b w:val="0"/>
          <w:i w:val="0"/>
          <w:sz w:val="22"/>
        </w:rPr>
        <w:t xml:space="preserve">). Pembatasan perhitungan </w:t>
      </w:r>
      <w:r>
        <w:rPr>
          <w:rFonts w:ascii="Times New Roman" w:hAnsi="Times New Roman"/>
          <w:b w:val="0"/>
          <w:i/>
          <w:sz w:val="22"/>
        </w:rPr>
        <w:t>x_min</w:t>
      </w:r>
      <w:r>
        <w:rPr>
          <w:rFonts w:ascii="Times New Roman" w:hAnsi="Times New Roman"/>
          <w:b w:val="0"/>
          <w:i w:val="0"/>
          <w:sz w:val="22"/>
        </w:rPr>
        <w:t xml:space="preserve"> dan </w:t>
      </w:r>
      <w:r>
        <w:rPr>
          <w:rFonts w:ascii="Times New Roman" w:hAnsi="Times New Roman"/>
          <w:b w:val="0"/>
          <w:i/>
          <w:sz w:val="22"/>
        </w:rPr>
        <w:t>x_max</w:t>
      </w:r>
      <w:r>
        <w:rPr>
          <w:rFonts w:ascii="Times New Roman" w:hAnsi="Times New Roman"/>
          <w:b w:val="0"/>
          <w:i w:val="0"/>
          <w:sz w:val="22"/>
        </w:rPr>
        <w:t xml:space="preserve"> hanya pada data latih diterapkan secara ketat untuk menyeragamkan skala gradien antar-variabel sekaligus mencegah kebocoran informasi masa depan (</w:t>
      </w:r>
      <w:r>
        <w:rPr>
          <w:rFonts w:ascii="Times New Roman" w:hAnsi="Times New Roman"/>
          <w:b w:val="0"/>
          <w:i/>
          <w:sz w:val="22"/>
        </w:rPr>
        <w:t>data leakage</w:t>
      </w:r>
      <w:r>
        <w:rPr>
          <w:rFonts w:ascii="Times New Roman" w:hAnsi="Times New Roman"/>
          <w:b w:val="0"/>
          <w:i w:val="0"/>
          <w:sz w:val="22"/>
        </w:rPr>
        <w:t>) ke dalam himpunan validasi dan pengujian.</w:t>
      </w:r>
    </w:p>
    <w:p>
      <w:pPr>
        <w:keepNext/>
        <w:spacing w:before="160" w:after="60"/>
      </w:pPr>
      <w:r>
        <w:rPr>
          <w:rFonts w:ascii="Times New Roman" w:hAnsi="Times New Roman"/>
          <w:b/>
          <w:sz w:val="22"/>
        </w:rPr>
        <w:t xml:space="preserve">2.2. </w:t>
      </w:r>
      <w:r>
        <w:rPr>
          <w:rFonts w:ascii="Times New Roman" w:hAnsi="Times New Roman"/>
          <w:b/>
          <w:i w:val="0"/>
          <w:sz w:val="22"/>
        </w:rPr>
        <w:t>Arsitektur Model Hibrida CNN-BiLSTM-Attention</w:t>
      </w:r>
    </w:p>
    <w:p>
      <w:pPr>
        <w:spacing w:line="276" w:lineRule="auto" w:after="100"/>
        <w:ind w:firstLine="454"/>
        <w:jc w:val="both"/>
      </w:pPr>
      <w:r>
        <w:rPr>
          <w:rFonts w:ascii="Times New Roman" w:hAnsi="Times New Roman"/>
          <w:b w:val="0"/>
          <w:i w:val="0"/>
          <w:sz w:val="22"/>
        </w:rPr>
        <w:t xml:space="preserve">Arsitektur yang diusulkan memadukan keunggulan ekstraksi lokal 1D-CNN, pemodelan konteks dua arah BiLSTM, dan pembobotan selektif Temporal </w:t>
      </w:r>
      <w:r>
        <w:rPr>
          <w:rFonts w:ascii="Times New Roman" w:hAnsi="Times New Roman"/>
          <w:b w:val="0"/>
          <w:i/>
          <w:sz w:val="22"/>
        </w:rPr>
        <w:t>Bahdanau Attention</w:t>
      </w:r>
      <w:r>
        <w:rPr>
          <w:rFonts w:ascii="Times New Roman" w:hAnsi="Times New Roman"/>
          <w:b w:val="0"/>
          <w:i w:val="0"/>
          <w:sz w:val="22"/>
        </w:rPr>
        <w:t xml:space="preserve"> sebagaimana diilustrasikan pada Gambar 2. Sekuen input multivariat X ∈ R^(T×F) dengan panjang jendela waktu T = 20 hari dan F = 14 fitur pertama-tama diproses oleh lapisan konvolusi satu dimensi (32 filter, ukuran kernel k = 3, aktivasi LeakyReLU) sesuai Persamaan (7):</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sSub>
                <m:e>
                  <m:r>
                    <w:rPr>
                      <w:rFonts w:ascii="Cambria Math" w:hAnsi="Cambria Math"/>
                    </w:rPr>
                    <m:t>c</m:t>
                  </m:r>
                </m:e>
                <m:sub>
                  <m:r>
                    <w:rPr>
                      <w:rFonts w:ascii="Cambria Math" w:hAnsi="Cambria Math"/>
                    </w:rPr>
                    <m:t>t</m:t>
                  </m:r>
                </m:sub>
              </m:sSub>
              <m:r>
                <m:rPr>
                  <m:sty m:val="p"/>
                </m:rPr>
                <w:rPr>
                  <w:rFonts w:ascii="Cambria Math" w:hAnsi="Cambria Math"/>
                </w:rPr>
                <m:t> = </m:t>
              </m:r>
              <m:r>
                <m:rPr>
                  <m:sty m:val="p"/>
                </m:rPr>
                <w:rPr>
                  <w:rFonts w:ascii="Cambria Math" w:hAnsi="Cambria Math"/>
                </w:rPr>
                <m:t>LeakyReLU</m:t>
              </m:r>
              <m:d>
                <m:dPr>
                  <m:begChr m:val="("/>
                  <m:endChr m:val=")"/>
                </m:dPr>
                <m:e>
                  <m:nary>
                    <m:naryPr>
                      <m:chr m:val="∑"/>
                      <m:limLoc m:val="undOvr"/>
                    </m:naryPr>
                    <m:sub>
                      <m:r>
                        <w:rPr>
                          <w:rFonts w:ascii="Cambria Math" w:hAnsi="Cambria Math"/>
                        </w:rPr>
                        <m:t>j</m:t>
                      </m:r>
                      <m:r>
                        <m:rPr>
                          <m:sty m:val="p"/>
                        </m:rPr>
                        <w:rPr>
                          <w:rFonts w:ascii="Cambria Math" w:hAnsi="Cambria Math"/>
                        </w:rPr>
                        <m:t>=0</m:t>
                      </m:r>
                    </m:sub>
                    <m:sup>
                      <m:r>
                        <w:rPr>
                          <w:rFonts w:ascii="Cambria Math" w:hAnsi="Cambria Math"/>
                        </w:rPr>
                        <m:t>k</m:t>
                      </m:r>
                      <m:r>
                        <m:rPr>
                          <m:sty m:val="p"/>
                        </m:rPr>
                        <w:rPr>
                          <w:rFonts w:ascii="Cambria Math" w:hAnsi="Cambria Math"/>
                        </w:rPr>
                        <m:t>−1</m:t>
                      </m:r>
                    </m:sup>
                    <m:e>
                      <m:sSub>
                        <m:e>
                          <m:r>
                            <w:rPr>
                              <w:rFonts w:ascii="Cambria Math" w:hAnsi="Cambria Math"/>
                            </w:rPr>
                            <m:t>W</m:t>
                          </m:r>
                        </m:e>
                        <m:sub>
                          <m:r>
                            <w:rPr>
                              <w:rFonts w:ascii="Cambria Math" w:hAnsi="Cambria Math"/>
                            </w:rPr>
                            <m:t>c,j</m:t>
                          </m:r>
                        </m:sub>
                      </m:sSub>
                      <m:r>
                        <m:rPr>
                          <m:sty m:val="p"/>
                        </m:rPr>
                        <w:rPr>
                          <w:rFonts w:ascii="Cambria Math" w:hAnsi="Cambria Math"/>
                        </w:rPr>
                        <m:t>⋅</m:t>
                      </m:r>
                      <m:sSub>
                        <m:e>
                          <m:r>
                            <w:rPr>
                              <w:rFonts w:ascii="Cambria Math" w:hAnsi="Cambria Math"/>
                            </w:rPr>
                            <m:t>x</m:t>
                          </m:r>
                        </m:e>
                        <m:sub>
                          <m:r>
                            <w:rPr>
                              <w:rFonts w:ascii="Cambria Math" w:hAnsi="Cambria Math"/>
                            </w:rPr>
                            <m:t>t+j</m:t>
                          </m:r>
                        </m:sub>
                      </m:sSub>
                    </m:e>
                  </m:nary>
                  <m:r>
                    <m:rPr>
                      <m:sty m:val="p"/>
                    </m:rPr>
                    <w:rPr>
                      <w:rFonts w:ascii="Cambria Math" w:hAnsi="Cambria Math"/>
                    </w:rPr>
                    <m:t> + </m:t>
                  </m:r>
                  <m:sSub>
                    <m:e>
                      <m:r>
                        <w:rPr>
                          <w:rFonts w:ascii="Cambria Math" w:hAnsi="Cambria Math"/>
                        </w:rPr>
                        <m:t>b</m:t>
                      </m:r>
                    </m:e>
                    <m:sub>
                      <m:r>
                        <w:rPr>
                          <w:rFonts w:ascii="Cambria Math" w:hAnsi="Cambria Math"/>
                        </w:rPr>
                        <m:t>c</m:t>
                      </m:r>
                    </m:sub>
                  </m:sSub>
                </m:e>
              </m:d>
            </m:oMath>
          </w:p>
        </w:tc>
        <w:tc>
          <w:tcPr>
            <w:tcW w:type="dxa" w:w="1020"/>
            <w:vAlign w:val="center"/>
          </w:tcPr>
          <w:p>
            <w:pPr>
              <w:spacing w:before="80" w:after="80"/>
              <w:jc w:val="right"/>
            </w:pPr>
            <w:r>
              <w:rPr>
                <w:rFonts w:ascii="Times New Roman" w:hAnsi="Times New Roman"/>
                <w:sz w:val="24"/>
              </w:rPr>
              <w:t>(7)</w:t>
            </w:r>
          </w:p>
        </w:tc>
      </w:tr>
    </w:tbl>
    <w:p>
      <w:pPr>
        <w:spacing w:before="60" w:after="120" w:line="276" w:lineRule="auto"/>
        <w:ind w:firstLine="454"/>
        <w:jc w:val="both"/>
      </w:pPr>
      <w:r>
        <w:rPr>
          <w:rFonts w:ascii="Times New Roman" w:hAnsi="Times New Roman"/>
          <w:b w:val="0"/>
          <w:i w:val="0"/>
          <w:sz w:val="22"/>
        </w:rPr>
        <w:t xml:space="preserve">Berdasarkan Persamaan (7) di atas, </w:t>
      </w:r>
      <w:r>
        <w:rPr>
          <w:rFonts w:ascii="Times New Roman" w:hAnsi="Times New Roman"/>
          <w:b w:val="0"/>
          <w:i/>
          <w:sz w:val="22"/>
        </w:rPr>
        <w:t>c_t</w:t>
      </w:r>
      <w:r>
        <w:rPr>
          <w:rFonts w:ascii="Times New Roman" w:hAnsi="Times New Roman"/>
          <w:b w:val="0"/>
          <w:i w:val="0"/>
          <w:sz w:val="22"/>
        </w:rPr>
        <w:t xml:space="preserve"> menyatakan vektor peta fitur konvolusional (</w:t>
      </w:r>
      <w:r>
        <w:rPr>
          <w:rFonts w:ascii="Times New Roman" w:hAnsi="Times New Roman"/>
          <w:b w:val="0"/>
          <w:i/>
          <w:sz w:val="22"/>
        </w:rPr>
        <w:t>feature map</w:t>
      </w:r>
      <w:r>
        <w:rPr>
          <w:rFonts w:ascii="Times New Roman" w:hAnsi="Times New Roman"/>
          <w:b w:val="0"/>
          <w:i w:val="0"/>
          <w:sz w:val="22"/>
        </w:rPr>
        <w:t>) yang dihasilkan pada langkah waktu ke-</w:t>
      </w:r>
      <w:r>
        <w:rPr>
          <w:rFonts w:ascii="Times New Roman" w:hAnsi="Times New Roman"/>
          <w:b w:val="0"/>
          <w:i/>
          <w:sz w:val="22"/>
        </w:rPr>
        <w:t>t</w:t>
      </w:r>
      <w:r>
        <w:rPr>
          <w:rFonts w:ascii="Times New Roman" w:hAnsi="Times New Roman"/>
          <w:b w:val="0"/>
          <w:i w:val="0"/>
          <w:sz w:val="22"/>
        </w:rPr>
        <w:t xml:space="preserve">, </w:t>
      </w:r>
      <w:r>
        <w:rPr>
          <w:rFonts w:ascii="Times New Roman" w:hAnsi="Times New Roman"/>
          <w:b w:val="0"/>
          <w:i/>
          <w:sz w:val="22"/>
        </w:rPr>
        <w:t>W_(c,j)</w:t>
      </w:r>
      <w:r>
        <w:rPr>
          <w:rFonts w:ascii="Times New Roman" w:hAnsi="Times New Roman"/>
          <w:b w:val="0"/>
          <w:i w:val="0"/>
          <w:sz w:val="22"/>
        </w:rPr>
        <w:t xml:space="preserve"> adalah matriks bobot filter konvolusi satu dimensi pada indeks geser </w:t>
      </w:r>
      <w:r>
        <w:rPr>
          <w:rFonts w:ascii="Times New Roman" w:hAnsi="Times New Roman"/>
          <w:b w:val="0"/>
          <w:i/>
          <w:sz w:val="22"/>
        </w:rPr>
        <w:t>j</w:t>
      </w:r>
      <w:r>
        <w:rPr>
          <w:rFonts w:ascii="Times New Roman" w:hAnsi="Times New Roman"/>
          <w:b w:val="0"/>
          <w:i w:val="0"/>
          <w:sz w:val="22"/>
        </w:rPr>
        <w:t xml:space="preserve">, </w:t>
      </w:r>
      <w:r>
        <w:rPr>
          <w:rFonts w:ascii="Times New Roman" w:hAnsi="Times New Roman"/>
          <w:b w:val="0"/>
          <w:i/>
          <w:sz w:val="22"/>
        </w:rPr>
        <w:t>k</w:t>
      </w:r>
      <w:r>
        <w:rPr>
          <w:rFonts w:ascii="Times New Roman" w:hAnsi="Times New Roman"/>
          <w:b w:val="0"/>
          <w:i w:val="0"/>
          <w:sz w:val="22"/>
        </w:rPr>
        <w:t xml:space="preserve"> adalah ukuran jendela kernel konvolusi (ditetapkan </w:t>
      </w:r>
      <w:r>
        <w:rPr>
          <w:rFonts w:ascii="Times New Roman" w:hAnsi="Times New Roman"/>
          <w:b w:val="0"/>
          <w:i/>
          <w:sz w:val="22"/>
        </w:rPr>
        <w:t>k</w:t>
      </w:r>
      <w:r>
        <w:rPr>
          <w:rFonts w:ascii="Times New Roman" w:hAnsi="Times New Roman"/>
          <w:b w:val="0"/>
          <w:i w:val="0"/>
          <w:sz w:val="22"/>
        </w:rPr>
        <w:t xml:space="preserve"> = 3), </w:t>
      </w:r>
      <w:r>
        <w:rPr>
          <w:rFonts w:ascii="Times New Roman" w:hAnsi="Times New Roman"/>
          <w:b w:val="0"/>
          <w:i/>
          <w:sz w:val="22"/>
        </w:rPr>
        <w:t>x_(t+j)</w:t>
      </w:r>
      <w:r>
        <w:rPr>
          <w:rFonts w:ascii="Times New Roman" w:hAnsi="Times New Roman"/>
          <w:b w:val="0"/>
          <w:i w:val="0"/>
          <w:sz w:val="22"/>
        </w:rPr>
        <w:t xml:space="preserve"> adalah vektor input multivariat berdimensi 14 fitur pada langkah waktu </w:t>
      </w:r>
      <w:r>
        <w:rPr>
          <w:rFonts w:ascii="Times New Roman" w:hAnsi="Times New Roman"/>
          <w:b w:val="0"/>
          <w:i/>
          <w:sz w:val="22"/>
        </w:rPr>
        <w:t>(t+j)</w:t>
      </w:r>
      <w:r>
        <w:rPr>
          <w:rFonts w:ascii="Times New Roman" w:hAnsi="Times New Roman"/>
          <w:b w:val="0"/>
          <w:i w:val="0"/>
          <w:sz w:val="22"/>
        </w:rPr>
        <w:t xml:space="preserve">, dan </w:t>
      </w:r>
      <w:r>
        <w:rPr>
          <w:rFonts w:ascii="Times New Roman" w:hAnsi="Times New Roman"/>
          <w:b w:val="0"/>
          <w:i/>
          <w:sz w:val="22"/>
        </w:rPr>
        <w:t>b_c</w:t>
      </w:r>
      <w:r>
        <w:rPr>
          <w:rFonts w:ascii="Times New Roman" w:hAnsi="Times New Roman"/>
          <w:b w:val="0"/>
          <w:i w:val="0"/>
          <w:sz w:val="22"/>
        </w:rPr>
        <w:t xml:space="preserve"> merupakan vektor bias konvolusi. Penggunaan fungsi aktivasi non-linier </w:t>
      </w:r>
      <w:r>
        <w:rPr>
          <w:rFonts w:ascii="Times New Roman" w:hAnsi="Times New Roman"/>
          <w:b w:val="0"/>
          <w:i/>
          <w:sz w:val="22"/>
        </w:rPr>
        <w:t>LeakyReLU</w:t>
      </w:r>
      <w:r>
        <w:rPr>
          <w:rFonts w:ascii="Times New Roman" w:hAnsi="Times New Roman"/>
          <w:b w:val="0"/>
          <w:i w:val="0"/>
          <w:sz w:val="22"/>
        </w:rPr>
        <w:t xml:space="preserve"> menjaga aliran gradien tetap aktif pada nilai input negatif dan memungkinkan jaringan mengekstraksi pola morfologi lokal lintas indikator teknikal sebelum masuk ke lapisan rekuren.</w:t>
      </w:r>
    </w:p>
    <w:p>
      <w:pPr>
        <w:keepNext/>
        <w:spacing w:before="120" w:after="40"/>
        <w:jc w:val="center"/>
      </w:pPr>
      <w:r>
        <w:drawing>
          <wp:inline xmlns:a="http://schemas.openxmlformats.org/drawingml/2006/main" xmlns:pic="http://schemas.openxmlformats.org/drawingml/2006/picture">
            <wp:extent cx="5040000" cy="2016000"/>
            <wp:docPr id="2" name="Picture 2"/>
            <wp:cNvGraphicFramePr>
              <a:graphicFrameLocks noChangeAspect="1"/>
            </wp:cNvGraphicFramePr>
            <a:graphic>
              <a:graphicData uri="http://schemas.openxmlformats.org/drawingml/2006/picture">
                <pic:pic>
                  <pic:nvPicPr>
                    <pic:cNvPr id="0" name="fig3_model_architecture.png"/>
                    <pic:cNvPicPr/>
                  </pic:nvPicPr>
                  <pic:blipFill>
                    <a:blip r:embed="rId12"/>
                    <a:stretch>
                      <a:fillRect/>
                    </a:stretch>
                  </pic:blipFill>
                  <pic:spPr>
                    <a:xfrm>
                      <a:off x="0" y="0"/>
                      <a:ext cx="5040000" cy="2016000"/>
                    </a:xfrm>
                    <a:prstGeom prst="rect"/>
                  </pic:spPr>
                </pic:pic>
              </a:graphicData>
            </a:graphic>
          </wp:inline>
        </w:drawing>
      </w:r>
    </w:p>
    <w:p>
      <w:pPr>
        <w:keepNext/>
        <w:spacing w:before="40" w:after="100"/>
        <w:jc w:val="center"/>
      </w:pPr>
      <w:r>
        <w:rPr>
          <w:rFonts w:ascii="Times New Roman" w:hAnsi="Times New Roman"/>
          <w:b/>
          <w:sz w:val="20"/>
        </w:rPr>
        <w:t xml:space="preserve">Gambar 2. </w:t>
      </w:r>
      <w:r>
        <w:rPr>
          <w:rFonts w:ascii="Times New Roman" w:hAnsi="Times New Roman"/>
          <w:b/>
          <w:i w:val="0"/>
          <w:sz w:val="20"/>
        </w:rPr>
        <w:t xml:space="preserve">Arsitektur Model Hibrida CNN-BiLSTM dengan Mekanisme </w:t>
      </w:r>
      <w:r>
        <w:rPr>
          <w:rFonts w:ascii="Times New Roman" w:hAnsi="Times New Roman"/>
          <w:b/>
          <w:i/>
          <w:sz w:val="20"/>
        </w:rPr>
        <w:t>Temporal Attention</w:t>
      </w:r>
    </w:p>
    <w:p>
      <w:pPr>
        <w:spacing w:line="276" w:lineRule="auto" w:after="100"/>
        <w:ind w:firstLine="454"/>
        <w:jc w:val="both"/>
      </w:pPr>
      <w:r>
        <w:rPr>
          <w:rFonts w:ascii="Times New Roman" w:hAnsi="Times New Roman"/>
          <w:b w:val="0"/>
          <w:i w:val="0"/>
          <w:sz w:val="22"/>
        </w:rPr>
        <w:t xml:space="preserve">Berdasarkan Gambar 2 di atas, dapat dijelaskan bahwa topologi jaringan hibrida CNN-BiLSTM-Attention tersusun atas lima komponen terhubung dari kiri ke kanan. Komponen pertama adalah matriks input sekuensial berukuran 20 hari × 14 fitur yang telah dinormalisasi. Komponen kedua berupa lapisan 1D-CNN (32 filter, kernel k = 3, aktivasi LeakyReLU) disertai proyeksi residual linier yang bertugas menyaring interaksi lokal antar-indikator teknikal. Komponen ketiga adalah lapisan Bidirectional LSTM (48 unit arah maju dan 48 unit arah mundur) yang menghasilkan representasi sekuensial dua arah H_t berdimensi 96 unit. Komponen keempat adalah modul Temporal </w:t>
      </w:r>
      <w:r>
        <w:rPr>
          <w:rFonts w:ascii="Times New Roman" w:hAnsi="Times New Roman"/>
          <w:b w:val="0"/>
          <w:i/>
          <w:sz w:val="22"/>
        </w:rPr>
        <w:t>Bahdanau Attention</w:t>
      </w:r>
      <w:r>
        <w:rPr>
          <w:rFonts w:ascii="Times New Roman" w:hAnsi="Times New Roman"/>
          <w:b w:val="0"/>
          <w:i w:val="0"/>
          <w:sz w:val="22"/>
        </w:rPr>
        <w:t xml:space="preserve"> yang menghitung skor energi e_t dan bobot probabilitas Softmax α_t di sepanjang 20 langkah waktu guna membentuk vektor konteks tertimbang. Komponen kelima menggabungkan vektor konteks dengan koneksi pintas (</w:t>
      </w:r>
      <w:r>
        <w:rPr>
          <w:rFonts w:ascii="Times New Roman" w:hAnsi="Times New Roman"/>
          <w:b w:val="0"/>
          <w:i/>
          <w:sz w:val="22"/>
        </w:rPr>
        <w:t>skip connection</w:t>
      </w:r>
      <w:r>
        <w:rPr>
          <w:rFonts w:ascii="Times New Roman" w:hAnsi="Times New Roman"/>
          <w:b w:val="0"/>
          <w:i w:val="0"/>
          <w:sz w:val="22"/>
        </w:rPr>
        <w:t>) dan memetakannya melalui lapisan Dense(32) serta Dense(1) untuk menghasilkan estimasi harga penutupan Solana pada hari berikutnya (ŷ_(t+1)).</w:t>
      </w:r>
    </w:p>
    <w:p>
      <w:pPr>
        <w:spacing w:line="276" w:lineRule="auto" w:after="100"/>
        <w:ind w:firstLine="454"/>
        <w:jc w:val="both"/>
      </w:pPr>
      <w:r>
        <w:rPr>
          <w:rFonts w:ascii="Times New Roman" w:hAnsi="Times New Roman"/>
          <w:b w:val="0"/>
          <w:i w:val="0"/>
          <w:sz w:val="22"/>
        </w:rPr>
        <w:t>Peta fitur keluaran konvolusi selanjutnya diproses oleh unit memori LSTM melalui mekanisme gerbang lupa (</w:t>
      </w:r>
      <w:r>
        <w:rPr>
          <w:rFonts w:ascii="Times New Roman" w:hAnsi="Times New Roman"/>
          <w:b w:val="0"/>
          <w:i/>
          <w:sz w:val="22"/>
        </w:rPr>
        <w:t>forget gate</w:t>
      </w:r>
      <w:r>
        <w:rPr>
          <w:rFonts w:ascii="Times New Roman" w:hAnsi="Times New Roman"/>
          <w:b w:val="0"/>
          <w:i w:val="0"/>
          <w:sz w:val="22"/>
        </w:rPr>
        <w:t>) f_t sebagaimana dinyatakan pada Persamaan (8):</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sSub>
                <m:e>
                  <m:r>
                    <w:rPr>
                      <w:rFonts w:ascii="Cambria Math" w:hAnsi="Cambria Math"/>
                    </w:rPr>
                    <m:t>f</m:t>
                  </m:r>
                </m:e>
                <m:sub>
                  <m:r>
                    <w:rPr>
                      <w:rFonts w:ascii="Cambria Math" w:hAnsi="Cambria Math"/>
                    </w:rPr>
                    <m:t>t</m:t>
                  </m:r>
                </m:sub>
              </m:sSub>
              <m:r>
                <m:rPr>
                  <m:sty m:val="p"/>
                </m:rPr>
                <w:rPr>
                  <w:rFonts w:ascii="Cambria Math" w:hAnsi="Cambria Math"/>
                </w:rPr>
                <m:t> = </m:t>
              </m:r>
              <m:r>
                <w:rPr>
                  <w:rFonts w:ascii="Cambria Math" w:hAnsi="Cambria Math"/>
                </w:rPr>
                <m:t>σ</m:t>
              </m:r>
              <m:d>
                <m:dPr>
                  <m:begChr m:val="("/>
                  <m:endChr m:val=")"/>
                </m:dPr>
                <m:e>
                  <m:sSub>
                    <m:e>
                      <m:r>
                        <w:rPr>
                          <w:rFonts w:ascii="Cambria Math" w:hAnsi="Cambria Math"/>
                        </w:rPr>
                        <m:t>W</m:t>
                      </m:r>
                    </m:e>
                    <m:sub>
                      <m:r>
                        <w:rPr>
                          <w:rFonts w:ascii="Cambria Math" w:hAnsi="Cambria Math"/>
                        </w:rPr>
                        <m:t>f</m:t>
                      </m:r>
                    </m:sub>
                  </m:sSub>
                  <m:r>
                    <m:rPr>
                      <m:sty m:val="p"/>
                    </m:rPr>
                    <w:rPr>
                      <w:rFonts w:ascii="Cambria Math" w:hAnsi="Cambria Math"/>
                    </w:rPr>
                    <m:t>⋅</m:t>
                  </m:r>
                  <m:d>
                    <m:dPr>
                      <m:begChr m:val="["/>
                      <m:endChr m:val="]"/>
                    </m:dPr>
                    <m:e>
                      <m:sSub>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m:t>
                      </m:r>
                      <m:sSub>
                        <m:e>
                          <m:r>
                            <w:rPr>
                              <w:rFonts w:ascii="Cambria Math" w:hAnsi="Cambria Math"/>
                            </w:rPr>
                            <m:t>c</m:t>
                          </m:r>
                        </m:e>
                        <m:sub>
                          <m:r>
                            <w:rPr>
                              <w:rFonts w:ascii="Cambria Math" w:hAnsi="Cambria Math"/>
                            </w:rPr>
                            <m:t>t</m:t>
                          </m:r>
                        </m:sub>
                      </m:sSub>
                    </m:e>
                  </m:d>
                  <m:r>
                    <m:rPr>
                      <m:sty m:val="p"/>
                    </m:rPr>
                    <w:rPr>
                      <w:rFonts w:ascii="Cambria Math" w:hAnsi="Cambria Math"/>
                    </w:rPr>
                    <m:t> + </m:t>
                  </m:r>
                  <m:sSub>
                    <m:e>
                      <m:r>
                        <w:rPr>
                          <w:rFonts w:ascii="Cambria Math" w:hAnsi="Cambria Math"/>
                        </w:rPr>
                        <m:t>b</m:t>
                      </m:r>
                    </m:e>
                    <m:sub>
                      <m:r>
                        <w:rPr>
                          <w:rFonts w:ascii="Cambria Math" w:hAnsi="Cambria Math"/>
                        </w:rPr>
                        <m:t>f</m:t>
                      </m:r>
                    </m:sub>
                  </m:sSub>
                </m:e>
              </m:d>
            </m:oMath>
          </w:p>
        </w:tc>
        <w:tc>
          <w:tcPr>
            <w:tcW w:type="dxa" w:w="1020"/>
            <w:vAlign w:val="center"/>
          </w:tcPr>
          <w:p>
            <w:pPr>
              <w:spacing w:before="80" w:after="80"/>
              <w:jc w:val="right"/>
            </w:pPr>
            <w:r>
              <w:rPr>
                <w:rFonts w:ascii="Times New Roman" w:hAnsi="Times New Roman"/>
                <w:sz w:val="24"/>
              </w:rPr>
              <w:t>(8)</w:t>
            </w:r>
          </w:p>
        </w:tc>
      </w:tr>
    </w:tbl>
    <w:p>
      <w:pPr>
        <w:spacing w:before="60" w:after="120" w:line="276" w:lineRule="auto"/>
        <w:ind w:firstLine="454"/>
        <w:jc w:val="both"/>
      </w:pPr>
      <w:r>
        <w:rPr>
          <w:rFonts w:ascii="Times New Roman" w:hAnsi="Times New Roman"/>
          <w:b w:val="0"/>
          <w:i w:val="0"/>
          <w:sz w:val="22"/>
        </w:rPr>
        <w:t xml:space="preserve">Berdasarkan Persamaan (8) di atas, </w:t>
      </w:r>
      <w:r>
        <w:rPr>
          <w:rFonts w:ascii="Times New Roman" w:hAnsi="Times New Roman"/>
          <w:b w:val="0"/>
          <w:i/>
          <w:sz w:val="22"/>
        </w:rPr>
        <w:t>f_t</w:t>
      </w:r>
      <w:r>
        <w:rPr>
          <w:rFonts w:ascii="Times New Roman" w:hAnsi="Times New Roman"/>
          <w:b w:val="0"/>
          <w:i w:val="0"/>
          <w:sz w:val="22"/>
        </w:rPr>
        <w:t xml:space="preserve"> menyatakan vektor aktivasi gerbang lupa (</w:t>
      </w:r>
      <w:r>
        <w:rPr>
          <w:rFonts w:ascii="Times New Roman" w:hAnsi="Times New Roman"/>
          <w:b w:val="0"/>
          <w:i/>
          <w:sz w:val="22"/>
        </w:rPr>
        <w:t>forget gate</w:t>
      </w:r>
      <w:r>
        <w:rPr>
          <w:rFonts w:ascii="Times New Roman" w:hAnsi="Times New Roman"/>
          <w:b w:val="0"/>
          <w:i w:val="0"/>
          <w:sz w:val="22"/>
        </w:rPr>
        <w:t>) pada langkah waktu ke-</w:t>
      </w:r>
      <w:r>
        <w:rPr>
          <w:rFonts w:ascii="Times New Roman" w:hAnsi="Times New Roman"/>
          <w:b w:val="0"/>
          <w:i/>
          <w:sz w:val="22"/>
        </w:rPr>
        <w:t>t</w:t>
      </w:r>
      <w:r>
        <w:rPr>
          <w:rFonts w:ascii="Times New Roman" w:hAnsi="Times New Roman"/>
          <w:b w:val="0"/>
          <w:i w:val="0"/>
          <w:sz w:val="22"/>
        </w:rPr>
        <w:t xml:space="preserve"> yang bernilai pada rentang (0, 1) melalui fungsi aktivasi sigmoid </w:t>
      </w:r>
      <w:r>
        <w:rPr>
          <w:rFonts w:ascii="Times New Roman" w:hAnsi="Times New Roman"/>
          <w:b w:val="0"/>
          <w:i/>
          <w:sz w:val="22"/>
        </w:rPr>
        <w:t>σ</w:t>
      </w:r>
      <w:r>
        <w:rPr>
          <w:rFonts w:ascii="Times New Roman" w:hAnsi="Times New Roman"/>
          <w:b w:val="0"/>
          <w:i w:val="0"/>
          <w:sz w:val="22"/>
        </w:rPr>
        <w:t xml:space="preserve">, </w:t>
      </w:r>
      <w:r>
        <w:rPr>
          <w:rFonts w:ascii="Times New Roman" w:hAnsi="Times New Roman"/>
          <w:b w:val="0"/>
          <w:i/>
          <w:sz w:val="22"/>
        </w:rPr>
        <w:t>W_f</w:t>
      </w:r>
      <w:r>
        <w:rPr>
          <w:rFonts w:ascii="Times New Roman" w:hAnsi="Times New Roman"/>
          <w:b w:val="0"/>
          <w:i w:val="0"/>
          <w:sz w:val="22"/>
        </w:rPr>
        <w:t xml:space="preserve"> dan </w:t>
      </w:r>
      <w:r>
        <w:rPr>
          <w:rFonts w:ascii="Times New Roman" w:hAnsi="Times New Roman"/>
          <w:b w:val="0"/>
          <w:i/>
          <w:sz w:val="22"/>
        </w:rPr>
        <w:t>b_f</w:t>
      </w:r>
      <w:r>
        <w:rPr>
          <w:rFonts w:ascii="Times New Roman" w:hAnsi="Times New Roman"/>
          <w:b w:val="0"/>
          <w:i w:val="0"/>
          <w:sz w:val="22"/>
        </w:rPr>
        <w:t xml:space="preserve"> adalah matriks bobot serta vektor bias gerbang lupa, </w:t>
      </w:r>
      <w:r>
        <w:rPr>
          <w:rFonts w:ascii="Times New Roman" w:hAnsi="Times New Roman"/>
          <w:b w:val="0"/>
          <w:i/>
          <w:sz w:val="22"/>
        </w:rPr>
        <w:t>h_(t-1)</w:t>
      </w:r>
      <w:r>
        <w:rPr>
          <w:rFonts w:ascii="Times New Roman" w:hAnsi="Times New Roman"/>
          <w:b w:val="0"/>
          <w:i w:val="0"/>
          <w:sz w:val="22"/>
        </w:rPr>
        <w:t xml:space="preserve"> adalah status tersembunyi (</w:t>
      </w:r>
      <w:r>
        <w:rPr>
          <w:rFonts w:ascii="Times New Roman" w:hAnsi="Times New Roman"/>
          <w:b w:val="0"/>
          <w:i/>
          <w:sz w:val="22"/>
        </w:rPr>
        <w:t>hidden state</w:t>
      </w:r>
      <w:r>
        <w:rPr>
          <w:rFonts w:ascii="Times New Roman" w:hAnsi="Times New Roman"/>
          <w:b w:val="0"/>
          <w:i w:val="0"/>
          <w:sz w:val="22"/>
        </w:rPr>
        <w:t xml:space="preserve">) dari langkah waktu sebelumnya, dan </w:t>
      </w:r>
      <w:r>
        <w:rPr>
          <w:rFonts w:ascii="Times New Roman" w:hAnsi="Times New Roman"/>
          <w:b w:val="0"/>
          <w:i/>
          <w:sz w:val="22"/>
        </w:rPr>
        <w:t>c_t</w:t>
      </w:r>
      <w:r>
        <w:rPr>
          <w:rFonts w:ascii="Times New Roman" w:hAnsi="Times New Roman"/>
          <w:b w:val="0"/>
          <w:i w:val="0"/>
          <w:sz w:val="22"/>
        </w:rPr>
        <w:t xml:space="preserve"> adalah fitur lokal keluaran lapisan 1D-CNN pada waktu </w:t>
      </w:r>
      <w:r>
        <w:rPr>
          <w:rFonts w:ascii="Times New Roman" w:hAnsi="Times New Roman"/>
          <w:b w:val="0"/>
          <w:i/>
          <w:sz w:val="22"/>
        </w:rPr>
        <w:t>t</w:t>
      </w:r>
      <w:r>
        <w:rPr>
          <w:rFonts w:ascii="Times New Roman" w:hAnsi="Times New Roman"/>
          <w:b w:val="0"/>
          <w:i w:val="0"/>
          <w:sz w:val="22"/>
        </w:rPr>
        <w:t xml:space="preserve">. Nilai </w:t>
      </w:r>
      <w:r>
        <w:rPr>
          <w:rFonts w:ascii="Times New Roman" w:hAnsi="Times New Roman"/>
          <w:b w:val="0"/>
          <w:i/>
          <w:sz w:val="22"/>
        </w:rPr>
        <w:t>f_t</w:t>
      </w:r>
      <w:r>
        <w:rPr>
          <w:rFonts w:ascii="Times New Roman" w:hAnsi="Times New Roman"/>
          <w:b w:val="0"/>
          <w:i w:val="0"/>
          <w:sz w:val="22"/>
        </w:rPr>
        <w:t xml:space="preserve"> yang mendekati 0 menginstruksikan sel memori untuk melupakan informasi historis yang sudah tidak relevan, sedangkan nilai mendekati 1 mempertahankan memori jangka panjang.</w:t>
      </w:r>
    </w:p>
    <w:p>
      <w:pPr>
        <w:spacing w:line="276" w:lineRule="auto" w:after="100"/>
        <w:ind w:firstLine="454"/>
        <w:jc w:val="both"/>
      </w:pPr>
      <w:r>
        <w:rPr>
          <w:rFonts w:ascii="Times New Roman" w:hAnsi="Times New Roman"/>
          <w:b w:val="0"/>
          <w:i w:val="0"/>
          <w:sz w:val="22"/>
        </w:rPr>
        <w:t>Penyeleksian informasi fitur baru yang masuk ke dalam sel memori diatur oleh gerbang masukan (</w:t>
      </w:r>
      <w:r>
        <w:rPr>
          <w:rFonts w:ascii="Times New Roman" w:hAnsi="Times New Roman"/>
          <w:b w:val="0"/>
          <w:i/>
          <w:sz w:val="22"/>
        </w:rPr>
        <w:t>input gate</w:t>
      </w:r>
      <w:r>
        <w:rPr>
          <w:rFonts w:ascii="Times New Roman" w:hAnsi="Times New Roman"/>
          <w:b w:val="0"/>
          <w:i w:val="0"/>
          <w:sz w:val="22"/>
        </w:rPr>
        <w:t>) i_t dan kandidat memori S̃_t sesuai Persamaan (9):</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sSub>
                <m:e>
                  <m:r>
                    <w:rPr>
                      <w:rFonts w:ascii="Cambria Math" w:hAnsi="Cambria Math"/>
                    </w:rPr>
                    <m:t>i</m:t>
                  </m:r>
                </m:e>
                <m:sub>
                  <m:r>
                    <w:rPr>
                      <w:rFonts w:ascii="Cambria Math" w:hAnsi="Cambria Math"/>
                    </w:rPr>
                    <m:t>t</m:t>
                  </m:r>
                </m:sub>
              </m:sSub>
              <m:r>
                <m:rPr>
                  <m:sty m:val="p"/>
                </m:rPr>
                <w:rPr>
                  <w:rFonts w:ascii="Cambria Math" w:hAnsi="Cambria Math"/>
                </w:rPr>
                <m:t> = </m:t>
              </m:r>
              <m:r>
                <w:rPr>
                  <w:rFonts w:ascii="Cambria Math" w:hAnsi="Cambria Math"/>
                </w:rPr>
                <m:t>σ</m:t>
              </m:r>
              <m:d>
                <m:dPr>
                  <m:begChr m:val="("/>
                  <m:endChr m:val=")"/>
                </m:dPr>
                <m:e>
                  <m:sSub>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dPr>
                    <m:e>
                      <m:sSub>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m:t>
                      </m:r>
                      <m:sSub>
                        <m:e>
                          <m:r>
                            <w:rPr>
                              <w:rFonts w:ascii="Cambria Math" w:hAnsi="Cambria Math"/>
                            </w:rPr>
                            <m:t>c</m:t>
                          </m:r>
                        </m:e>
                        <m:sub>
                          <m:r>
                            <w:rPr>
                              <w:rFonts w:ascii="Cambria Math" w:hAnsi="Cambria Math"/>
                            </w:rPr>
                            <m:t>t</m:t>
                          </m:r>
                        </m:sub>
                      </m:sSub>
                    </m:e>
                  </m:d>
                  <m:r>
                    <m:rPr>
                      <m:sty m:val="p"/>
                    </m:rPr>
                    <w:rPr>
                      <w:rFonts w:ascii="Cambria Math" w:hAnsi="Cambria Math"/>
                    </w:rPr>
                    <m:t> + </m:t>
                  </m:r>
                  <m:sSub>
                    <m:e>
                      <m:r>
                        <w:rPr>
                          <w:rFonts w:ascii="Cambria Math" w:hAnsi="Cambria Math"/>
                        </w:rPr>
                        <m:t>b</m:t>
                      </m:r>
                    </m:e>
                    <m:sub>
                      <m:r>
                        <w:rPr>
                          <w:rFonts w:ascii="Cambria Math" w:hAnsi="Cambria Math"/>
                        </w:rPr>
                        <m:t>i</m:t>
                      </m:r>
                    </m:sub>
                  </m:sSub>
                </m:e>
              </m:d>
              <m:r>
                <m:rPr>
                  <m:sty m:val="p"/>
                </m:rPr>
                <w:rPr>
                  <w:rFonts w:ascii="Cambria Math" w:hAnsi="Cambria Math"/>
                </w:rPr>
                <m:t> ,   </m:t>
              </m:r>
              <m:sSub>
                <m:e>
                  <m:acc>
                    <m:accPr>
                      <m:chr m:val="̃"/>
                    </m:accPr>
                    <m:e>
                      <m:r>
                        <w:rPr>
                          <w:rFonts w:ascii="Cambria Math" w:hAnsi="Cambria Math"/>
                        </w:rPr>
                        <m:t>S</m:t>
                      </m:r>
                    </m:e>
                  </m:acc>
                </m:e>
                <m:sub>
                  <m:r>
                    <w:rPr>
                      <w:rFonts w:ascii="Cambria Math" w:hAnsi="Cambria Math"/>
                    </w:rPr>
                    <m:t>t</m:t>
                  </m:r>
                </m:sub>
              </m:sSub>
              <m:r>
                <m:rPr>
                  <m:sty m:val="p"/>
                </m:rPr>
                <w:rPr>
                  <w:rFonts w:ascii="Cambria Math" w:hAnsi="Cambria Math"/>
                </w:rPr>
                <m:t> = </m:t>
              </m:r>
              <m:r>
                <m:rPr>
                  <m:sty m:val="p"/>
                </m:rPr>
                <w:rPr>
                  <w:rFonts w:ascii="Cambria Math" w:hAnsi="Cambria Math"/>
                </w:rPr>
                <m:t>tanh</m:t>
              </m:r>
              <m:d>
                <m:dPr>
                  <m:begChr m:val="("/>
                  <m:endChr m:val=")"/>
                </m:dPr>
                <m:e>
                  <m:sSub>
                    <m:e>
                      <m:r>
                        <w:rPr>
                          <w:rFonts w:ascii="Cambria Math" w:hAnsi="Cambria Math"/>
                        </w:rPr>
                        <m:t>W</m:t>
                      </m:r>
                    </m:e>
                    <m:sub>
                      <m:r>
                        <w:rPr>
                          <w:rFonts w:ascii="Cambria Math" w:hAnsi="Cambria Math"/>
                        </w:rPr>
                        <m:t>s</m:t>
                      </m:r>
                    </m:sub>
                  </m:sSub>
                  <m:r>
                    <m:rPr>
                      <m:sty m:val="p"/>
                    </m:rPr>
                    <w:rPr>
                      <w:rFonts w:ascii="Cambria Math" w:hAnsi="Cambria Math"/>
                    </w:rPr>
                    <m:t>⋅</m:t>
                  </m:r>
                  <m:d>
                    <m:dPr>
                      <m:begChr m:val="["/>
                      <m:endChr m:val="]"/>
                    </m:dPr>
                    <m:e>
                      <m:sSub>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m:t>
                      </m:r>
                      <m:sSub>
                        <m:e>
                          <m:r>
                            <w:rPr>
                              <w:rFonts w:ascii="Cambria Math" w:hAnsi="Cambria Math"/>
                            </w:rPr>
                            <m:t>c</m:t>
                          </m:r>
                        </m:e>
                        <m:sub>
                          <m:r>
                            <w:rPr>
                              <w:rFonts w:ascii="Cambria Math" w:hAnsi="Cambria Math"/>
                            </w:rPr>
                            <m:t>t</m:t>
                          </m:r>
                        </m:sub>
                      </m:sSub>
                    </m:e>
                  </m:d>
                  <m:r>
                    <m:rPr>
                      <m:sty m:val="p"/>
                    </m:rPr>
                    <w:rPr>
                      <w:rFonts w:ascii="Cambria Math" w:hAnsi="Cambria Math"/>
                    </w:rPr>
                    <m:t> + </m:t>
                  </m:r>
                  <m:sSub>
                    <m:e>
                      <m:r>
                        <w:rPr>
                          <w:rFonts w:ascii="Cambria Math" w:hAnsi="Cambria Math"/>
                        </w:rPr>
                        <m:t>b</m:t>
                      </m:r>
                    </m:e>
                    <m:sub>
                      <m:r>
                        <w:rPr>
                          <w:rFonts w:ascii="Cambria Math" w:hAnsi="Cambria Math"/>
                        </w:rPr>
                        <m:t>s</m:t>
                      </m:r>
                    </m:sub>
                  </m:sSub>
                </m:e>
              </m:d>
            </m:oMath>
          </w:p>
        </w:tc>
        <w:tc>
          <w:tcPr>
            <w:tcW w:type="dxa" w:w="1020"/>
            <w:vAlign w:val="center"/>
          </w:tcPr>
          <w:p>
            <w:pPr>
              <w:spacing w:before="80" w:after="80"/>
              <w:jc w:val="right"/>
            </w:pPr>
            <w:r>
              <w:rPr>
                <w:rFonts w:ascii="Times New Roman" w:hAnsi="Times New Roman"/>
                <w:sz w:val="24"/>
              </w:rPr>
              <w:t>(9)</w:t>
            </w:r>
          </w:p>
        </w:tc>
      </w:tr>
    </w:tbl>
    <w:p>
      <w:pPr>
        <w:spacing w:before="60" w:after="120" w:line="276" w:lineRule="auto"/>
        <w:ind w:firstLine="454"/>
        <w:jc w:val="both"/>
      </w:pPr>
      <w:r>
        <w:rPr>
          <w:rFonts w:ascii="Times New Roman" w:hAnsi="Times New Roman"/>
          <w:b w:val="0"/>
          <w:i w:val="0"/>
          <w:sz w:val="22"/>
        </w:rPr>
        <w:t xml:space="preserve">Berdasarkan Persamaan (9) di atas, </w:t>
      </w:r>
      <w:r>
        <w:rPr>
          <w:rFonts w:ascii="Times New Roman" w:hAnsi="Times New Roman"/>
          <w:b w:val="0"/>
          <w:i/>
          <w:sz w:val="22"/>
        </w:rPr>
        <w:t>i_t</w:t>
      </w:r>
      <w:r>
        <w:rPr>
          <w:rFonts w:ascii="Times New Roman" w:hAnsi="Times New Roman"/>
          <w:b w:val="0"/>
          <w:i w:val="0"/>
          <w:sz w:val="22"/>
        </w:rPr>
        <w:t xml:space="preserve"> adalah vektor gerbang masukan (</w:t>
      </w:r>
      <w:r>
        <w:rPr>
          <w:rFonts w:ascii="Times New Roman" w:hAnsi="Times New Roman"/>
          <w:b w:val="0"/>
          <w:i/>
          <w:sz w:val="22"/>
        </w:rPr>
        <w:t>input gate</w:t>
      </w:r>
      <w:r>
        <w:rPr>
          <w:rFonts w:ascii="Times New Roman" w:hAnsi="Times New Roman"/>
          <w:b w:val="0"/>
          <w:i w:val="0"/>
          <w:sz w:val="22"/>
        </w:rPr>
        <w:t xml:space="preserve">) yang mengatur seberapa besar informasi baru diizinkan masuk ke dalam sel memori melalui fungsi sigmoid </w:t>
      </w:r>
      <w:r>
        <w:rPr>
          <w:rFonts w:ascii="Times New Roman" w:hAnsi="Times New Roman"/>
          <w:b w:val="0"/>
          <w:i/>
          <w:sz w:val="22"/>
        </w:rPr>
        <w:t>σ</w:t>
      </w:r>
      <w:r>
        <w:rPr>
          <w:rFonts w:ascii="Times New Roman" w:hAnsi="Times New Roman"/>
          <w:b w:val="0"/>
          <w:i w:val="0"/>
          <w:sz w:val="22"/>
        </w:rPr>
        <w:t xml:space="preserve">, sedangkan </w:t>
      </w:r>
      <w:r>
        <w:rPr>
          <w:rFonts w:ascii="Times New Roman" w:hAnsi="Times New Roman"/>
          <w:b w:val="0"/>
          <w:i/>
          <w:sz w:val="22"/>
        </w:rPr>
        <w:t>S̃_t</w:t>
      </w:r>
      <w:r>
        <w:rPr>
          <w:rFonts w:ascii="Times New Roman" w:hAnsi="Times New Roman"/>
          <w:b w:val="0"/>
          <w:i w:val="0"/>
          <w:sz w:val="22"/>
        </w:rPr>
        <w:t xml:space="preserve"> adalah vektor kandidat status memori baru yang dibentuk menggunakan fungsi aktivasi tangen hiperbolik (</w:t>
      </w:r>
      <w:r>
        <w:rPr>
          <w:rFonts w:ascii="Times New Roman" w:hAnsi="Times New Roman"/>
          <w:b w:val="0"/>
          <w:i/>
          <w:sz w:val="22"/>
        </w:rPr>
        <w:t>tanh</w:t>
      </w:r>
      <w:r>
        <w:rPr>
          <w:rFonts w:ascii="Times New Roman" w:hAnsi="Times New Roman"/>
          <w:b w:val="0"/>
          <w:i w:val="0"/>
          <w:sz w:val="22"/>
        </w:rPr>
        <w:t xml:space="preserve">) dalam rentang (-1, 1) dengan matriks bobot </w:t>
      </w:r>
      <w:r>
        <w:rPr>
          <w:rFonts w:ascii="Times New Roman" w:hAnsi="Times New Roman"/>
          <w:b w:val="0"/>
          <w:i/>
          <w:sz w:val="22"/>
        </w:rPr>
        <w:t>W_i</w:t>
      </w:r>
      <w:r>
        <w:rPr>
          <w:rFonts w:ascii="Times New Roman" w:hAnsi="Times New Roman"/>
          <w:b w:val="0"/>
          <w:i w:val="0"/>
          <w:sz w:val="22"/>
        </w:rPr>
        <w:t xml:space="preserve">, </w:t>
      </w:r>
      <w:r>
        <w:rPr>
          <w:rFonts w:ascii="Times New Roman" w:hAnsi="Times New Roman"/>
          <w:b w:val="0"/>
          <w:i/>
          <w:sz w:val="22"/>
        </w:rPr>
        <w:t>W_s</w:t>
      </w:r>
      <w:r>
        <w:rPr>
          <w:rFonts w:ascii="Times New Roman" w:hAnsi="Times New Roman"/>
          <w:b w:val="0"/>
          <w:i w:val="0"/>
          <w:sz w:val="22"/>
        </w:rPr>
        <w:t xml:space="preserve"> serta bias </w:t>
      </w:r>
      <w:r>
        <w:rPr>
          <w:rFonts w:ascii="Times New Roman" w:hAnsi="Times New Roman"/>
          <w:b w:val="0"/>
          <w:i/>
          <w:sz w:val="22"/>
        </w:rPr>
        <w:t>b_i</w:t>
      </w:r>
      <w:r>
        <w:rPr>
          <w:rFonts w:ascii="Times New Roman" w:hAnsi="Times New Roman"/>
          <w:b w:val="0"/>
          <w:i w:val="0"/>
          <w:sz w:val="22"/>
        </w:rPr>
        <w:t xml:space="preserve">, </w:t>
      </w:r>
      <w:r>
        <w:rPr>
          <w:rFonts w:ascii="Times New Roman" w:hAnsi="Times New Roman"/>
          <w:b w:val="0"/>
          <w:i/>
          <w:sz w:val="22"/>
        </w:rPr>
        <w:t>b_s</w:t>
      </w:r>
      <w:r>
        <w:rPr>
          <w:rFonts w:ascii="Times New Roman" w:hAnsi="Times New Roman"/>
          <w:b w:val="0"/>
          <w:i w:val="0"/>
          <w:sz w:val="22"/>
        </w:rPr>
        <w:t xml:space="preserve">. Interaksi antara gerbang masukan </w:t>
      </w:r>
      <w:r>
        <w:rPr>
          <w:rFonts w:ascii="Times New Roman" w:hAnsi="Times New Roman"/>
          <w:b w:val="0"/>
          <w:i/>
          <w:sz w:val="22"/>
        </w:rPr>
        <w:t>i_t</w:t>
      </w:r>
      <w:r>
        <w:rPr>
          <w:rFonts w:ascii="Times New Roman" w:hAnsi="Times New Roman"/>
          <w:b w:val="0"/>
          <w:i w:val="0"/>
          <w:sz w:val="22"/>
        </w:rPr>
        <w:t xml:space="preserve"> dan kandidat memori </w:t>
      </w:r>
      <w:r>
        <w:rPr>
          <w:rFonts w:ascii="Times New Roman" w:hAnsi="Times New Roman"/>
          <w:b w:val="0"/>
          <w:i/>
          <w:sz w:val="22"/>
        </w:rPr>
        <w:t>S̃_t</w:t>
      </w:r>
      <w:r>
        <w:rPr>
          <w:rFonts w:ascii="Times New Roman" w:hAnsi="Times New Roman"/>
          <w:b w:val="0"/>
          <w:i w:val="0"/>
          <w:sz w:val="22"/>
        </w:rPr>
        <w:t xml:space="preserve"> memastikan bahwa hanya sinyal perubahan harga dan indikator teknikal yang signifikan yang disimpan ke dalam memori jaringan.</w:t>
      </w:r>
    </w:p>
    <w:p>
      <w:pPr>
        <w:spacing w:line="276" w:lineRule="auto" w:after="100"/>
        <w:ind w:firstLine="454"/>
        <w:jc w:val="both"/>
      </w:pPr>
      <w:r>
        <w:rPr>
          <w:rFonts w:ascii="Times New Roman" w:hAnsi="Times New Roman"/>
          <w:b w:val="0"/>
          <w:i w:val="0"/>
          <w:sz w:val="22"/>
        </w:rPr>
        <w:t>Pembaruan status sel memori internal (</w:t>
      </w:r>
      <w:r>
        <w:rPr>
          <w:rFonts w:ascii="Times New Roman" w:hAnsi="Times New Roman"/>
          <w:b w:val="0"/>
          <w:i/>
          <w:sz w:val="22"/>
        </w:rPr>
        <w:t>cell state</w:t>
      </w:r>
      <w:r>
        <w:rPr>
          <w:rFonts w:ascii="Times New Roman" w:hAnsi="Times New Roman"/>
          <w:b w:val="0"/>
          <w:i w:val="0"/>
          <w:sz w:val="22"/>
        </w:rPr>
        <w:t>) S_t dari langkah waktu sebelumnya dilakukan melalui Persamaan (10):</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sSub>
                <m:e>
                  <m:r>
                    <w:rPr>
                      <w:rFonts w:ascii="Cambria Math" w:hAnsi="Cambria Math"/>
                    </w:rPr>
                    <m:t>S</m:t>
                  </m:r>
                </m:e>
                <m:sub>
                  <m:r>
                    <w:rPr>
                      <w:rFonts w:ascii="Cambria Math" w:hAnsi="Cambria Math"/>
                    </w:rPr>
                    <m:t>t</m:t>
                  </m:r>
                </m:sub>
              </m:sSub>
              <m:r>
                <m:rPr>
                  <m:sty m:val="p"/>
                </m:rPr>
                <w:rPr>
                  <w:rFonts w:ascii="Cambria Math" w:hAnsi="Cambria Math"/>
                </w:rPr>
                <m:t> = </m:t>
              </m:r>
              <m:sSub>
                <m:e>
                  <m:r>
                    <w:rPr>
                      <w:rFonts w:ascii="Cambria Math" w:hAnsi="Cambria Math"/>
                    </w:rPr>
                    <m:t>f</m:t>
                  </m:r>
                </m:e>
                <m:sub>
                  <m:r>
                    <w:rPr>
                      <w:rFonts w:ascii="Cambria Math" w:hAnsi="Cambria Math"/>
                    </w:rPr>
                    <m:t>t</m:t>
                  </m:r>
                </m:sub>
              </m:sSub>
              <m:r>
                <m:rPr>
                  <m:sty m:val="p"/>
                </m:rPr>
                <w:rPr>
                  <w:rFonts w:ascii="Cambria Math" w:hAnsi="Cambria Math"/>
                </w:rPr>
                <m:t> ⊙ </m:t>
              </m:r>
              <m:sSub>
                <m:e>
                  <m:r>
                    <w:rPr>
                      <w:rFonts w:ascii="Cambria Math" w:hAnsi="Cambria Math"/>
                    </w:rPr>
                    <m:t>S</m:t>
                  </m:r>
                </m:e>
                <m:sub>
                  <m:r>
                    <w:rPr>
                      <w:rFonts w:ascii="Cambria Math" w:hAnsi="Cambria Math"/>
                    </w:rPr>
                    <m:t>t</m:t>
                  </m:r>
                  <m:r>
                    <m:rPr>
                      <m:sty m:val="p"/>
                    </m:rPr>
                    <w:rPr>
                      <w:rFonts w:ascii="Cambria Math" w:hAnsi="Cambria Math"/>
                    </w:rPr>
                    <m:t>−1</m:t>
                  </m:r>
                </m:sub>
              </m:sSub>
              <m:r>
                <m:rPr>
                  <m:sty m:val="p"/>
                </m:rPr>
                <w:rPr>
                  <w:rFonts w:ascii="Cambria Math" w:hAnsi="Cambria Math"/>
                </w:rPr>
                <m:t> + </m:t>
              </m:r>
              <m:sSub>
                <m:e>
                  <m:r>
                    <w:rPr>
                      <w:rFonts w:ascii="Cambria Math" w:hAnsi="Cambria Math"/>
                    </w:rPr>
                    <m:t>i</m:t>
                  </m:r>
                </m:e>
                <m:sub>
                  <m:r>
                    <w:rPr>
                      <w:rFonts w:ascii="Cambria Math" w:hAnsi="Cambria Math"/>
                    </w:rPr>
                    <m:t>t</m:t>
                  </m:r>
                </m:sub>
              </m:sSub>
              <m:r>
                <m:rPr>
                  <m:sty m:val="p"/>
                </m:rPr>
                <w:rPr>
                  <w:rFonts w:ascii="Cambria Math" w:hAnsi="Cambria Math"/>
                </w:rPr>
                <m:t> ⊙ </m:t>
              </m:r>
              <m:sSub>
                <m:e>
                  <m:acc>
                    <m:accPr>
                      <m:chr m:val="̃"/>
                    </m:accPr>
                    <m:e>
                      <m:r>
                        <w:rPr>
                          <w:rFonts w:ascii="Cambria Math" w:hAnsi="Cambria Math"/>
                        </w:rPr>
                        <m:t>S</m:t>
                      </m:r>
                    </m:e>
                  </m:acc>
                </m:e>
                <m:sub>
                  <m:r>
                    <w:rPr>
                      <w:rFonts w:ascii="Cambria Math" w:hAnsi="Cambria Math"/>
                    </w:rPr>
                    <m:t>t</m:t>
                  </m:r>
                </m:sub>
              </m:sSub>
            </m:oMath>
          </w:p>
        </w:tc>
        <w:tc>
          <w:tcPr>
            <w:tcW w:type="dxa" w:w="1020"/>
            <w:vAlign w:val="center"/>
          </w:tcPr>
          <w:p>
            <w:pPr>
              <w:spacing w:before="80" w:after="80"/>
              <w:jc w:val="right"/>
            </w:pPr>
            <w:r>
              <w:rPr>
                <w:rFonts w:ascii="Times New Roman" w:hAnsi="Times New Roman"/>
                <w:sz w:val="24"/>
              </w:rPr>
              <w:t>(10)</w:t>
            </w:r>
          </w:p>
        </w:tc>
      </w:tr>
    </w:tbl>
    <w:p>
      <w:pPr>
        <w:spacing w:before="60" w:after="120" w:line="276" w:lineRule="auto"/>
        <w:ind w:firstLine="454"/>
        <w:jc w:val="both"/>
      </w:pPr>
      <w:r>
        <w:rPr>
          <w:rFonts w:ascii="Times New Roman" w:hAnsi="Times New Roman"/>
          <w:b w:val="0"/>
          <w:i w:val="0"/>
          <w:sz w:val="22"/>
        </w:rPr>
        <w:t xml:space="preserve">Berdasarkan Persamaan (10) di atas, </w:t>
      </w:r>
      <w:r>
        <w:rPr>
          <w:rFonts w:ascii="Times New Roman" w:hAnsi="Times New Roman"/>
          <w:b w:val="0"/>
          <w:i/>
          <w:sz w:val="22"/>
        </w:rPr>
        <w:t>S_t</w:t>
      </w:r>
      <w:r>
        <w:rPr>
          <w:rFonts w:ascii="Times New Roman" w:hAnsi="Times New Roman"/>
          <w:b w:val="0"/>
          <w:i w:val="0"/>
          <w:sz w:val="22"/>
        </w:rPr>
        <w:t xml:space="preserve"> menyatakan status sel memori internal (</w:t>
      </w:r>
      <w:r>
        <w:rPr>
          <w:rFonts w:ascii="Times New Roman" w:hAnsi="Times New Roman"/>
          <w:b w:val="0"/>
          <w:i/>
          <w:sz w:val="22"/>
        </w:rPr>
        <w:t>cell state</w:t>
      </w:r>
      <w:r>
        <w:rPr>
          <w:rFonts w:ascii="Times New Roman" w:hAnsi="Times New Roman"/>
          <w:b w:val="0"/>
          <w:i w:val="0"/>
          <w:sz w:val="22"/>
        </w:rPr>
        <w:t>) baru pada langkah waktu ke-</w:t>
      </w:r>
      <w:r>
        <w:rPr>
          <w:rFonts w:ascii="Times New Roman" w:hAnsi="Times New Roman"/>
          <w:b w:val="0"/>
          <w:i/>
          <w:sz w:val="22"/>
        </w:rPr>
        <w:t>t</w:t>
      </w:r>
      <w:r>
        <w:rPr>
          <w:rFonts w:ascii="Times New Roman" w:hAnsi="Times New Roman"/>
          <w:b w:val="0"/>
          <w:i w:val="0"/>
          <w:sz w:val="22"/>
        </w:rPr>
        <w:t xml:space="preserve">, </w:t>
      </w:r>
      <w:r>
        <w:rPr>
          <w:rFonts w:ascii="Times New Roman" w:hAnsi="Times New Roman"/>
          <w:b w:val="0"/>
          <w:i/>
          <w:sz w:val="22"/>
        </w:rPr>
        <w:t>S_(t-1)</w:t>
      </w:r>
      <w:r>
        <w:rPr>
          <w:rFonts w:ascii="Times New Roman" w:hAnsi="Times New Roman"/>
          <w:b w:val="0"/>
          <w:i w:val="0"/>
          <w:sz w:val="22"/>
        </w:rPr>
        <w:t xml:space="preserve"> adalah status sel memori pada langkah waktu sebelumnya, dan simbol </w:t>
      </w:r>
      <w:r>
        <w:rPr>
          <w:rFonts w:ascii="Times New Roman" w:hAnsi="Times New Roman"/>
          <w:b w:val="0"/>
          <w:i/>
          <w:sz w:val="22"/>
        </w:rPr>
        <w:t>⊙</w:t>
      </w:r>
      <w:r>
        <w:rPr>
          <w:rFonts w:ascii="Times New Roman" w:hAnsi="Times New Roman"/>
          <w:b w:val="0"/>
          <w:i w:val="0"/>
          <w:sz w:val="22"/>
        </w:rPr>
        <w:t xml:space="preserve"> merepresentasikan operasi perkalian elemen demi elemen (</w:t>
      </w:r>
      <w:r>
        <w:rPr>
          <w:rFonts w:ascii="Times New Roman" w:hAnsi="Times New Roman"/>
          <w:b w:val="0"/>
          <w:i/>
          <w:sz w:val="22"/>
        </w:rPr>
        <w:t>Hadamard element-wise product</w:t>
      </w:r>
      <w:r>
        <w:rPr>
          <w:rFonts w:ascii="Times New Roman" w:hAnsi="Times New Roman"/>
          <w:b w:val="0"/>
          <w:i w:val="0"/>
          <w:sz w:val="22"/>
        </w:rPr>
        <w:t>). Formulasi pembaruan linier melalui penjumlahan komponen memori lama yang dipertahankan (</w:t>
      </w:r>
      <w:r>
        <w:rPr>
          <w:rFonts w:ascii="Times New Roman" w:hAnsi="Times New Roman"/>
          <w:b w:val="0"/>
          <w:i/>
          <w:sz w:val="22"/>
        </w:rPr>
        <w:t>f_t ⊙ S_(t-1)</w:t>
      </w:r>
      <w:r>
        <w:rPr>
          <w:rFonts w:ascii="Times New Roman" w:hAnsi="Times New Roman"/>
          <w:b w:val="0"/>
          <w:i w:val="0"/>
          <w:sz w:val="22"/>
        </w:rPr>
        <w:t>) dengan komponen informasi baru (</w:t>
      </w:r>
      <w:r>
        <w:rPr>
          <w:rFonts w:ascii="Times New Roman" w:hAnsi="Times New Roman"/>
          <w:b w:val="0"/>
          <w:i/>
          <w:sz w:val="22"/>
        </w:rPr>
        <w:t>i_t ⊙ S̃_t</w:t>
      </w:r>
      <w:r>
        <w:rPr>
          <w:rFonts w:ascii="Times New Roman" w:hAnsi="Times New Roman"/>
          <w:b w:val="0"/>
          <w:i w:val="0"/>
          <w:sz w:val="22"/>
        </w:rPr>
        <w:t>) menjaga stabilitas propagasi gradien sepanjang deret waktu 20 hari dan mencegah terjadinya pelenyapan gradien (</w:t>
      </w:r>
      <w:r>
        <w:rPr>
          <w:rFonts w:ascii="Times New Roman" w:hAnsi="Times New Roman"/>
          <w:b w:val="0"/>
          <w:i/>
          <w:sz w:val="22"/>
        </w:rPr>
        <w:t>vanishing gradient</w:t>
      </w:r>
      <w:r>
        <w:rPr>
          <w:rFonts w:ascii="Times New Roman" w:hAnsi="Times New Roman"/>
          <w:b w:val="0"/>
          <w:i w:val="0"/>
          <w:sz w:val="22"/>
        </w:rPr>
        <w:t>).</w:t>
      </w:r>
    </w:p>
    <w:p>
      <w:pPr>
        <w:spacing w:line="276" w:lineRule="auto" w:after="100"/>
        <w:ind w:firstLine="454"/>
        <w:jc w:val="both"/>
      </w:pPr>
      <w:r>
        <w:rPr>
          <w:rFonts w:ascii="Times New Roman" w:hAnsi="Times New Roman"/>
          <w:b w:val="0"/>
          <w:i w:val="0"/>
          <w:sz w:val="22"/>
        </w:rPr>
        <w:t>Pembentukan status tersembunyi (</w:t>
      </w:r>
      <w:r>
        <w:rPr>
          <w:rFonts w:ascii="Times New Roman" w:hAnsi="Times New Roman"/>
          <w:b w:val="0"/>
          <w:i/>
          <w:sz w:val="22"/>
        </w:rPr>
        <w:t>hidden state</w:t>
      </w:r>
      <w:r>
        <w:rPr>
          <w:rFonts w:ascii="Times New Roman" w:hAnsi="Times New Roman"/>
          <w:b w:val="0"/>
          <w:i w:val="0"/>
          <w:sz w:val="22"/>
        </w:rPr>
        <w:t>) h_t melalui penyaringan gerbang keluaran (</w:t>
      </w:r>
      <w:r>
        <w:rPr>
          <w:rFonts w:ascii="Times New Roman" w:hAnsi="Times New Roman"/>
          <w:b w:val="0"/>
          <w:i/>
          <w:sz w:val="22"/>
        </w:rPr>
        <w:t>output gate</w:t>
      </w:r>
      <w:r>
        <w:rPr>
          <w:rFonts w:ascii="Times New Roman" w:hAnsi="Times New Roman"/>
          <w:b w:val="0"/>
          <w:i w:val="0"/>
          <w:sz w:val="22"/>
        </w:rPr>
        <w:t>) o_t dirumuskan pada Persamaan (11):</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sSub>
                <m:e>
                  <m:r>
                    <w:rPr>
                      <w:rFonts w:ascii="Cambria Math" w:hAnsi="Cambria Math"/>
                    </w:rPr>
                    <m:t>o</m:t>
                  </m:r>
                </m:e>
                <m:sub>
                  <m:r>
                    <w:rPr>
                      <w:rFonts w:ascii="Cambria Math" w:hAnsi="Cambria Math"/>
                    </w:rPr>
                    <m:t>t</m:t>
                  </m:r>
                </m:sub>
              </m:sSub>
              <m:r>
                <m:rPr>
                  <m:sty m:val="p"/>
                </m:rPr>
                <w:rPr>
                  <w:rFonts w:ascii="Cambria Math" w:hAnsi="Cambria Math"/>
                </w:rPr>
                <m:t> = </m:t>
              </m:r>
              <m:r>
                <w:rPr>
                  <w:rFonts w:ascii="Cambria Math" w:hAnsi="Cambria Math"/>
                </w:rPr>
                <m:t>σ</m:t>
              </m:r>
              <m:d>
                <m:dPr>
                  <m:begChr m:val="("/>
                  <m:endChr m:val=")"/>
                </m:dPr>
                <m:e>
                  <m:sSub>
                    <m:e>
                      <m:r>
                        <w:rPr>
                          <w:rFonts w:ascii="Cambria Math" w:hAnsi="Cambria Math"/>
                        </w:rPr>
                        <m:t>W</m:t>
                      </m:r>
                    </m:e>
                    <m:sub>
                      <m:r>
                        <w:rPr>
                          <w:rFonts w:ascii="Cambria Math" w:hAnsi="Cambria Math"/>
                        </w:rPr>
                        <m:t>o</m:t>
                      </m:r>
                    </m:sub>
                  </m:sSub>
                  <m:r>
                    <m:rPr>
                      <m:sty m:val="p"/>
                    </m:rPr>
                    <w:rPr>
                      <w:rFonts w:ascii="Cambria Math" w:hAnsi="Cambria Math"/>
                    </w:rPr>
                    <m:t>⋅</m:t>
                  </m:r>
                  <m:d>
                    <m:dPr>
                      <m:begChr m:val="["/>
                      <m:endChr m:val="]"/>
                    </m:dPr>
                    <m:e>
                      <m:sSub>
                        <m:e>
                          <m:r>
                            <w:rPr>
                              <w:rFonts w:ascii="Cambria Math" w:hAnsi="Cambria Math"/>
                            </w:rPr>
                            <m:t>h</m:t>
                          </m:r>
                        </m:e>
                        <m:sub>
                          <m:r>
                            <w:rPr>
                              <w:rFonts w:ascii="Cambria Math" w:hAnsi="Cambria Math"/>
                            </w:rPr>
                            <m:t>t</m:t>
                          </m:r>
                          <m:r>
                            <m:rPr>
                              <m:sty m:val="p"/>
                            </m:rPr>
                            <w:rPr>
                              <w:rFonts w:ascii="Cambria Math" w:hAnsi="Cambria Math"/>
                            </w:rPr>
                            <m:t>−1</m:t>
                          </m:r>
                        </m:sub>
                      </m:sSub>
                      <m:r>
                        <m:rPr>
                          <m:sty m:val="p"/>
                        </m:rPr>
                        <w:rPr>
                          <w:rFonts w:ascii="Cambria Math" w:hAnsi="Cambria Math"/>
                        </w:rPr>
                        <m:t>, </m:t>
                      </m:r>
                      <m:sSub>
                        <m:e>
                          <m:r>
                            <w:rPr>
                              <w:rFonts w:ascii="Cambria Math" w:hAnsi="Cambria Math"/>
                            </w:rPr>
                            <m:t>c</m:t>
                          </m:r>
                        </m:e>
                        <m:sub>
                          <m:r>
                            <w:rPr>
                              <w:rFonts w:ascii="Cambria Math" w:hAnsi="Cambria Math"/>
                            </w:rPr>
                            <m:t>t</m:t>
                          </m:r>
                        </m:sub>
                      </m:sSub>
                    </m:e>
                  </m:d>
                  <m:r>
                    <m:rPr>
                      <m:sty m:val="p"/>
                    </m:rPr>
                    <w:rPr>
                      <w:rFonts w:ascii="Cambria Math" w:hAnsi="Cambria Math"/>
                    </w:rPr>
                    <m:t> + </m:t>
                  </m:r>
                  <m:sSub>
                    <m:e>
                      <m:r>
                        <w:rPr>
                          <w:rFonts w:ascii="Cambria Math" w:hAnsi="Cambria Math"/>
                        </w:rPr>
                        <m:t>b</m:t>
                      </m:r>
                    </m:e>
                    <m:sub>
                      <m:r>
                        <w:rPr>
                          <w:rFonts w:ascii="Cambria Math" w:hAnsi="Cambria Math"/>
                        </w:rPr>
                        <m:t>o</m:t>
                      </m:r>
                    </m:sub>
                  </m:sSub>
                </m:e>
              </m:d>
              <m:r>
                <m:rPr>
                  <m:sty m:val="p"/>
                </m:rPr>
                <w:rPr>
                  <w:rFonts w:ascii="Cambria Math" w:hAnsi="Cambria Math"/>
                </w:rPr>
                <m:t> ,   </m:t>
              </m:r>
              <m:sSub>
                <m:e>
                  <m:r>
                    <w:rPr>
                      <w:rFonts w:ascii="Cambria Math" w:hAnsi="Cambria Math"/>
                    </w:rPr>
                    <m:t>h</m:t>
                  </m:r>
                </m:e>
                <m:sub>
                  <m:r>
                    <w:rPr>
                      <w:rFonts w:ascii="Cambria Math" w:hAnsi="Cambria Math"/>
                    </w:rPr>
                    <m:t>t</m:t>
                  </m:r>
                </m:sub>
              </m:sSub>
              <m:r>
                <m:rPr>
                  <m:sty m:val="p"/>
                </m:rPr>
                <w:rPr>
                  <w:rFonts w:ascii="Cambria Math" w:hAnsi="Cambria Math"/>
                </w:rPr>
                <m:t> = </m:t>
              </m:r>
              <m:sSub>
                <m:e>
                  <m:r>
                    <w:rPr>
                      <w:rFonts w:ascii="Cambria Math" w:hAnsi="Cambria Math"/>
                    </w:rPr>
                    <m:t>o</m:t>
                  </m:r>
                </m:e>
                <m:sub>
                  <m:r>
                    <w:rPr>
                      <w:rFonts w:ascii="Cambria Math" w:hAnsi="Cambria Math"/>
                    </w:rPr>
                    <m:t>t</m:t>
                  </m:r>
                </m:sub>
              </m:sSub>
              <m:r>
                <m:rPr>
                  <m:sty m:val="p"/>
                </m:rPr>
                <w:rPr>
                  <w:rFonts w:ascii="Cambria Math" w:hAnsi="Cambria Math"/>
                </w:rPr>
                <m:t> ⊙ </m:t>
              </m:r>
              <m:r>
                <m:rPr>
                  <m:sty m:val="p"/>
                </m:rPr>
                <w:rPr>
                  <w:rFonts w:ascii="Cambria Math" w:hAnsi="Cambria Math"/>
                </w:rPr>
                <m:t>tanh</m:t>
              </m:r>
              <m:d>
                <m:dPr>
                  <m:begChr m:val="("/>
                  <m:endChr m:val=")"/>
                </m:dPr>
                <m:e>
                  <m:sSub>
                    <m:e>
                      <m:r>
                        <w:rPr>
                          <w:rFonts w:ascii="Cambria Math" w:hAnsi="Cambria Math"/>
                        </w:rPr>
                        <m:t>S</m:t>
                      </m:r>
                    </m:e>
                    <m:sub>
                      <m:r>
                        <w:rPr>
                          <w:rFonts w:ascii="Cambria Math" w:hAnsi="Cambria Math"/>
                        </w:rPr>
                        <m:t>t</m:t>
                      </m:r>
                    </m:sub>
                  </m:sSub>
                </m:e>
              </m:d>
            </m:oMath>
          </w:p>
        </w:tc>
        <w:tc>
          <w:tcPr>
            <w:tcW w:type="dxa" w:w="1020"/>
            <w:vAlign w:val="center"/>
          </w:tcPr>
          <w:p>
            <w:pPr>
              <w:spacing w:before="80" w:after="80"/>
              <w:jc w:val="right"/>
            </w:pPr>
            <w:r>
              <w:rPr>
                <w:rFonts w:ascii="Times New Roman" w:hAnsi="Times New Roman"/>
                <w:sz w:val="24"/>
              </w:rPr>
              <w:t>(11)</w:t>
            </w:r>
          </w:p>
        </w:tc>
      </w:tr>
    </w:tbl>
    <w:p>
      <w:pPr>
        <w:spacing w:before="60" w:after="120" w:line="276" w:lineRule="auto"/>
        <w:ind w:firstLine="454"/>
        <w:jc w:val="both"/>
      </w:pPr>
      <w:r>
        <w:rPr>
          <w:rFonts w:ascii="Times New Roman" w:hAnsi="Times New Roman"/>
          <w:b w:val="0"/>
          <w:i w:val="0"/>
          <w:sz w:val="22"/>
        </w:rPr>
        <w:t xml:space="preserve">Berdasarkan Persamaan (11) di atas, </w:t>
      </w:r>
      <w:r>
        <w:rPr>
          <w:rFonts w:ascii="Times New Roman" w:hAnsi="Times New Roman"/>
          <w:b w:val="0"/>
          <w:i/>
          <w:sz w:val="22"/>
        </w:rPr>
        <w:t>o_t</w:t>
      </w:r>
      <w:r>
        <w:rPr>
          <w:rFonts w:ascii="Times New Roman" w:hAnsi="Times New Roman"/>
          <w:b w:val="0"/>
          <w:i w:val="0"/>
          <w:sz w:val="22"/>
        </w:rPr>
        <w:t xml:space="preserve"> adalah vektor aktivasi gerbang keluaran (</w:t>
      </w:r>
      <w:r>
        <w:rPr>
          <w:rFonts w:ascii="Times New Roman" w:hAnsi="Times New Roman"/>
          <w:b w:val="0"/>
          <w:i/>
          <w:sz w:val="22"/>
        </w:rPr>
        <w:t>output gate</w:t>
      </w:r>
      <w:r>
        <w:rPr>
          <w:rFonts w:ascii="Times New Roman" w:hAnsi="Times New Roman"/>
          <w:b w:val="0"/>
          <w:i w:val="0"/>
          <w:sz w:val="22"/>
        </w:rPr>
        <w:t xml:space="preserve">) yang dikendalikan oleh matriks bobot </w:t>
      </w:r>
      <w:r>
        <w:rPr>
          <w:rFonts w:ascii="Times New Roman" w:hAnsi="Times New Roman"/>
          <w:b w:val="0"/>
          <w:i/>
          <w:sz w:val="22"/>
        </w:rPr>
        <w:t>W_o</w:t>
      </w:r>
      <w:r>
        <w:rPr>
          <w:rFonts w:ascii="Times New Roman" w:hAnsi="Times New Roman"/>
          <w:b w:val="0"/>
          <w:i w:val="0"/>
          <w:sz w:val="22"/>
        </w:rPr>
        <w:t xml:space="preserve"> dan bias </w:t>
      </w:r>
      <w:r>
        <w:rPr>
          <w:rFonts w:ascii="Times New Roman" w:hAnsi="Times New Roman"/>
          <w:b w:val="0"/>
          <w:i/>
          <w:sz w:val="22"/>
        </w:rPr>
        <w:t>b_o</w:t>
      </w:r>
      <w:r>
        <w:rPr>
          <w:rFonts w:ascii="Times New Roman" w:hAnsi="Times New Roman"/>
          <w:b w:val="0"/>
          <w:i w:val="0"/>
          <w:sz w:val="22"/>
        </w:rPr>
        <w:t xml:space="preserve">, sedangkan </w:t>
      </w:r>
      <w:r>
        <w:rPr>
          <w:rFonts w:ascii="Times New Roman" w:hAnsi="Times New Roman"/>
          <w:b w:val="0"/>
          <w:i/>
          <w:sz w:val="22"/>
        </w:rPr>
        <w:t>h_t</w:t>
      </w:r>
      <w:r>
        <w:rPr>
          <w:rFonts w:ascii="Times New Roman" w:hAnsi="Times New Roman"/>
          <w:b w:val="0"/>
          <w:i w:val="0"/>
          <w:sz w:val="22"/>
        </w:rPr>
        <w:t xml:space="preserve"> merupakan vektor status tersembunyi (</w:t>
      </w:r>
      <w:r>
        <w:rPr>
          <w:rFonts w:ascii="Times New Roman" w:hAnsi="Times New Roman"/>
          <w:b w:val="0"/>
          <w:i/>
          <w:sz w:val="22"/>
        </w:rPr>
        <w:t>hidden state</w:t>
      </w:r>
      <w:r>
        <w:rPr>
          <w:rFonts w:ascii="Times New Roman" w:hAnsi="Times New Roman"/>
          <w:b w:val="0"/>
          <w:i w:val="0"/>
          <w:sz w:val="22"/>
        </w:rPr>
        <w:t>) keluaran unit LSTM pada langkah waktu ke-</w:t>
      </w:r>
      <w:r>
        <w:rPr>
          <w:rFonts w:ascii="Times New Roman" w:hAnsi="Times New Roman"/>
          <w:b w:val="0"/>
          <w:i/>
          <w:sz w:val="22"/>
        </w:rPr>
        <w:t>t</w:t>
      </w:r>
      <w:r>
        <w:rPr>
          <w:rFonts w:ascii="Times New Roman" w:hAnsi="Times New Roman"/>
          <w:b w:val="0"/>
          <w:i w:val="0"/>
          <w:sz w:val="22"/>
        </w:rPr>
        <w:t xml:space="preserve"> yang diperoleh dari perkalian elemen </w:t>
      </w:r>
      <w:r>
        <w:rPr>
          <w:rFonts w:ascii="Times New Roman" w:hAnsi="Times New Roman"/>
          <w:b w:val="0"/>
          <w:i/>
          <w:sz w:val="22"/>
        </w:rPr>
        <w:t>o_t</w:t>
      </w:r>
      <w:r>
        <w:rPr>
          <w:rFonts w:ascii="Times New Roman" w:hAnsi="Times New Roman"/>
          <w:b w:val="0"/>
          <w:i w:val="0"/>
          <w:sz w:val="22"/>
        </w:rPr>
        <w:t xml:space="preserve"> terhadap nilai </w:t>
      </w:r>
      <w:r>
        <w:rPr>
          <w:rFonts w:ascii="Times New Roman" w:hAnsi="Times New Roman"/>
          <w:b w:val="0"/>
          <w:i/>
          <w:sz w:val="22"/>
        </w:rPr>
        <w:t>tanh(S_t)</w:t>
      </w:r>
      <w:r>
        <w:rPr>
          <w:rFonts w:ascii="Times New Roman" w:hAnsi="Times New Roman"/>
          <w:b w:val="0"/>
          <w:i w:val="0"/>
          <w:sz w:val="22"/>
        </w:rPr>
        <w:t xml:space="preserve">. Vektor </w:t>
      </w:r>
      <w:r>
        <w:rPr>
          <w:rFonts w:ascii="Times New Roman" w:hAnsi="Times New Roman"/>
          <w:b w:val="0"/>
          <w:i/>
          <w:sz w:val="22"/>
        </w:rPr>
        <w:t>h_t</w:t>
      </w:r>
      <w:r>
        <w:rPr>
          <w:rFonts w:ascii="Times New Roman" w:hAnsi="Times New Roman"/>
          <w:b w:val="0"/>
          <w:i w:val="0"/>
          <w:sz w:val="22"/>
        </w:rPr>
        <w:t xml:space="preserve"> inilah yang merangkum representasi kontekstual jangka pendek dan jangka panjang pada langkah waktu </w:t>
      </w:r>
      <w:r>
        <w:rPr>
          <w:rFonts w:ascii="Times New Roman" w:hAnsi="Times New Roman"/>
          <w:b w:val="0"/>
          <w:i/>
          <w:sz w:val="22"/>
        </w:rPr>
        <w:t>t</w:t>
      </w:r>
      <w:r>
        <w:rPr>
          <w:rFonts w:ascii="Times New Roman" w:hAnsi="Times New Roman"/>
          <w:b w:val="0"/>
          <w:i w:val="0"/>
          <w:sz w:val="22"/>
        </w:rPr>
        <w:t xml:space="preserve"> untuk diteruskan ke langkah waktu berikutnya maupun ke lapisan selanjutnya.</w:t>
      </w:r>
    </w:p>
    <w:p>
      <w:pPr>
        <w:spacing w:line="276" w:lineRule="auto" w:after="100"/>
        <w:ind w:firstLine="454"/>
        <w:jc w:val="both"/>
      </w:pPr>
      <w:r>
        <w:rPr>
          <w:rFonts w:ascii="Times New Roman" w:hAnsi="Times New Roman"/>
          <w:b w:val="0"/>
          <w:i w:val="0"/>
          <w:sz w:val="22"/>
        </w:rPr>
        <w:t>Pada lapisan Bidirectional LSTM [40], [41], [42], [43], pemrosesan sekuen dilakukan secara simultan dari arah maju (</w:t>
      </w:r>
      <w:r>
        <w:rPr>
          <w:rFonts w:ascii="Times New Roman" w:hAnsi="Times New Roman"/>
          <w:b w:val="0"/>
          <w:i/>
          <w:sz w:val="22"/>
        </w:rPr>
        <w:t>forward</w:t>
      </w:r>
      <w:r>
        <w:rPr>
          <w:rFonts w:ascii="Times New Roman" w:hAnsi="Times New Roman"/>
          <w:b w:val="0"/>
          <w:i w:val="0"/>
          <w:sz w:val="22"/>
        </w:rPr>
        <w:t>) dan arah mundur (</w:t>
      </w:r>
      <w:r>
        <w:rPr>
          <w:rFonts w:ascii="Times New Roman" w:hAnsi="Times New Roman"/>
          <w:b w:val="0"/>
          <w:i/>
          <w:sz w:val="22"/>
        </w:rPr>
        <w:t>backward</w:t>
      </w:r>
      <w:r>
        <w:rPr>
          <w:rFonts w:ascii="Times New Roman" w:hAnsi="Times New Roman"/>
          <w:b w:val="0"/>
          <w:i w:val="0"/>
          <w:sz w:val="22"/>
        </w:rPr>
        <w:t>) sesuai Persamaan (12):</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sSub>
                <m:e>
                  <m:r>
                    <w:rPr>
                      <w:rFonts w:ascii="Cambria Math" w:hAnsi="Cambria Math"/>
                    </w:rPr>
                    <m:t>H</m:t>
                  </m:r>
                </m:e>
                <m:sub>
                  <m:r>
                    <w:rPr>
                      <w:rFonts w:ascii="Cambria Math" w:hAnsi="Cambria Math"/>
                    </w:rPr>
                    <m:t>t</m:t>
                  </m:r>
                </m:sub>
              </m:sSub>
              <m:r>
                <m:rPr>
                  <m:sty m:val="p"/>
                </m:rPr>
                <w:rPr>
                  <w:rFonts w:ascii="Cambria Math" w:hAnsi="Cambria Math"/>
                </w:rPr>
                <m:t> = </m:t>
              </m:r>
              <m:d>
                <m:dPr>
                  <m:begChr m:val="["/>
                  <m:endChr m:val="]"/>
                </m:dPr>
                <m:e>
                  <m:sSub>
                    <m:e>
                      <m:acc>
                        <m:accPr>
                          <m:chr m:val="⃗"/>
                        </m:accPr>
                        <m:e>
                          <m:r>
                            <w:rPr>
                              <w:rFonts w:ascii="Cambria Math" w:hAnsi="Cambria Math"/>
                            </w:rPr>
                            <m:t>h</m:t>
                          </m:r>
                        </m:e>
                      </m:acc>
                    </m:e>
                    <m:sub>
                      <m:r>
                        <w:rPr>
                          <w:rFonts w:ascii="Cambria Math" w:hAnsi="Cambria Math"/>
                        </w:rPr>
                        <m:t>t</m:t>
                      </m:r>
                    </m:sub>
                  </m:sSub>
                  <m:r>
                    <m:rPr>
                      <m:sty m:val="p"/>
                    </m:rPr>
                    <w:rPr>
                      <w:rFonts w:ascii="Cambria Math" w:hAnsi="Cambria Math"/>
                    </w:rPr>
                    <m:t> ⊕ </m:t>
                  </m:r>
                  <m:sSub>
                    <m:e>
                      <m:acc>
                        <m:accPr>
                          <m:chr m:val="⃖"/>
                        </m:accPr>
                        <m:e>
                          <m:r>
                            <w:rPr>
                              <w:rFonts w:ascii="Cambria Math" w:hAnsi="Cambria Math"/>
                            </w:rPr>
                            <m:t>h</m:t>
                          </m:r>
                        </m:e>
                      </m:acc>
                    </m:e>
                    <m:sub>
                      <m:r>
                        <w:rPr>
                          <w:rFonts w:ascii="Cambria Math" w:hAnsi="Cambria Math"/>
                        </w:rPr>
                        <m:t>t</m:t>
                      </m:r>
                    </m:sub>
                  </m:sSub>
                </m:e>
              </m:d>
            </m:oMath>
          </w:p>
        </w:tc>
        <w:tc>
          <w:tcPr>
            <w:tcW w:type="dxa" w:w="1020"/>
            <w:vAlign w:val="center"/>
          </w:tcPr>
          <w:p>
            <w:pPr>
              <w:spacing w:before="80" w:after="80"/>
              <w:jc w:val="right"/>
            </w:pPr>
            <w:r>
              <w:rPr>
                <w:rFonts w:ascii="Times New Roman" w:hAnsi="Times New Roman"/>
                <w:sz w:val="24"/>
              </w:rPr>
              <w:t>(12)</w:t>
            </w:r>
          </w:p>
        </w:tc>
      </w:tr>
    </w:tbl>
    <w:p>
      <w:pPr>
        <w:spacing w:before="60" w:after="120" w:line="276" w:lineRule="auto"/>
        <w:ind w:firstLine="454"/>
        <w:jc w:val="both"/>
      </w:pPr>
      <w:r>
        <w:rPr>
          <w:rFonts w:ascii="Times New Roman" w:hAnsi="Times New Roman"/>
          <w:b w:val="0"/>
          <w:i w:val="0"/>
          <w:sz w:val="22"/>
        </w:rPr>
        <w:t xml:space="preserve">Berdasarkan Persamaan (12) di atas, </w:t>
      </w:r>
      <w:r>
        <w:rPr>
          <w:rFonts w:ascii="Times New Roman" w:hAnsi="Times New Roman"/>
          <w:b w:val="0"/>
          <w:i/>
          <w:sz w:val="22"/>
        </w:rPr>
        <w:t>H_t</w:t>
      </w:r>
      <w:r>
        <w:rPr>
          <w:rFonts w:ascii="Times New Roman" w:hAnsi="Times New Roman"/>
          <w:b w:val="0"/>
          <w:i w:val="0"/>
          <w:sz w:val="22"/>
        </w:rPr>
        <w:t xml:space="preserve"> menyatakan vektor status tersembunyi gabungan keluaran lapisan </w:t>
      </w:r>
      <w:r>
        <w:rPr>
          <w:rFonts w:ascii="Times New Roman" w:hAnsi="Times New Roman"/>
          <w:b w:val="0"/>
          <w:i/>
          <w:sz w:val="22"/>
        </w:rPr>
        <w:t>Bidirectional LSTM</w:t>
      </w:r>
      <w:r>
        <w:rPr>
          <w:rFonts w:ascii="Times New Roman" w:hAnsi="Times New Roman"/>
          <w:b w:val="0"/>
          <w:i w:val="0"/>
          <w:sz w:val="22"/>
        </w:rPr>
        <w:t xml:space="preserve"> pada langkah waktu ke-</w:t>
      </w:r>
      <w:r>
        <w:rPr>
          <w:rFonts w:ascii="Times New Roman" w:hAnsi="Times New Roman"/>
          <w:b w:val="0"/>
          <w:i/>
          <w:sz w:val="22"/>
        </w:rPr>
        <w:t>t</w:t>
      </w:r>
      <w:r>
        <w:rPr>
          <w:rFonts w:ascii="Times New Roman" w:hAnsi="Times New Roman"/>
          <w:b w:val="0"/>
          <w:i w:val="0"/>
          <w:sz w:val="22"/>
        </w:rPr>
        <w:t xml:space="preserve">, di mana </w:t>
      </w:r>
      <w:r>
        <w:rPr>
          <w:rFonts w:ascii="Times New Roman" w:hAnsi="Times New Roman"/>
          <w:b w:val="0"/>
          <w:i/>
          <w:sz w:val="22"/>
        </w:rPr>
        <w:t>h⃗_t</w:t>
      </w:r>
      <w:r>
        <w:rPr>
          <w:rFonts w:ascii="Times New Roman" w:hAnsi="Times New Roman"/>
          <w:b w:val="0"/>
          <w:i w:val="0"/>
          <w:sz w:val="22"/>
        </w:rPr>
        <w:t xml:space="preserve"> adalah status tersembunyi dari lapisan LSTM arah maju (</w:t>
      </w:r>
      <w:r>
        <w:rPr>
          <w:rFonts w:ascii="Times New Roman" w:hAnsi="Times New Roman"/>
          <w:b w:val="0"/>
          <w:i/>
          <w:sz w:val="22"/>
        </w:rPr>
        <w:t>forward pass</w:t>
      </w:r>
      <w:r>
        <w:rPr>
          <w:rFonts w:ascii="Times New Roman" w:hAnsi="Times New Roman"/>
          <w:b w:val="0"/>
          <w:i w:val="0"/>
          <w:sz w:val="22"/>
        </w:rPr>
        <w:t xml:space="preserve"> yang memproses sekuen dari </w:t>
      </w:r>
      <w:r>
        <w:rPr>
          <w:rFonts w:ascii="Times New Roman" w:hAnsi="Times New Roman"/>
          <w:b w:val="0"/>
          <w:i/>
          <w:sz w:val="22"/>
        </w:rPr>
        <w:t>t</w:t>
      </w:r>
      <w:r>
        <w:rPr>
          <w:rFonts w:ascii="Times New Roman" w:hAnsi="Times New Roman"/>
          <w:b w:val="0"/>
          <w:i w:val="0"/>
          <w:sz w:val="22"/>
        </w:rPr>
        <w:t xml:space="preserve"> = 1 hingga </w:t>
      </w:r>
      <w:r>
        <w:rPr>
          <w:rFonts w:ascii="Times New Roman" w:hAnsi="Times New Roman"/>
          <w:b w:val="0"/>
          <w:i/>
          <w:sz w:val="22"/>
        </w:rPr>
        <w:t>T</w:t>
      </w:r>
      <w:r>
        <w:rPr>
          <w:rFonts w:ascii="Times New Roman" w:hAnsi="Times New Roman"/>
          <w:b w:val="0"/>
          <w:i w:val="0"/>
          <w:sz w:val="22"/>
        </w:rPr>
        <w:t xml:space="preserve">), </w:t>
      </w:r>
      <w:r>
        <w:rPr>
          <w:rFonts w:ascii="Times New Roman" w:hAnsi="Times New Roman"/>
          <w:b w:val="0"/>
          <w:i/>
          <w:sz w:val="22"/>
        </w:rPr>
        <w:t>h⃖_t</w:t>
      </w:r>
      <w:r>
        <w:rPr>
          <w:rFonts w:ascii="Times New Roman" w:hAnsi="Times New Roman"/>
          <w:b w:val="0"/>
          <w:i w:val="0"/>
          <w:sz w:val="22"/>
        </w:rPr>
        <w:t xml:space="preserve"> adalah status tersembunyi dari lapisan LSTM arah mundur (</w:t>
      </w:r>
      <w:r>
        <w:rPr>
          <w:rFonts w:ascii="Times New Roman" w:hAnsi="Times New Roman"/>
          <w:b w:val="0"/>
          <w:i/>
          <w:sz w:val="22"/>
        </w:rPr>
        <w:t>backward pass</w:t>
      </w:r>
      <w:r>
        <w:rPr>
          <w:rFonts w:ascii="Times New Roman" w:hAnsi="Times New Roman"/>
          <w:b w:val="0"/>
          <w:i w:val="0"/>
          <w:sz w:val="22"/>
        </w:rPr>
        <w:t xml:space="preserve"> yang memproses sekuen dari </w:t>
      </w:r>
      <w:r>
        <w:rPr>
          <w:rFonts w:ascii="Times New Roman" w:hAnsi="Times New Roman"/>
          <w:b w:val="0"/>
          <w:i/>
          <w:sz w:val="22"/>
        </w:rPr>
        <w:t>t</w:t>
      </w:r>
      <w:r>
        <w:rPr>
          <w:rFonts w:ascii="Times New Roman" w:hAnsi="Times New Roman"/>
          <w:b w:val="0"/>
          <w:i w:val="0"/>
          <w:sz w:val="22"/>
        </w:rPr>
        <w:t xml:space="preserve"> = </w:t>
      </w:r>
      <w:r>
        <w:rPr>
          <w:rFonts w:ascii="Times New Roman" w:hAnsi="Times New Roman"/>
          <w:b w:val="0"/>
          <w:i/>
          <w:sz w:val="22"/>
        </w:rPr>
        <w:t>T</w:t>
      </w:r>
      <w:r>
        <w:rPr>
          <w:rFonts w:ascii="Times New Roman" w:hAnsi="Times New Roman"/>
          <w:b w:val="0"/>
          <w:i w:val="0"/>
          <w:sz w:val="22"/>
        </w:rPr>
        <w:t xml:space="preserve"> hingga 1), dan simbol </w:t>
      </w:r>
      <w:r>
        <w:rPr>
          <w:rFonts w:ascii="Times New Roman" w:hAnsi="Times New Roman"/>
          <w:b w:val="0"/>
          <w:i/>
          <w:sz w:val="22"/>
        </w:rPr>
        <w:t>⊕</w:t>
      </w:r>
      <w:r>
        <w:rPr>
          <w:rFonts w:ascii="Times New Roman" w:hAnsi="Times New Roman"/>
          <w:b w:val="0"/>
          <w:i w:val="0"/>
          <w:sz w:val="22"/>
        </w:rPr>
        <w:t xml:space="preserve"> menyatakan operasi penggabungan vektor (</w:t>
      </w:r>
      <w:r>
        <w:rPr>
          <w:rFonts w:ascii="Times New Roman" w:hAnsi="Times New Roman"/>
          <w:b w:val="0"/>
          <w:i/>
          <w:sz w:val="22"/>
        </w:rPr>
        <w:t>concatenation</w:t>
      </w:r>
      <w:r>
        <w:rPr>
          <w:rFonts w:ascii="Times New Roman" w:hAnsi="Times New Roman"/>
          <w:b w:val="0"/>
          <w:i w:val="0"/>
          <w:sz w:val="22"/>
        </w:rPr>
        <w:t>). Dengan menggabungkan kedua arah pemrosesan tersebut (masing-masing 48 unit sehingga membentuk vektor berdimensi 96 unit), jaringan mampu memahami konteks sebelum dan sesudah suatu peristiwa fluktuasi harga di dalam jendela pengamatan.</w:t>
      </w:r>
    </w:p>
    <w:p>
      <w:pPr>
        <w:spacing w:line="276" w:lineRule="auto" w:after="100"/>
        <w:ind w:firstLine="454"/>
        <w:jc w:val="both"/>
      </w:pPr>
      <w:r>
        <w:rPr>
          <w:rFonts w:ascii="Times New Roman" w:hAnsi="Times New Roman"/>
          <w:b w:val="0"/>
          <w:i w:val="0"/>
          <w:sz w:val="22"/>
        </w:rPr>
        <w:t xml:space="preserve">Untuk mencegah hilangnya informasi penting pada langkah waktu historis ketika terjadi lonjakan harga Solana, status tersembunyi dua arah H_t dimasukkan ke dalam lapisan </w:t>
      </w:r>
      <w:r>
        <w:rPr>
          <w:rFonts w:ascii="Times New Roman" w:hAnsi="Times New Roman"/>
          <w:b w:val="0"/>
          <w:i/>
          <w:sz w:val="22"/>
        </w:rPr>
        <w:t>Temporal Attention</w:t>
      </w:r>
      <w:r>
        <w:rPr>
          <w:rFonts w:ascii="Times New Roman" w:hAnsi="Times New Roman"/>
          <w:b w:val="0"/>
          <w:i w:val="0"/>
          <w:sz w:val="22"/>
        </w:rPr>
        <w:t xml:space="preserve"> [44], [45], [46], [47], [48] untuk menghitung skor energi e_t dan bobot probabilitas α_t sesuai Persamaan (13):</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sSub>
                <m:e>
                  <m:r>
                    <w:rPr>
                      <w:rFonts w:ascii="Cambria Math" w:hAnsi="Cambria Math"/>
                    </w:rPr>
                    <m:t>e</m:t>
                  </m:r>
                </m:e>
                <m:sub>
                  <m:r>
                    <w:rPr>
                      <w:rFonts w:ascii="Cambria Math" w:hAnsi="Cambria Math"/>
                    </w:rPr>
                    <m:t>t</m:t>
                  </m:r>
                </m:sub>
              </m:sSub>
              <m:r>
                <m:rPr>
                  <m:sty m:val="p"/>
                </m:rPr>
                <w:rPr>
                  <w:rFonts w:ascii="Cambria Math" w:hAnsi="Cambria Math"/>
                </w:rPr>
                <m:t> = </m:t>
              </m:r>
              <m:sSup>
                <m:e>
                  <m:r>
                    <w:rPr>
                      <w:rFonts w:ascii="Cambria Math" w:hAnsi="Cambria Math"/>
                    </w:rPr>
                    <m:t>v</m:t>
                  </m:r>
                </m:e>
                <m:sup>
                  <m:r>
                    <m:rPr>
                      <m:sty m:val="p"/>
                    </m:rPr>
                    <w:rPr>
                      <w:rFonts w:ascii="Cambria Math" w:hAnsi="Cambria Math"/>
                    </w:rPr>
                    <m:t>T</m:t>
                  </m:r>
                </m:sup>
              </m:sSup>
              <m:r>
                <m:rPr>
                  <m:sty m:val="p"/>
                </m:rPr>
                <w:rPr>
                  <w:rFonts w:ascii="Cambria Math" w:hAnsi="Cambria Math"/>
                </w:rPr>
                <m:t>tanh</m:t>
              </m:r>
              <m:d>
                <m:dPr>
                  <m:begChr m:val="("/>
                  <m:endChr m:val=")"/>
                </m:dPr>
                <m:e>
                  <m:sSub>
                    <m:e>
                      <m:r>
                        <w:rPr>
                          <w:rFonts w:ascii="Cambria Math" w:hAnsi="Cambria Math"/>
                        </w:rPr>
                        <m:t>W</m:t>
                      </m:r>
                    </m:e>
                    <m:sub>
                      <m:r>
                        <w:rPr>
                          <w:rFonts w:ascii="Cambria Math" w:hAnsi="Cambria Math"/>
                        </w:rPr>
                        <m:t>a</m:t>
                      </m:r>
                    </m:sub>
                  </m:sSub>
                  <m:sSub>
                    <m:e>
                      <m:r>
                        <w:rPr>
                          <w:rFonts w:ascii="Cambria Math" w:hAnsi="Cambria Math"/>
                        </w:rPr>
                        <m:t>H</m:t>
                      </m:r>
                    </m:e>
                    <m:sub>
                      <m:r>
                        <w:rPr>
                          <w:rFonts w:ascii="Cambria Math" w:hAnsi="Cambria Math"/>
                        </w:rPr>
                        <m:t>t</m:t>
                      </m:r>
                    </m:sub>
                  </m:sSub>
                  <m:r>
                    <m:rPr>
                      <m:sty m:val="p"/>
                    </m:rPr>
                    <w:rPr>
                      <w:rFonts w:ascii="Cambria Math" w:hAnsi="Cambria Math"/>
                    </w:rPr>
                    <m:t> + </m:t>
                  </m:r>
                  <m:sSub>
                    <m:e>
                      <m:r>
                        <w:rPr>
                          <w:rFonts w:ascii="Cambria Math" w:hAnsi="Cambria Math"/>
                        </w:rPr>
                        <m:t>b</m:t>
                      </m:r>
                    </m:e>
                    <m:sub>
                      <m:r>
                        <w:rPr>
                          <w:rFonts w:ascii="Cambria Math" w:hAnsi="Cambria Math"/>
                        </w:rPr>
                        <m:t>a</m:t>
                      </m:r>
                    </m:sub>
                  </m:sSub>
                </m:e>
              </m:d>
              <m:r>
                <m:rPr>
                  <m:sty m:val="p"/>
                </m:rPr>
                <w:rPr>
                  <w:rFonts w:ascii="Cambria Math" w:hAnsi="Cambria Math"/>
                </w:rPr>
                <m:t> ,   </m:t>
              </m:r>
              <m:sSub>
                <m:e>
                  <m:r>
                    <w:rPr>
                      <w:rFonts w:ascii="Cambria Math" w:hAnsi="Cambria Math"/>
                    </w:rPr>
                    <m:t>α</m:t>
                  </m:r>
                </m:e>
                <m:sub>
                  <m:r>
                    <w:rPr>
                      <w:rFonts w:ascii="Cambria Math" w:hAnsi="Cambria Math"/>
                    </w:rPr>
                    <m:t>t</m:t>
                  </m:r>
                </m:sub>
              </m:sSub>
              <m:r>
                <m:rPr>
                  <m:sty m:val="p"/>
                </m:rPr>
                <w:rPr>
                  <w:rFonts w:ascii="Cambria Math" w:hAnsi="Cambria Math"/>
                </w:rPr>
                <m:t> = </m:t>
              </m:r>
              <m:f>
                <m:num>
                  <m:r>
                    <m:rPr>
                      <m:sty m:val="p"/>
                    </m:rPr>
                    <w:rPr>
                      <w:rFonts w:ascii="Cambria Math" w:hAnsi="Cambria Math"/>
                    </w:rPr>
                    <m:t>exp</m:t>
                  </m:r>
                  <m:d>
                    <m:dPr>
                      <m:begChr m:val="("/>
                      <m:endChr m:val=")"/>
                    </m:dPr>
                    <m:e>
                      <m:sSub>
                        <m:e>
                          <m:r>
                            <w:rPr>
                              <w:rFonts w:ascii="Cambria Math" w:hAnsi="Cambria Math"/>
                            </w:rPr>
                            <m:t>e</m:t>
                          </m:r>
                        </m:e>
                        <m:sub>
                          <m:r>
                            <w:rPr>
                              <w:rFonts w:ascii="Cambria Math" w:hAnsi="Cambria Math"/>
                            </w:rPr>
                            <m:t>t</m:t>
                          </m:r>
                        </m:sub>
                      </m:sSub>
                    </m:e>
                  </m:d>
                </m:num>
                <m:den>
                  <m:nary>
                    <m:naryPr>
                      <m:chr m:val="∑"/>
                      <m:limLoc m:val="undOvr"/>
                    </m:naryPr>
                    <m:sub>
                      <m:r>
                        <w:rPr>
                          <w:rFonts w:ascii="Cambria Math" w:hAnsi="Cambria Math"/>
                        </w:rPr>
                        <m:t>k</m:t>
                      </m:r>
                      <m:r>
                        <m:rPr>
                          <m:sty m:val="p"/>
                        </m:rPr>
                        <w:rPr>
                          <w:rFonts w:ascii="Cambria Math" w:hAnsi="Cambria Math"/>
                        </w:rPr>
                        <m:t>=1</m:t>
                      </m:r>
                    </m:sub>
                    <m:sup>
                      <m:r>
                        <w:rPr>
                          <w:rFonts w:ascii="Cambria Math" w:hAnsi="Cambria Math"/>
                        </w:rPr>
                        <m:t>T</m:t>
                      </m:r>
                    </m:sup>
                    <m:e>
                      <m:r>
                        <m:rPr>
                          <m:sty m:val="p"/>
                        </m:rPr>
                        <w:rPr>
                          <w:rFonts w:ascii="Cambria Math" w:hAnsi="Cambria Math"/>
                        </w:rPr>
                        <m:t>exp</m:t>
                      </m:r>
                      <m:d>
                        <m:dPr>
                          <m:begChr m:val="("/>
                          <m:endChr m:val=")"/>
                        </m:dPr>
                        <m:e>
                          <m:sSub>
                            <m:e>
                              <m:r>
                                <w:rPr>
                                  <w:rFonts w:ascii="Cambria Math" w:hAnsi="Cambria Math"/>
                                </w:rPr>
                                <m:t>e</m:t>
                              </m:r>
                            </m:e>
                            <m:sub>
                              <m:r>
                                <w:rPr>
                                  <w:rFonts w:ascii="Cambria Math" w:hAnsi="Cambria Math"/>
                                </w:rPr>
                                <m:t>k</m:t>
                              </m:r>
                            </m:sub>
                          </m:sSub>
                        </m:e>
                      </m:d>
                    </m:e>
                  </m:nary>
                </m:den>
              </m:f>
            </m:oMath>
          </w:p>
        </w:tc>
        <w:tc>
          <w:tcPr>
            <w:tcW w:type="dxa" w:w="1020"/>
            <w:vAlign w:val="center"/>
          </w:tcPr>
          <w:p>
            <w:pPr>
              <w:spacing w:before="80" w:after="80"/>
              <w:jc w:val="right"/>
            </w:pPr>
            <w:r>
              <w:rPr>
                <w:rFonts w:ascii="Times New Roman" w:hAnsi="Times New Roman"/>
                <w:sz w:val="24"/>
              </w:rPr>
              <w:t>(13)</w:t>
            </w:r>
          </w:p>
        </w:tc>
      </w:tr>
    </w:tbl>
    <w:p>
      <w:pPr>
        <w:spacing w:before="60" w:after="120" w:line="276" w:lineRule="auto"/>
        <w:ind w:firstLine="454"/>
        <w:jc w:val="both"/>
      </w:pPr>
      <w:r>
        <w:rPr>
          <w:rFonts w:ascii="Times New Roman" w:hAnsi="Times New Roman"/>
          <w:b w:val="0"/>
          <w:i w:val="0"/>
          <w:sz w:val="22"/>
        </w:rPr>
        <w:t xml:space="preserve">Berdasarkan Persamaan (13) di atas, </w:t>
      </w:r>
      <w:r>
        <w:rPr>
          <w:rFonts w:ascii="Times New Roman" w:hAnsi="Times New Roman"/>
          <w:b w:val="0"/>
          <w:i/>
          <w:sz w:val="22"/>
        </w:rPr>
        <w:t>e_t</w:t>
      </w:r>
      <w:r>
        <w:rPr>
          <w:rFonts w:ascii="Times New Roman" w:hAnsi="Times New Roman"/>
          <w:b w:val="0"/>
          <w:i w:val="0"/>
          <w:sz w:val="22"/>
        </w:rPr>
        <w:t xml:space="preserve"> menyatakan skor energi keselarasan (</w:t>
      </w:r>
      <w:r>
        <w:rPr>
          <w:rFonts w:ascii="Times New Roman" w:hAnsi="Times New Roman"/>
          <w:b w:val="0"/>
          <w:i/>
          <w:sz w:val="22"/>
        </w:rPr>
        <w:t>alignment energy score</w:t>
      </w:r>
      <w:r>
        <w:rPr>
          <w:rFonts w:ascii="Times New Roman" w:hAnsi="Times New Roman"/>
          <w:b w:val="0"/>
          <w:i w:val="0"/>
          <w:sz w:val="22"/>
        </w:rPr>
        <w:t>) aditif Bahdanau pada langkah waktu ke-</w:t>
      </w:r>
      <w:r>
        <w:rPr>
          <w:rFonts w:ascii="Times New Roman" w:hAnsi="Times New Roman"/>
          <w:b w:val="0"/>
          <w:i/>
          <w:sz w:val="22"/>
        </w:rPr>
        <w:t>t</w:t>
      </w:r>
      <w:r>
        <w:rPr>
          <w:rFonts w:ascii="Times New Roman" w:hAnsi="Times New Roman"/>
          <w:b w:val="0"/>
          <w:i w:val="0"/>
          <w:sz w:val="22"/>
        </w:rPr>
        <w:t xml:space="preserve"> yang dihitung menggunakan matriks bobot perhatian </w:t>
      </w:r>
      <w:r>
        <w:rPr>
          <w:rFonts w:ascii="Times New Roman" w:hAnsi="Times New Roman"/>
          <w:b w:val="0"/>
          <w:i/>
          <w:sz w:val="22"/>
        </w:rPr>
        <w:t>W_a</w:t>
      </w:r>
      <w:r>
        <w:rPr>
          <w:rFonts w:ascii="Times New Roman" w:hAnsi="Times New Roman"/>
          <w:b w:val="0"/>
          <w:i w:val="0"/>
          <w:sz w:val="22"/>
        </w:rPr>
        <w:t xml:space="preserve">, vektor parameter proyeksi </w:t>
      </w:r>
      <w:r>
        <w:rPr>
          <w:rFonts w:ascii="Times New Roman" w:hAnsi="Times New Roman"/>
          <w:b w:val="0"/>
          <w:i/>
          <w:sz w:val="22"/>
        </w:rPr>
        <w:t>v^T</w:t>
      </w:r>
      <w:r>
        <w:rPr>
          <w:rFonts w:ascii="Times New Roman" w:hAnsi="Times New Roman"/>
          <w:b w:val="0"/>
          <w:i w:val="0"/>
          <w:sz w:val="22"/>
        </w:rPr>
        <w:t xml:space="preserve">, dan vektor bias </w:t>
      </w:r>
      <w:r>
        <w:rPr>
          <w:rFonts w:ascii="Times New Roman" w:hAnsi="Times New Roman"/>
          <w:b w:val="0"/>
          <w:i/>
          <w:sz w:val="22"/>
        </w:rPr>
        <w:t>b_a</w:t>
      </w:r>
      <w:r>
        <w:rPr>
          <w:rFonts w:ascii="Times New Roman" w:hAnsi="Times New Roman"/>
          <w:b w:val="0"/>
          <w:i w:val="0"/>
          <w:sz w:val="22"/>
        </w:rPr>
        <w:t xml:space="preserve"> terhadap representasi dua arah </w:t>
      </w:r>
      <w:r>
        <w:rPr>
          <w:rFonts w:ascii="Times New Roman" w:hAnsi="Times New Roman"/>
          <w:b w:val="0"/>
          <w:i/>
          <w:sz w:val="22"/>
        </w:rPr>
        <w:t>H_t</w:t>
      </w:r>
      <w:r>
        <w:rPr>
          <w:rFonts w:ascii="Times New Roman" w:hAnsi="Times New Roman"/>
          <w:b w:val="0"/>
          <w:i w:val="0"/>
          <w:sz w:val="22"/>
        </w:rPr>
        <w:t xml:space="preserve">. Skor energi </w:t>
      </w:r>
      <w:r>
        <w:rPr>
          <w:rFonts w:ascii="Times New Roman" w:hAnsi="Times New Roman"/>
          <w:b w:val="0"/>
          <w:i/>
          <w:sz w:val="22"/>
        </w:rPr>
        <w:t>e_t</w:t>
      </w:r>
      <w:r>
        <w:rPr>
          <w:rFonts w:ascii="Times New Roman" w:hAnsi="Times New Roman"/>
          <w:b w:val="0"/>
          <w:i w:val="0"/>
          <w:sz w:val="22"/>
        </w:rPr>
        <w:t xml:space="preserve"> tersebut selanjutnya dinormalisasi di seluruh </w:t>
      </w:r>
      <w:r>
        <w:rPr>
          <w:rFonts w:ascii="Times New Roman" w:hAnsi="Times New Roman"/>
          <w:b w:val="0"/>
          <w:i/>
          <w:sz w:val="22"/>
        </w:rPr>
        <w:t>T</w:t>
      </w:r>
      <w:r>
        <w:rPr>
          <w:rFonts w:ascii="Times New Roman" w:hAnsi="Times New Roman"/>
          <w:b w:val="0"/>
          <w:i w:val="0"/>
          <w:sz w:val="22"/>
        </w:rPr>
        <w:t xml:space="preserve"> = 20 langkah waktu menggunakan fungsi eksponensial </w:t>
      </w:r>
      <w:r>
        <w:rPr>
          <w:rFonts w:ascii="Times New Roman" w:hAnsi="Times New Roman"/>
          <w:b w:val="0"/>
          <w:i/>
          <w:sz w:val="22"/>
        </w:rPr>
        <w:t>Softmax</w:t>
      </w:r>
      <w:r>
        <w:rPr>
          <w:rFonts w:ascii="Times New Roman" w:hAnsi="Times New Roman"/>
          <w:b w:val="0"/>
          <w:i w:val="0"/>
          <w:sz w:val="22"/>
        </w:rPr>
        <w:t xml:space="preserve"> untuk menghasilkan bobot perhatian probabilistik </w:t>
      </w:r>
      <w:r>
        <w:rPr>
          <w:rFonts w:ascii="Times New Roman" w:hAnsi="Times New Roman"/>
          <w:b w:val="0"/>
          <w:i/>
          <w:sz w:val="22"/>
        </w:rPr>
        <w:t>α_t</w:t>
      </w:r>
      <w:r>
        <w:rPr>
          <w:rFonts w:ascii="Times New Roman" w:hAnsi="Times New Roman"/>
          <w:b w:val="0"/>
          <w:i w:val="0"/>
          <w:sz w:val="22"/>
        </w:rPr>
        <w:t xml:space="preserve"> (dengan nilai </w:t>
      </w:r>
      <w:r>
        <w:rPr>
          <w:rFonts w:ascii="Times New Roman" w:hAnsi="Times New Roman"/>
          <w:b w:val="0"/>
          <w:i/>
          <w:sz w:val="22"/>
        </w:rPr>
        <w:t>α_t ≥ 0</w:t>
      </w:r>
      <w:r>
        <w:rPr>
          <w:rFonts w:ascii="Times New Roman" w:hAnsi="Times New Roman"/>
          <w:b w:val="0"/>
          <w:i w:val="0"/>
          <w:sz w:val="22"/>
        </w:rPr>
        <w:t xml:space="preserve"> dan </w:t>
      </w:r>
      <w:r>
        <w:rPr>
          <w:rFonts w:ascii="Times New Roman" w:hAnsi="Times New Roman"/>
          <w:b w:val="0"/>
          <w:i/>
          <w:sz w:val="22"/>
        </w:rPr>
        <w:t>∑ α_t = 1</w:t>
      </w:r>
      <w:r>
        <w:rPr>
          <w:rFonts w:ascii="Times New Roman" w:hAnsi="Times New Roman"/>
          <w:b w:val="0"/>
          <w:i w:val="0"/>
          <w:sz w:val="22"/>
        </w:rPr>
        <w:t>), yang secara eksplisit menunjukkan tingkat kepentingan relatif hari ke-</w:t>
      </w:r>
      <w:r>
        <w:rPr>
          <w:rFonts w:ascii="Times New Roman" w:hAnsi="Times New Roman"/>
          <w:b w:val="0"/>
          <w:i/>
          <w:sz w:val="22"/>
        </w:rPr>
        <w:t>t</w:t>
      </w:r>
      <w:r>
        <w:rPr>
          <w:rFonts w:ascii="Times New Roman" w:hAnsi="Times New Roman"/>
          <w:b w:val="0"/>
          <w:i w:val="0"/>
          <w:sz w:val="22"/>
        </w:rPr>
        <w:t xml:space="preserve"> terhadap pembentukan prediksi harga.</w:t>
      </w:r>
    </w:p>
    <w:p>
      <w:pPr>
        <w:spacing w:line="276" w:lineRule="auto" w:after="100"/>
        <w:ind w:firstLine="454"/>
        <w:jc w:val="both"/>
      </w:pPr>
      <w:r>
        <w:rPr>
          <w:rFonts w:ascii="Times New Roman" w:hAnsi="Times New Roman"/>
          <w:b w:val="0"/>
          <w:i w:val="0"/>
          <w:sz w:val="22"/>
        </w:rPr>
        <w:t>Vektor konteks tertimbang hasil agregasi perhatian temporal selanjutnya dipetakan menjadi prediksi harga penutupan ŷ_(t+1) melalui koneksi residual sesuai Persamaan (14):</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sSub>
                <m:e>
                  <m:acc>
                    <m:accPr>
                      <m:chr m:val="̂"/>
                    </m:accPr>
                    <m:e>
                      <m:r>
                        <w:rPr>
                          <w:rFonts w:ascii="Cambria Math" w:hAnsi="Cambria Math"/>
                        </w:rPr>
                        <m:t>y</m:t>
                      </m:r>
                    </m:e>
                  </m:acc>
                </m:e>
                <m:sub>
                  <m:r>
                    <w:rPr>
                      <w:rFonts w:ascii="Cambria Math" w:hAnsi="Cambria Math"/>
                    </w:rPr>
                    <m:t>t</m:t>
                  </m:r>
                  <m:r>
                    <m:rPr>
                      <m:sty m:val="p"/>
                    </m:rPr>
                    <w:rPr>
                      <w:rFonts w:ascii="Cambria Math" w:hAnsi="Cambria Math"/>
                    </w:rPr>
                    <m:t>+1</m:t>
                  </m:r>
                </m:sub>
              </m:sSub>
              <m:r>
                <m:rPr>
                  <m:sty m:val="p"/>
                </m:rPr>
                <w:rPr>
                  <w:rFonts w:ascii="Cambria Math" w:hAnsi="Cambria Math"/>
                </w:rPr>
                <m:t> = </m:t>
              </m:r>
              <m:sSub>
                <m:e>
                  <m:r>
                    <w:rPr>
                      <w:rFonts w:ascii="Cambria Math" w:hAnsi="Cambria Math"/>
                    </w:rPr>
                    <m:t>W</m:t>
                  </m:r>
                </m:e>
                <m:sub>
                  <m:r>
                    <m:rPr>
                      <m:sty m:val="p"/>
                    </m:rPr>
                    <w:rPr>
                      <w:rFonts w:ascii="Cambria Math" w:hAnsi="Cambria Math"/>
                    </w:rPr>
                    <m:t>out</m:t>
                  </m:r>
                </m:sub>
              </m:sSub>
              <m:r>
                <m:rPr>
                  <m:sty m:val="p"/>
                </m:rPr>
                <w:rPr>
                  <w:rFonts w:ascii="Cambria Math" w:hAnsi="Cambria Math"/>
                </w:rPr>
                <m:t>⋅</m:t>
              </m:r>
              <m:r>
                <m:rPr>
                  <m:sty m:val="p"/>
                </m:rPr>
                <w:rPr>
                  <w:rFonts w:ascii="Cambria Math" w:hAnsi="Cambria Math"/>
                </w:rPr>
                <m:t>LeakyReLU</m:t>
              </m:r>
              <m:d>
                <m:dPr>
                  <m:begChr m:val="("/>
                  <m:endChr m:val=")"/>
                </m:dPr>
                <m:e>
                  <m:sSub>
                    <m:e>
                      <m:r>
                        <w:rPr>
                          <w:rFonts w:ascii="Cambria Math" w:hAnsi="Cambria Math"/>
                        </w:rPr>
                        <m:t>W</m:t>
                      </m:r>
                    </m:e>
                    <m:sub>
                      <m:r>
                        <w:rPr>
                          <w:rFonts w:ascii="Cambria Math" w:hAnsi="Cambria Math"/>
                        </w:rPr>
                        <m:t>d</m:t>
                      </m:r>
                    </m:sub>
                  </m:sSub>
                  <m:d>
                    <m:dPr>
                      <m:begChr m:val="("/>
                      <m:endChr m:val=")"/>
                    </m:dPr>
                    <m:e>
                      <m:nary>
                        <m:naryPr>
                          <m:chr m:val="∑"/>
                          <m:limLoc m:val="undOvr"/>
                        </m:naryPr>
                        <m:sub>
                          <m:r>
                            <w:rPr>
                              <w:rFonts w:ascii="Cambria Math" w:hAnsi="Cambria Math"/>
                            </w:rPr>
                            <m:t>t</m:t>
                          </m:r>
                          <m:r>
                            <m:rPr>
                              <m:sty m:val="p"/>
                            </m:rPr>
                            <w:rPr>
                              <w:rFonts w:ascii="Cambria Math" w:hAnsi="Cambria Math"/>
                            </w:rPr>
                            <m:t>=1</m:t>
                          </m:r>
                        </m:sub>
                        <m:sup>
                          <m:r>
                            <w:rPr>
                              <w:rFonts w:ascii="Cambria Math" w:hAnsi="Cambria Math"/>
                            </w:rPr>
                            <m:t>T</m:t>
                          </m:r>
                        </m:sup>
                        <m:e>
                          <m:sSub>
                            <m:e>
                              <m:r>
                                <w:rPr>
                                  <w:rFonts w:ascii="Cambria Math" w:hAnsi="Cambria Math"/>
                                </w:rPr>
                                <m:t>α</m:t>
                              </m:r>
                            </m:e>
                            <m:sub>
                              <m:r>
                                <w:rPr>
                                  <w:rFonts w:ascii="Cambria Math" w:hAnsi="Cambria Math"/>
                                </w:rPr>
                                <m:t>t</m:t>
                              </m:r>
                            </m:sub>
                          </m:sSub>
                          <m:sSub>
                            <m:e>
                              <m:r>
                                <w:rPr>
                                  <w:rFonts w:ascii="Cambria Math" w:hAnsi="Cambria Math"/>
                                </w:rPr>
                                <m:t>H</m:t>
                              </m:r>
                            </m:e>
                            <m:sub>
                              <m:r>
                                <w:rPr>
                                  <w:rFonts w:ascii="Cambria Math" w:hAnsi="Cambria Math"/>
                                </w:rPr>
                                <m:t>t</m:t>
                              </m:r>
                            </m:sub>
                          </m:sSub>
                        </m:e>
                      </m:nary>
                      <m:r>
                        <m:rPr>
                          <m:sty m:val="p"/>
                        </m:rPr>
                        <w:rPr>
                          <w:rFonts w:ascii="Cambria Math" w:hAnsi="Cambria Math"/>
                        </w:rPr>
                        <m:t> + </m:t>
                      </m:r>
                      <m:sSub>
                        <m:e>
                          <m:r>
                            <w:rPr>
                              <w:rFonts w:ascii="Cambria Math" w:hAnsi="Cambria Math"/>
                            </w:rPr>
                            <m:t>H</m:t>
                          </m:r>
                        </m:e>
                        <m:sub>
                          <m:r>
                            <w:rPr>
                              <w:rFonts w:ascii="Cambria Math" w:hAnsi="Cambria Math"/>
                            </w:rPr>
                            <m:t>T</m:t>
                          </m:r>
                        </m:sub>
                      </m:sSub>
                    </m:e>
                  </m:d>
                  <m:r>
                    <m:rPr>
                      <m:sty m:val="p"/>
                    </m:rPr>
                    <w:rPr>
                      <w:rFonts w:ascii="Cambria Math" w:hAnsi="Cambria Math"/>
                    </w:rPr>
                    <m:t> + </m:t>
                  </m:r>
                  <m:sSub>
                    <m:e>
                      <m:r>
                        <w:rPr>
                          <w:rFonts w:ascii="Cambria Math" w:hAnsi="Cambria Math"/>
                        </w:rPr>
                        <m:t>b</m:t>
                      </m:r>
                    </m:e>
                    <m:sub>
                      <m:r>
                        <w:rPr>
                          <w:rFonts w:ascii="Cambria Math" w:hAnsi="Cambria Math"/>
                        </w:rPr>
                        <m:t>d</m:t>
                      </m:r>
                    </m:sub>
                  </m:sSub>
                </m:e>
              </m:d>
              <m:r>
                <m:rPr>
                  <m:sty m:val="p"/>
                </m:rPr>
                <w:rPr>
                  <w:rFonts w:ascii="Cambria Math" w:hAnsi="Cambria Math"/>
                </w:rPr>
                <m:t> + </m:t>
              </m:r>
              <m:sSub>
                <m:e>
                  <m:r>
                    <w:rPr>
                      <w:rFonts w:ascii="Cambria Math" w:hAnsi="Cambria Math"/>
                    </w:rPr>
                    <m:t>W</m:t>
                  </m:r>
                </m:e>
                <m:sub>
                  <m:r>
                    <m:rPr>
                      <m:sty m:val="p"/>
                    </m:rPr>
                    <w:rPr>
                      <w:rFonts w:ascii="Cambria Math" w:hAnsi="Cambria Math"/>
                    </w:rPr>
                    <m:t>res</m:t>
                  </m:r>
                </m:sub>
              </m:sSub>
              <m:sSub>
                <m:e>
                  <m:r>
                    <w:rPr>
                      <w:rFonts w:ascii="Cambria Math" w:hAnsi="Cambria Math"/>
                    </w:rPr>
                    <m:t>x</m:t>
                  </m:r>
                </m:e>
                <m:sub>
                  <m:r>
                    <w:rPr>
                      <w:rFonts w:ascii="Cambria Math" w:hAnsi="Cambria Math"/>
                    </w:rPr>
                    <m:t>T</m:t>
                  </m:r>
                </m:sub>
              </m:sSub>
            </m:oMath>
          </w:p>
        </w:tc>
        <w:tc>
          <w:tcPr>
            <w:tcW w:type="dxa" w:w="1020"/>
            <w:vAlign w:val="center"/>
          </w:tcPr>
          <w:p>
            <w:pPr>
              <w:spacing w:before="80" w:after="80"/>
              <w:jc w:val="right"/>
            </w:pPr>
            <w:r>
              <w:rPr>
                <w:rFonts w:ascii="Times New Roman" w:hAnsi="Times New Roman"/>
                <w:sz w:val="24"/>
              </w:rPr>
              <w:t>(14)</w:t>
            </w:r>
          </w:p>
        </w:tc>
      </w:tr>
    </w:tbl>
    <w:p>
      <w:pPr>
        <w:spacing w:before="60" w:after="120" w:line="276" w:lineRule="auto"/>
        <w:ind w:firstLine="454"/>
        <w:jc w:val="both"/>
      </w:pPr>
      <w:r>
        <w:rPr>
          <w:rFonts w:ascii="Times New Roman" w:hAnsi="Times New Roman"/>
          <w:b w:val="0"/>
          <w:i w:val="0"/>
          <w:sz w:val="22"/>
        </w:rPr>
        <w:t xml:space="preserve">Berdasarkan Persamaan (14) di atas, </w:t>
      </w:r>
      <w:r>
        <w:rPr>
          <w:rFonts w:ascii="Times New Roman" w:hAnsi="Times New Roman"/>
          <w:b w:val="0"/>
          <w:i/>
          <w:sz w:val="22"/>
        </w:rPr>
        <w:t>ŷ_(t+1)</w:t>
      </w:r>
      <w:r>
        <w:rPr>
          <w:rFonts w:ascii="Times New Roman" w:hAnsi="Times New Roman"/>
          <w:b w:val="0"/>
          <w:i w:val="0"/>
          <w:sz w:val="22"/>
        </w:rPr>
        <w:t xml:space="preserve"> adalah estimasi harga penutupan Solana pada satu hari ke depan dalam skala ternormalisasi, </w:t>
      </w:r>
      <w:r>
        <w:rPr>
          <w:rFonts w:ascii="Times New Roman" w:hAnsi="Times New Roman"/>
          <w:b w:val="0"/>
          <w:i/>
          <w:sz w:val="22"/>
        </w:rPr>
        <w:t>∑ α_t H_t</w:t>
      </w:r>
      <w:r>
        <w:rPr>
          <w:rFonts w:ascii="Times New Roman" w:hAnsi="Times New Roman"/>
          <w:b w:val="0"/>
          <w:i w:val="0"/>
          <w:sz w:val="22"/>
        </w:rPr>
        <w:t xml:space="preserve"> adalah vektor konteks tertimbang hasil agregasi </w:t>
      </w:r>
      <w:r>
        <w:rPr>
          <w:rFonts w:ascii="Times New Roman" w:hAnsi="Times New Roman"/>
          <w:b w:val="0"/>
          <w:i/>
          <w:sz w:val="22"/>
        </w:rPr>
        <w:t>Temporal Attention</w:t>
      </w:r>
      <w:r>
        <w:rPr>
          <w:rFonts w:ascii="Times New Roman" w:hAnsi="Times New Roman"/>
          <w:b w:val="0"/>
          <w:i w:val="0"/>
          <w:sz w:val="22"/>
        </w:rPr>
        <w:t xml:space="preserve">, </w:t>
      </w:r>
      <w:r>
        <w:rPr>
          <w:rFonts w:ascii="Times New Roman" w:hAnsi="Times New Roman"/>
          <w:b w:val="0"/>
          <w:i/>
          <w:sz w:val="22"/>
        </w:rPr>
        <w:t>H_T</w:t>
      </w:r>
      <w:r>
        <w:rPr>
          <w:rFonts w:ascii="Times New Roman" w:hAnsi="Times New Roman"/>
          <w:b w:val="0"/>
          <w:i w:val="0"/>
          <w:sz w:val="22"/>
        </w:rPr>
        <w:t xml:space="preserve"> adalah status tersembunyi pada langkah waktu paling mutakhir yang ditambahkan sebagai koneksi pintas sekuensial, </w:t>
      </w:r>
      <w:r>
        <w:rPr>
          <w:rFonts w:ascii="Times New Roman" w:hAnsi="Times New Roman"/>
          <w:b w:val="0"/>
          <w:i/>
          <w:sz w:val="22"/>
        </w:rPr>
        <w:t>W_d</w:t>
      </w:r>
      <w:r>
        <w:rPr>
          <w:rFonts w:ascii="Times New Roman" w:hAnsi="Times New Roman"/>
          <w:b w:val="0"/>
          <w:i w:val="0"/>
          <w:sz w:val="22"/>
        </w:rPr>
        <w:t xml:space="preserve"> dan </w:t>
      </w:r>
      <w:r>
        <w:rPr>
          <w:rFonts w:ascii="Times New Roman" w:hAnsi="Times New Roman"/>
          <w:b w:val="0"/>
          <w:i/>
          <w:sz w:val="22"/>
        </w:rPr>
        <w:t>b_d</w:t>
      </w:r>
      <w:r>
        <w:rPr>
          <w:rFonts w:ascii="Times New Roman" w:hAnsi="Times New Roman"/>
          <w:b w:val="0"/>
          <w:i w:val="0"/>
          <w:sz w:val="22"/>
        </w:rPr>
        <w:t xml:space="preserve"> adalah parameter lapisan </w:t>
      </w:r>
      <w:r>
        <w:rPr>
          <w:rFonts w:ascii="Times New Roman" w:hAnsi="Times New Roman"/>
          <w:b w:val="0"/>
          <w:i/>
          <w:sz w:val="22"/>
        </w:rPr>
        <w:t>Dense</w:t>
      </w:r>
      <w:r>
        <w:rPr>
          <w:rFonts w:ascii="Times New Roman" w:hAnsi="Times New Roman"/>
          <w:b w:val="0"/>
          <w:i w:val="0"/>
          <w:sz w:val="22"/>
        </w:rPr>
        <w:t xml:space="preserve"> tersembunyi, serta </w:t>
      </w:r>
      <w:r>
        <w:rPr>
          <w:rFonts w:ascii="Times New Roman" w:hAnsi="Times New Roman"/>
          <w:b w:val="0"/>
          <w:i/>
          <w:sz w:val="22"/>
        </w:rPr>
        <w:t>W_out</w:t>
      </w:r>
      <w:r>
        <w:rPr>
          <w:rFonts w:ascii="Times New Roman" w:hAnsi="Times New Roman"/>
          <w:b w:val="0"/>
          <w:i w:val="0"/>
          <w:sz w:val="22"/>
        </w:rPr>
        <w:t xml:space="preserve"> adalah bobot proyeksi keluaran. Suku tambahan </w:t>
      </w:r>
      <w:r>
        <w:rPr>
          <w:rFonts w:ascii="Times New Roman" w:hAnsi="Times New Roman"/>
          <w:b w:val="0"/>
          <w:i/>
          <w:sz w:val="22"/>
        </w:rPr>
        <w:t>W_res x_T</w:t>
      </w:r>
      <w:r>
        <w:rPr>
          <w:rFonts w:ascii="Times New Roman" w:hAnsi="Times New Roman"/>
          <w:b w:val="0"/>
          <w:i w:val="0"/>
          <w:sz w:val="22"/>
        </w:rPr>
        <w:t xml:space="preserve"> berfungsi sebagai koneksi pintas residual linier (</w:t>
      </w:r>
      <w:r>
        <w:rPr>
          <w:rFonts w:ascii="Times New Roman" w:hAnsi="Times New Roman"/>
          <w:b w:val="0"/>
          <w:i/>
          <w:sz w:val="22"/>
        </w:rPr>
        <w:t>residual skip connection</w:t>
      </w:r>
      <w:r>
        <w:rPr>
          <w:rFonts w:ascii="Times New Roman" w:hAnsi="Times New Roman"/>
          <w:b w:val="0"/>
          <w:i w:val="0"/>
          <w:sz w:val="22"/>
        </w:rPr>
        <w:t xml:space="preserve">) dari vektor fitur hari terakhir </w:t>
      </w:r>
      <w:r>
        <w:rPr>
          <w:rFonts w:ascii="Times New Roman" w:hAnsi="Times New Roman"/>
          <w:b w:val="0"/>
          <w:i/>
          <w:sz w:val="22"/>
        </w:rPr>
        <w:t>x_T</w:t>
      </w:r>
      <w:r>
        <w:rPr>
          <w:rFonts w:ascii="Times New Roman" w:hAnsi="Times New Roman"/>
          <w:b w:val="0"/>
          <w:i w:val="0"/>
          <w:sz w:val="22"/>
        </w:rPr>
        <w:t xml:space="preserve"> untuk menjaga presisi level harga dasar sekaligus menghilangkan bias keterlambatan fase (</w:t>
      </w:r>
      <w:r>
        <w:rPr>
          <w:rFonts w:ascii="Times New Roman" w:hAnsi="Times New Roman"/>
          <w:b w:val="0"/>
          <w:i/>
          <w:sz w:val="22"/>
        </w:rPr>
        <w:t>phase lagging</w:t>
      </w:r>
      <w:r>
        <w:rPr>
          <w:rFonts w:ascii="Times New Roman" w:hAnsi="Times New Roman"/>
          <w:b w:val="0"/>
          <w:i w:val="0"/>
          <w:sz w:val="22"/>
        </w:rPr>
        <w:t>).</w:t>
      </w:r>
    </w:p>
    <w:p>
      <w:pPr>
        <w:keepNext/>
        <w:spacing w:before="160" w:after="60"/>
      </w:pPr>
      <w:r>
        <w:rPr>
          <w:rFonts w:ascii="Times New Roman" w:hAnsi="Times New Roman"/>
          <w:b/>
          <w:sz w:val="22"/>
        </w:rPr>
        <w:t xml:space="preserve">2.3. </w:t>
      </w:r>
      <w:r>
        <w:rPr>
          <w:rFonts w:ascii="Times New Roman" w:hAnsi="Times New Roman"/>
          <w:b/>
          <w:i w:val="0"/>
          <w:sz w:val="22"/>
        </w:rPr>
        <w:t>Protokol Pembagian Data dan Metrik Evaluasi</w:t>
      </w:r>
    </w:p>
    <w:p>
      <w:pPr>
        <w:spacing w:line="276" w:lineRule="auto" w:after="100"/>
        <w:ind w:firstLine="454"/>
        <w:jc w:val="both"/>
      </w:pPr>
      <w:r>
        <w:rPr>
          <w:rFonts w:ascii="Times New Roman" w:hAnsi="Times New Roman"/>
          <w:b w:val="0"/>
          <w:i w:val="0"/>
          <w:sz w:val="22"/>
        </w:rPr>
        <w:t xml:space="preserve">Dataset bersih sebanyak 2.080 observasi dibagi secara kronologis menjadi tiga bagian: Data Latih sebesar 70% (1.456 hari: 20 Januari 2021 – 14 Januari 2025), Data Validasi sebesar 15% (312 hari: 15 Januari 2025 – 22 November 2025), dan Data Uji sebesar 15% (312 hari: 23 November 2025 – 30 September 2026). Evaluasi performa dilakukan pada skala USD asli menggunakan lima metrik, dimulai dari </w:t>
      </w:r>
      <w:r>
        <w:rPr>
          <w:rFonts w:ascii="Times New Roman" w:hAnsi="Times New Roman"/>
          <w:b w:val="0"/>
          <w:i/>
          <w:sz w:val="22"/>
        </w:rPr>
        <w:t>Mean Absolute Error</w:t>
      </w:r>
      <w:r>
        <w:rPr>
          <w:rFonts w:ascii="Times New Roman" w:hAnsi="Times New Roman"/>
          <w:b w:val="0"/>
          <w:i w:val="0"/>
          <w:sz w:val="22"/>
        </w:rPr>
        <w:t xml:space="preserve"> (MAE) sesuai Persamaan (15):</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r>
                <m:rPr>
                  <m:sty m:val="p"/>
                </m:rPr>
                <w:rPr>
                  <w:rFonts w:ascii="Cambria Math" w:hAnsi="Cambria Math"/>
                </w:rPr>
                <m:t>MAE</m:t>
              </m:r>
              <m:r>
                <m:rPr>
                  <m:sty m:val="p"/>
                </m:rPr>
                <w:rPr>
                  <w:rFonts w:ascii="Cambria Math" w:hAnsi="Cambria Math"/>
                </w:rPr>
                <m:t> = </m:t>
              </m:r>
              <m:f>
                <m:num>
                  <m:r>
                    <m:rPr>
                      <m:sty m:val="p"/>
                    </m:rPr>
                    <w:rPr>
                      <w:rFonts w:ascii="Cambria Math" w:hAnsi="Cambria Math"/>
                    </w:rPr>
                    <m:t>1</m:t>
                  </m:r>
                </m:num>
                <m:den>
                  <m:r>
                    <w:rPr>
                      <w:rFonts w:ascii="Cambria Math" w:hAnsi="Cambria Math"/>
                    </w:rPr>
                    <m:t>n</m:t>
                  </m:r>
                </m:den>
              </m:f>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dPr>
                    <m:e>
                      <m:sSub>
                        <m:e>
                          <m:r>
                            <w:rPr>
                              <w:rFonts w:ascii="Cambria Math" w:hAnsi="Cambria Math"/>
                            </w:rPr>
                            <m:t>y</m:t>
                          </m:r>
                        </m:e>
                        <m:sub>
                          <m:r>
                            <w:rPr>
                              <w:rFonts w:ascii="Cambria Math" w:hAnsi="Cambria Math"/>
                            </w:rPr>
                            <m:t>i</m:t>
                          </m:r>
                        </m:sub>
                      </m:sSub>
                      <m:r>
                        <m:rPr>
                          <m:sty m:val="p"/>
                        </m:rPr>
                        <w:rPr>
                          <w:rFonts w:ascii="Cambria Math" w:hAnsi="Cambria Math"/>
                        </w:rPr>
                        <m:t> − </m:t>
                      </m:r>
                      <m:sSub>
                        <m:e>
                          <m:acc>
                            <m:accPr>
                              <m:chr m:val="̂"/>
                            </m:accPr>
                            <m:e>
                              <m:r>
                                <w:rPr>
                                  <w:rFonts w:ascii="Cambria Math" w:hAnsi="Cambria Math"/>
                                </w:rPr>
                                <m:t>y</m:t>
                              </m:r>
                            </m:e>
                          </m:acc>
                        </m:e>
                        <m:sub>
                          <m:r>
                            <w:rPr>
                              <w:rFonts w:ascii="Cambria Math" w:hAnsi="Cambria Math"/>
                            </w:rPr>
                            <m:t>i</m:t>
                          </m:r>
                        </m:sub>
                      </m:sSub>
                    </m:e>
                  </m:d>
                </m:e>
              </m:nary>
            </m:oMath>
          </w:p>
        </w:tc>
        <w:tc>
          <w:tcPr>
            <w:tcW w:type="dxa" w:w="1020"/>
            <w:vAlign w:val="center"/>
          </w:tcPr>
          <w:p>
            <w:pPr>
              <w:spacing w:before="80" w:after="80"/>
              <w:jc w:val="right"/>
            </w:pPr>
            <w:r>
              <w:rPr>
                <w:rFonts w:ascii="Times New Roman" w:hAnsi="Times New Roman"/>
                <w:sz w:val="24"/>
              </w:rPr>
              <w:t>(15)</w:t>
            </w:r>
          </w:p>
        </w:tc>
      </w:tr>
    </w:tbl>
    <w:p>
      <w:pPr>
        <w:spacing w:before="60" w:after="120" w:line="276" w:lineRule="auto"/>
        <w:ind w:firstLine="454"/>
        <w:jc w:val="both"/>
      </w:pPr>
      <w:r>
        <w:rPr>
          <w:rFonts w:ascii="Times New Roman" w:hAnsi="Times New Roman"/>
          <w:b w:val="0"/>
          <w:i w:val="0"/>
          <w:sz w:val="22"/>
        </w:rPr>
        <w:t xml:space="preserve">Berdasarkan Persamaan (15) di atas, </w:t>
      </w:r>
      <w:r>
        <w:rPr>
          <w:rFonts w:ascii="Times New Roman" w:hAnsi="Times New Roman"/>
          <w:b w:val="0"/>
          <w:i/>
          <w:sz w:val="22"/>
        </w:rPr>
        <w:t>MAE</w:t>
      </w:r>
      <w:r>
        <w:rPr>
          <w:rFonts w:ascii="Times New Roman" w:hAnsi="Times New Roman"/>
          <w:b w:val="0"/>
          <w:i w:val="0"/>
          <w:sz w:val="22"/>
        </w:rPr>
        <w:t xml:space="preserve"> (</w:t>
      </w:r>
      <w:r>
        <w:rPr>
          <w:rFonts w:ascii="Times New Roman" w:hAnsi="Times New Roman"/>
          <w:b w:val="0"/>
          <w:i/>
          <w:sz w:val="22"/>
        </w:rPr>
        <w:t>Mean Absolute Error</w:t>
      </w:r>
      <w:r>
        <w:rPr>
          <w:rFonts w:ascii="Times New Roman" w:hAnsi="Times New Roman"/>
          <w:b w:val="0"/>
          <w:i w:val="0"/>
          <w:sz w:val="22"/>
        </w:rPr>
        <w:t xml:space="preserve">) mengukur rata-rata selisih mutlak antara nilai harga penutupan aktual Solana </w:t>
      </w:r>
      <w:r>
        <w:rPr>
          <w:rFonts w:ascii="Times New Roman" w:hAnsi="Times New Roman"/>
          <w:b w:val="0"/>
          <w:i/>
          <w:sz w:val="22"/>
        </w:rPr>
        <w:t>y_i</w:t>
      </w:r>
      <w:r>
        <w:rPr>
          <w:rFonts w:ascii="Times New Roman" w:hAnsi="Times New Roman"/>
          <w:b w:val="0"/>
          <w:i w:val="0"/>
          <w:sz w:val="22"/>
        </w:rPr>
        <w:t xml:space="preserve"> dan nilai harga hasil prediksi model </w:t>
      </w:r>
      <w:r>
        <w:rPr>
          <w:rFonts w:ascii="Times New Roman" w:hAnsi="Times New Roman"/>
          <w:b w:val="0"/>
          <w:i/>
          <w:sz w:val="22"/>
        </w:rPr>
        <w:t>ŷ_i</w:t>
      </w:r>
      <w:r>
        <w:rPr>
          <w:rFonts w:ascii="Times New Roman" w:hAnsi="Times New Roman"/>
          <w:b w:val="0"/>
          <w:i w:val="0"/>
          <w:sz w:val="22"/>
        </w:rPr>
        <w:t xml:space="preserve"> dalam satuan Dolar Amerika Serikat (USD) pada keseluruhan </w:t>
      </w:r>
      <w:r>
        <w:rPr>
          <w:rFonts w:ascii="Times New Roman" w:hAnsi="Times New Roman"/>
          <w:b w:val="0"/>
          <w:i/>
          <w:sz w:val="22"/>
        </w:rPr>
        <w:t>n</w:t>
      </w:r>
      <w:r>
        <w:rPr>
          <w:rFonts w:ascii="Times New Roman" w:hAnsi="Times New Roman"/>
          <w:b w:val="0"/>
          <w:i w:val="0"/>
          <w:sz w:val="22"/>
        </w:rPr>
        <w:t xml:space="preserve"> sampel pengujian. Karena memberikan bobot linier yang setara pada setiap titik kesalahan tanpa penguadratan, metrik </w:t>
      </w:r>
      <w:r>
        <w:rPr>
          <w:rFonts w:ascii="Times New Roman" w:hAnsi="Times New Roman"/>
          <w:b w:val="0"/>
          <w:i/>
          <w:sz w:val="22"/>
        </w:rPr>
        <w:t>MAE</w:t>
      </w:r>
      <w:r>
        <w:rPr>
          <w:rFonts w:ascii="Times New Roman" w:hAnsi="Times New Roman"/>
          <w:b w:val="0"/>
          <w:i w:val="0"/>
          <w:sz w:val="22"/>
        </w:rPr>
        <w:t xml:space="preserve"> merepresentasikan besaran deviasi harga rata-rata harian yang paling intuitif secara finansial; semakin mendekati 0 nilai </w:t>
      </w:r>
      <w:r>
        <w:rPr>
          <w:rFonts w:ascii="Times New Roman" w:hAnsi="Times New Roman"/>
          <w:b w:val="0"/>
          <w:i/>
          <w:sz w:val="22"/>
        </w:rPr>
        <w:t>MAE</w:t>
      </w:r>
      <w:r>
        <w:rPr>
          <w:rFonts w:ascii="Times New Roman" w:hAnsi="Times New Roman"/>
          <w:b w:val="0"/>
          <w:i w:val="0"/>
          <w:sz w:val="22"/>
        </w:rPr>
        <w:t>, semakin presisi estimasi model.</w:t>
      </w:r>
    </w:p>
    <w:p>
      <w:pPr>
        <w:spacing w:line="276" w:lineRule="auto" w:after="100"/>
        <w:ind w:firstLine="454"/>
        <w:jc w:val="both"/>
      </w:pPr>
      <w:r>
        <w:rPr>
          <w:rFonts w:ascii="Times New Roman" w:hAnsi="Times New Roman"/>
          <w:b w:val="0"/>
          <w:i w:val="0"/>
          <w:sz w:val="22"/>
        </w:rPr>
        <w:t xml:space="preserve">Tingkat kesalahan kuadratik yang sensitif terhadap fluktuasi ekstrem diukur menggunakan </w:t>
      </w:r>
      <w:r>
        <w:rPr>
          <w:rFonts w:ascii="Times New Roman" w:hAnsi="Times New Roman"/>
          <w:b w:val="0"/>
          <w:i/>
          <w:sz w:val="22"/>
        </w:rPr>
        <w:t>Root Mean Square Error</w:t>
      </w:r>
      <w:r>
        <w:rPr>
          <w:rFonts w:ascii="Times New Roman" w:hAnsi="Times New Roman"/>
          <w:b w:val="0"/>
          <w:i w:val="0"/>
          <w:sz w:val="22"/>
        </w:rPr>
        <w:t xml:space="preserve"> (RMSE) sesuai Persamaan (16):</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r>
                <m:rPr>
                  <m:sty m:val="p"/>
                </m:rPr>
                <w:rPr>
                  <w:rFonts w:ascii="Cambria Math" w:hAnsi="Cambria Math"/>
                </w:rPr>
                <m:t>RMSE</m:t>
              </m:r>
              <m:r>
                <m:rPr>
                  <m:sty m:val="p"/>
                </m:rPr>
                <w:rPr>
                  <w:rFonts w:ascii="Cambria Math" w:hAnsi="Cambria Math"/>
                </w:rPr>
                <m:t> = </m:t>
              </m:r>
              <m:rad>
                <m:radPr>
                  <m:degHide m:val="1"/>
                </m:radPr>
                <m:deg/>
                <m:e>
                  <m:f>
                    <m:num>
                      <m:r>
                        <m:rPr>
                          <m:sty m:val="p"/>
                        </m:rPr>
                        <w:rPr>
                          <w:rFonts w:ascii="Cambria Math" w:hAnsi="Cambria Math"/>
                        </w:rPr>
                        <m:t>1</m:t>
                      </m:r>
                    </m:num>
                    <m:den>
                      <m:r>
                        <w:rPr>
                          <w:rFonts w:ascii="Cambria Math" w:hAnsi="Cambria Math"/>
                        </w:rPr>
                        <m:t>n</m:t>
                      </m:r>
                    </m:den>
                  </m:f>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sSup>
                        <m:e>
                          <m:d>
                            <m:dPr>
                              <m:begChr m:val="("/>
                              <m:endChr m:val=")"/>
                            </m:dPr>
                            <m:e>
                              <m:sSub>
                                <m:e>
                                  <m:r>
                                    <w:rPr>
                                      <w:rFonts w:ascii="Cambria Math" w:hAnsi="Cambria Math"/>
                                    </w:rPr>
                                    <m:t>y</m:t>
                                  </m:r>
                                </m:e>
                                <m:sub>
                                  <m:r>
                                    <w:rPr>
                                      <w:rFonts w:ascii="Cambria Math" w:hAnsi="Cambria Math"/>
                                    </w:rPr>
                                    <m:t>i</m:t>
                                  </m:r>
                                </m:sub>
                              </m:sSub>
                              <m:r>
                                <m:rPr>
                                  <m:sty m:val="p"/>
                                </m:rPr>
                                <w:rPr>
                                  <w:rFonts w:ascii="Cambria Math" w:hAnsi="Cambria Math"/>
                                </w:rPr>
                                <m:t> − </m:t>
                              </m:r>
                              <m:sSub>
                                <m:e>
                                  <m:acc>
                                    <m:accPr>
                                      <m:chr m:val="̂"/>
                                    </m:accPr>
                                    <m:e>
                                      <m:r>
                                        <w:rPr>
                                          <w:rFonts w:ascii="Cambria Math" w:hAnsi="Cambria Math"/>
                                        </w:rPr>
                                        <m:t>y</m:t>
                                      </m:r>
                                    </m:e>
                                  </m:acc>
                                </m:e>
                                <m:sub>
                                  <m:r>
                                    <w:rPr>
                                      <w:rFonts w:ascii="Cambria Math" w:hAnsi="Cambria Math"/>
                                    </w:rPr>
                                    <m:t>i</m:t>
                                  </m:r>
                                </m:sub>
                              </m:sSub>
                            </m:e>
                          </m:d>
                        </m:e>
                        <m:sup>
                          <m:r>
                            <m:rPr>
                              <m:sty m:val="p"/>
                            </m:rPr>
                            <w:rPr>
                              <w:rFonts w:ascii="Cambria Math" w:hAnsi="Cambria Math"/>
                            </w:rPr>
                            <m:t>2</m:t>
                          </m:r>
                        </m:sup>
                      </m:sSup>
                    </m:e>
                  </m:nary>
                </m:e>
              </m:rad>
            </m:oMath>
          </w:p>
        </w:tc>
        <w:tc>
          <w:tcPr>
            <w:tcW w:type="dxa" w:w="1020"/>
            <w:vAlign w:val="center"/>
          </w:tcPr>
          <w:p>
            <w:pPr>
              <w:spacing w:before="80" w:after="80"/>
              <w:jc w:val="right"/>
            </w:pPr>
            <w:r>
              <w:rPr>
                <w:rFonts w:ascii="Times New Roman" w:hAnsi="Times New Roman"/>
                <w:sz w:val="24"/>
              </w:rPr>
              <w:t>(16)</w:t>
            </w:r>
          </w:p>
        </w:tc>
      </w:tr>
    </w:tbl>
    <w:p>
      <w:pPr>
        <w:spacing w:before="60" w:after="120" w:line="276" w:lineRule="auto"/>
        <w:ind w:firstLine="454"/>
        <w:jc w:val="both"/>
      </w:pPr>
      <w:r>
        <w:rPr>
          <w:rFonts w:ascii="Times New Roman" w:hAnsi="Times New Roman"/>
          <w:b w:val="0"/>
          <w:i w:val="0"/>
          <w:sz w:val="22"/>
        </w:rPr>
        <w:t xml:space="preserve">Berdasarkan Persamaan (16) di atas, </w:t>
      </w:r>
      <w:r>
        <w:rPr>
          <w:rFonts w:ascii="Times New Roman" w:hAnsi="Times New Roman"/>
          <w:b w:val="0"/>
          <w:i/>
          <w:sz w:val="22"/>
        </w:rPr>
        <w:t>RMSE</w:t>
      </w:r>
      <w:r>
        <w:rPr>
          <w:rFonts w:ascii="Times New Roman" w:hAnsi="Times New Roman"/>
          <w:b w:val="0"/>
          <w:i w:val="0"/>
          <w:sz w:val="22"/>
        </w:rPr>
        <w:t xml:space="preserve"> (</w:t>
      </w:r>
      <w:r>
        <w:rPr>
          <w:rFonts w:ascii="Times New Roman" w:hAnsi="Times New Roman"/>
          <w:b w:val="0"/>
          <w:i/>
          <w:sz w:val="22"/>
        </w:rPr>
        <w:t>Root Mean Square Error</w:t>
      </w:r>
      <w:r>
        <w:rPr>
          <w:rFonts w:ascii="Times New Roman" w:hAnsi="Times New Roman"/>
          <w:b w:val="0"/>
          <w:i w:val="0"/>
          <w:sz w:val="22"/>
        </w:rPr>
        <w:t xml:space="preserve">) menghitung akar kuadrat dari rata-rata kuadrat selisih antara harga penutupan aktual </w:t>
      </w:r>
      <w:r>
        <w:rPr>
          <w:rFonts w:ascii="Times New Roman" w:hAnsi="Times New Roman"/>
          <w:b w:val="0"/>
          <w:i/>
          <w:sz w:val="22"/>
        </w:rPr>
        <w:t>y_i</w:t>
      </w:r>
      <w:r>
        <w:rPr>
          <w:rFonts w:ascii="Times New Roman" w:hAnsi="Times New Roman"/>
          <w:b w:val="0"/>
          <w:i w:val="0"/>
          <w:sz w:val="22"/>
        </w:rPr>
        <w:t xml:space="preserve"> dan harga prediksi </w:t>
      </w:r>
      <w:r>
        <w:rPr>
          <w:rFonts w:ascii="Times New Roman" w:hAnsi="Times New Roman"/>
          <w:b w:val="0"/>
          <w:i/>
          <w:sz w:val="22"/>
        </w:rPr>
        <w:t>ŷ_i</w:t>
      </w:r>
      <w:r>
        <w:rPr>
          <w:rFonts w:ascii="Times New Roman" w:hAnsi="Times New Roman"/>
          <w:b w:val="0"/>
          <w:i w:val="0"/>
          <w:sz w:val="22"/>
        </w:rPr>
        <w:t xml:space="preserve"> sepanjang </w:t>
      </w:r>
      <w:r>
        <w:rPr>
          <w:rFonts w:ascii="Times New Roman" w:hAnsi="Times New Roman"/>
          <w:b w:val="0"/>
          <w:i/>
          <w:sz w:val="22"/>
        </w:rPr>
        <w:t>n</w:t>
      </w:r>
      <w:r>
        <w:rPr>
          <w:rFonts w:ascii="Times New Roman" w:hAnsi="Times New Roman"/>
          <w:b w:val="0"/>
          <w:i w:val="0"/>
          <w:sz w:val="22"/>
        </w:rPr>
        <w:t xml:space="preserve"> observasi data uji. Proses penguadratan kesalahan sebelum penarikan akar kuadrat menyebabkan metrik </w:t>
      </w:r>
      <w:r>
        <w:rPr>
          <w:rFonts w:ascii="Times New Roman" w:hAnsi="Times New Roman"/>
          <w:b w:val="0"/>
          <w:i/>
          <w:sz w:val="22"/>
        </w:rPr>
        <w:t>RMSE</w:t>
      </w:r>
      <w:r>
        <w:rPr>
          <w:rFonts w:ascii="Times New Roman" w:hAnsi="Times New Roman"/>
          <w:b w:val="0"/>
          <w:i w:val="0"/>
          <w:sz w:val="22"/>
        </w:rPr>
        <w:t xml:space="preserve"> sangat sensitif terhadap kesalahan prediksi berukuran besar (</w:t>
      </w:r>
      <w:r>
        <w:rPr>
          <w:rFonts w:ascii="Times New Roman" w:hAnsi="Times New Roman"/>
          <w:b w:val="0"/>
          <w:i/>
          <w:sz w:val="22"/>
        </w:rPr>
        <w:t>outlier</w:t>
      </w:r>
      <w:r>
        <w:rPr>
          <w:rFonts w:ascii="Times New Roman" w:hAnsi="Times New Roman"/>
          <w:b w:val="0"/>
          <w:i w:val="0"/>
          <w:sz w:val="22"/>
        </w:rPr>
        <w:t>), sehingga metrik ini menjadi indikator utama untuk menilai ketangguhan model saat pasar Solana mengalami lonjakan volatilitas ekstrem.</w:t>
      </w:r>
    </w:p>
    <w:p>
      <w:pPr>
        <w:spacing w:line="276" w:lineRule="auto" w:after="100"/>
        <w:ind w:firstLine="454"/>
        <w:jc w:val="both"/>
      </w:pPr>
      <w:r>
        <w:rPr>
          <w:rFonts w:ascii="Times New Roman" w:hAnsi="Times New Roman"/>
          <w:b w:val="0"/>
          <w:i w:val="0"/>
          <w:sz w:val="22"/>
        </w:rPr>
        <w:t xml:space="preserve">Persentase kesalahan relatif rata-rata dihitung menggunakan </w:t>
      </w:r>
      <w:r>
        <w:rPr>
          <w:rFonts w:ascii="Times New Roman" w:hAnsi="Times New Roman"/>
          <w:b w:val="0"/>
          <w:i/>
          <w:sz w:val="22"/>
        </w:rPr>
        <w:t>Mean Absolute Percentage Error</w:t>
      </w:r>
      <w:r>
        <w:rPr>
          <w:rFonts w:ascii="Times New Roman" w:hAnsi="Times New Roman"/>
          <w:b w:val="0"/>
          <w:i w:val="0"/>
          <w:sz w:val="22"/>
        </w:rPr>
        <w:t xml:space="preserve"> (MAPE) sesuai Persamaan (17):</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r>
                <m:rPr>
                  <m:sty m:val="p"/>
                </m:rPr>
                <w:rPr>
                  <w:rFonts w:ascii="Cambria Math" w:hAnsi="Cambria Math"/>
                </w:rPr>
                <m:t>MAPE</m:t>
              </m:r>
              <m:r>
                <m:rPr>
                  <m:sty m:val="p"/>
                </m:rPr>
                <w:rPr>
                  <w:rFonts w:ascii="Cambria Math" w:hAnsi="Cambria Math"/>
                </w:rPr>
                <m:t> = </m:t>
              </m:r>
              <m:f>
                <m:num>
                  <m:r>
                    <m:rPr>
                      <m:sty m:val="p"/>
                    </m:rPr>
                    <w:rPr>
                      <w:rFonts w:ascii="Cambria Math" w:hAnsi="Cambria Math"/>
                    </w:rPr>
                    <m:t>100%</m:t>
                  </m:r>
                </m:num>
                <m:den>
                  <m:r>
                    <w:rPr>
                      <w:rFonts w:ascii="Cambria Math" w:hAnsi="Cambria Math"/>
                    </w:rPr>
                    <m:t>n</m:t>
                  </m:r>
                </m:den>
              </m:f>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d>
                    <m:dPr>
                      <m:begChr m:val="|"/>
                      <m:endChr m:val="|"/>
                    </m:dPr>
                    <m:e>
                      <m:f>
                        <m:num>
                          <m:sSub>
                            <m:e>
                              <m:r>
                                <w:rPr>
                                  <w:rFonts w:ascii="Cambria Math" w:hAnsi="Cambria Math"/>
                                </w:rPr>
                                <m:t>y</m:t>
                              </m:r>
                            </m:e>
                            <m:sub>
                              <m:r>
                                <w:rPr>
                                  <w:rFonts w:ascii="Cambria Math" w:hAnsi="Cambria Math"/>
                                </w:rPr>
                                <m:t>i</m:t>
                              </m:r>
                            </m:sub>
                          </m:sSub>
                          <m:r>
                            <m:rPr>
                              <m:sty m:val="p"/>
                            </m:rPr>
                            <w:rPr>
                              <w:rFonts w:ascii="Cambria Math" w:hAnsi="Cambria Math"/>
                            </w:rPr>
                            <m:t> − </m:t>
                          </m:r>
                          <m:sSub>
                            <m:e>
                              <m:acc>
                                <m:accPr>
                                  <m:chr m:val="̂"/>
                                </m:accPr>
                                <m:e>
                                  <m:r>
                                    <w:rPr>
                                      <w:rFonts w:ascii="Cambria Math" w:hAnsi="Cambria Math"/>
                                    </w:rPr>
                                    <m:t>y</m:t>
                                  </m:r>
                                </m:e>
                              </m:acc>
                            </m:e>
                            <m:sub>
                              <m:r>
                                <w:rPr>
                                  <w:rFonts w:ascii="Cambria Math" w:hAnsi="Cambria Math"/>
                                </w:rPr>
                                <m:t>i</m:t>
                              </m:r>
                            </m:sub>
                          </m:sSub>
                        </m:num>
                        <m:den>
                          <m:sSub>
                            <m:e>
                              <m:r>
                                <w:rPr>
                                  <w:rFonts w:ascii="Cambria Math" w:hAnsi="Cambria Math"/>
                                </w:rPr>
                                <m:t>y</m:t>
                              </m:r>
                            </m:e>
                            <m:sub>
                              <m:r>
                                <w:rPr>
                                  <w:rFonts w:ascii="Cambria Math" w:hAnsi="Cambria Math"/>
                                </w:rPr>
                                <m:t>i</m:t>
                              </m:r>
                            </m:sub>
                          </m:sSub>
                        </m:den>
                      </m:f>
                    </m:e>
                  </m:d>
                </m:e>
              </m:nary>
            </m:oMath>
          </w:p>
        </w:tc>
        <w:tc>
          <w:tcPr>
            <w:tcW w:type="dxa" w:w="1020"/>
            <w:vAlign w:val="center"/>
          </w:tcPr>
          <w:p>
            <w:pPr>
              <w:spacing w:before="80" w:after="80"/>
              <w:jc w:val="right"/>
            </w:pPr>
            <w:r>
              <w:rPr>
                <w:rFonts w:ascii="Times New Roman" w:hAnsi="Times New Roman"/>
                <w:sz w:val="24"/>
              </w:rPr>
              <w:t>(17)</w:t>
            </w:r>
          </w:p>
        </w:tc>
      </w:tr>
    </w:tbl>
    <w:p>
      <w:pPr>
        <w:spacing w:before="60" w:after="120" w:line="276" w:lineRule="auto"/>
        <w:ind w:firstLine="454"/>
        <w:jc w:val="both"/>
      </w:pPr>
      <w:r>
        <w:rPr>
          <w:rFonts w:ascii="Times New Roman" w:hAnsi="Times New Roman"/>
          <w:b w:val="0"/>
          <w:i w:val="0"/>
          <w:sz w:val="22"/>
        </w:rPr>
        <w:t xml:space="preserve">Berdasarkan Persamaan (17) di atas, </w:t>
      </w:r>
      <w:r>
        <w:rPr>
          <w:rFonts w:ascii="Times New Roman" w:hAnsi="Times New Roman"/>
          <w:b w:val="0"/>
          <w:i/>
          <w:sz w:val="22"/>
        </w:rPr>
        <w:t>MAPE</w:t>
      </w:r>
      <w:r>
        <w:rPr>
          <w:rFonts w:ascii="Times New Roman" w:hAnsi="Times New Roman"/>
          <w:b w:val="0"/>
          <w:i w:val="0"/>
          <w:sz w:val="22"/>
        </w:rPr>
        <w:t xml:space="preserve"> (</w:t>
      </w:r>
      <w:r>
        <w:rPr>
          <w:rFonts w:ascii="Times New Roman" w:hAnsi="Times New Roman"/>
          <w:b w:val="0"/>
          <w:i/>
          <w:sz w:val="22"/>
        </w:rPr>
        <w:t>Mean Absolute Percentage Error</w:t>
      </w:r>
      <w:r>
        <w:rPr>
          <w:rFonts w:ascii="Times New Roman" w:hAnsi="Times New Roman"/>
          <w:b w:val="0"/>
          <w:i w:val="0"/>
          <w:sz w:val="22"/>
        </w:rPr>
        <w:t xml:space="preserve">) menyatakan rata-rata persentase kesalahan absolut antara harga aktual </w:t>
      </w:r>
      <w:r>
        <w:rPr>
          <w:rFonts w:ascii="Times New Roman" w:hAnsi="Times New Roman"/>
          <w:b w:val="0"/>
          <w:i/>
          <w:sz w:val="22"/>
        </w:rPr>
        <w:t>y_i</w:t>
      </w:r>
      <w:r>
        <w:rPr>
          <w:rFonts w:ascii="Times New Roman" w:hAnsi="Times New Roman"/>
          <w:b w:val="0"/>
          <w:i w:val="0"/>
          <w:sz w:val="22"/>
        </w:rPr>
        <w:t xml:space="preserve"> dan harga prediksi </w:t>
      </w:r>
      <w:r>
        <w:rPr>
          <w:rFonts w:ascii="Times New Roman" w:hAnsi="Times New Roman"/>
          <w:b w:val="0"/>
          <w:i/>
          <w:sz w:val="22"/>
        </w:rPr>
        <w:t>ŷ_i</w:t>
      </w:r>
      <w:r>
        <w:rPr>
          <w:rFonts w:ascii="Times New Roman" w:hAnsi="Times New Roman"/>
          <w:b w:val="0"/>
          <w:i w:val="0"/>
          <w:sz w:val="22"/>
        </w:rPr>
        <w:t xml:space="preserve"> relatif terhadap nilai aktual </w:t>
      </w:r>
      <w:r>
        <w:rPr>
          <w:rFonts w:ascii="Times New Roman" w:hAnsi="Times New Roman"/>
          <w:b w:val="0"/>
          <w:i/>
          <w:sz w:val="22"/>
        </w:rPr>
        <w:t>y_i</w:t>
      </w:r>
      <w:r>
        <w:rPr>
          <w:rFonts w:ascii="Times New Roman" w:hAnsi="Times New Roman"/>
          <w:b w:val="0"/>
          <w:i w:val="0"/>
          <w:sz w:val="22"/>
        </w:rPr>
        <w:t xml:space="preserve"> pada </w:t>
      </w:r>
      <w:r>
        <w:rPr>
          <w:rFonts w:ascii="Times New Roman" w:hAnsi="Times New Roman"/>
          <w:b w:val="0"/>
          <w:i/>
          <w:sz w:val="22"/>
        </w:rPr>
        <w:t>n</w:t>
      </w:r>
      <w:r>
        <w:rPr>
          <w:rFonts w:ascii="Times New Roman" w:hAnsi="Times New Roman"/>
          <w:b w:val="0"/>
          <w:i w:val="0"/>
          <w:sz w:val="22"/>
        </w:rPr>
        <w:t xml:space="preserve"> sampel pengujian. Mengingat nilainya dinyatakan dalam satuan persentase (%) yang bebas skala (</w:t>
      </w:r>
      <w:r>
        <w:rPr>
          <w:rFonts w:ascii="Times New Roman" w:hAnsi="Times New Roman"/>
          <w:b w:val="0"/>
          <w:i/>
          <w:sz w:val="22"/>
        </w:rPr>
        <w:t>scale-independent</w:t>
      </w:r>
      <w:r>
        <w:rPr>
          <w:rFonts w:ascii="Times New Roman" w:hAnsi="Times New Roman"/>
          <w:b w:val="0"/>
          <w:i w:val="0"/>
          <w:sz w:val="22"/>
        </w:rPr>
        <w:t xml:space="preserve">), </w:t>
      </w:r>
      <w:r>
        <w:rPr>
          <w:rFonts w:ascii="Times New Roman" w:hAnsi="Times New Roman"/>
          <w:b w:val="0"/>
          <w:i/>
          <w:sz w:val="22"/>
        </w:rPr>
        <w:t>MAPE</w:t>
      </w:r>
      <w:r>
        <w:rPr>
          <w:rFonts w:ascii="Times New Roman" w:hAnsi="Times New Roman"/>
          <w:b w:val="0"/>
          <w:i w:val="0"/>
          <w:sz w:val="22"/>
        </w:rPr>
        <w:t xml:space="preserve"> memungkinkan perbandingan akurasi model secara adil lintas periode harga yang berbeda maupun terhadap hasil penelitian terdahulu.</w:t>
      </w:r>
    </w:p>
    <w:p>
      <w:pPr>
        <w:spacing w:line="276" w:lineRule="auto" w:after="100"/>
        <w:ind w:firstLine="454"/>
        <w:jc w:val="both"/>
      </w:pPr>
      <w:r>
        <w:rPr>
          <w:rFonts w:ascii="Times New Roman" w:hAnsi="Times New Roman"/>
          <w:b w:val="0"/>
          <w:i w:val="0"/>
          <w:sz w:val="22"/>
        </w:rPr>
        <w:t>Kesesuaian variansi kurva prediksi terhadap data aktual diukur menggunakan Koefisien Determinasi (R²) sesuai Persamaan (18):</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sSup>
                <m:e>
                  <m:r>
                    <w:rPr>
                      <w:rFonts w:ascii="Cambria Math" w:hAnsi="Cambria Math"/>
                    </w:rPr>
                    <m:t>R</m:t>
                  </m:r>
                </m:e>
                <m:sup>
                  <m:r>
                    <m:rPr>
                      <m:sty m:val="p"/>
                    </m:rPr>
                    <w:rPr>
                      <w:rFonts w:ascii="Cambria Math" w:hAnsi="Cambria Math"/>
                    </w:rPr>
                    <m:t>2</m:t>
                  </m:r>
                </m:sup>
              </m:sSup>
              <m:r>
                <m:rPr>
                  <m:sty m:val="p"/>
                </m:rPr>
                <w:rPr>
                  <w:rFonts w:ascii="Cambria Math" w:hAnsi="Cambria Math"/>
                </w:rPr>
                <m:t> = 1 − </m:t>
              </m:r>
              <m:f>
                <m:num>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sSup>
                        <m:e>
                          <m:d>
                            <m:dPr>
                              <m:begChr m:val="("/>
                              <m:endChr m:val=")"/>
                            </m:dPr>
                            <m:e>
                              <m:sSub>
                                <m:e>
                                  <m:r>
                                    <w:rPr>
                                      <w:rFonts w:ascii="Cambria Math" w:hAnsi="Cambria Math"/>
                                    </w:rPr>
                                    <m:t>y</m:t>
                                  </m:r>
                                </m:e>
                                <m:sub>
                                  <m:r>
                                    <w:rPr>
                                      <w:rFonts w:ascii="Cambria Math" w:hAnsi="Cambria Math"/>
                                    </w:rPr>
                                    <m:t>i</m:t>
                                  </m:r>
                                </m:sub>
                              </m:sSub>
                              <m:r>
                                <m:rPr>
                                  <m:sty m:val="p"/>
                                </m:rPr>
                                <w:rPr>
                                  <w:rFonts w:ascii="Cambria Math" w:hAnsi="Cambria Math"/>
                                </w:rPr>
                                <m:t> − </m:t>
                              </m:r>
                              <m:sSub>
                                <m:e>
                                  <m:acc>
                                    <m:accPr>
                                      <m:chr m:val="̂"/>
                                    </m:accPr>
                                    <m:e>
                                      <m:r>
                                        <w:rPr>
                                          <w:rFonts w:ascii="Cambria Math" w:hAnsi="Cambria Math"/>
                                        </w:rPr>
                                        <m:t>y</m:t>
                                      </m:r>
                                    </m:e>
                                  </m:acc>
                                </m:e>
                                <m:sub>
                                  <m:r>
                                    <w:rPr>
                                      <w:rFonts w:ascii="Cambria Math" w:hAnsi="Cambria Math"/>
                                    </w:rPr>
                                    <m:t>i</m:t>
                                  </m:r>
                                </m:sub>
                              </m:sSub>
                            </m:e>
                          </m:d>
                        </m:e>
                        <m:sup>
                          <m:r>
                            <m:rPr>
                              <m:sty m:val="p"/>
                            </m:rPr>
                            <w:rPr>
                              <w:rFonts w:ascii="Cambria Math" w:hAnsi="Cambria Math"/>
                            </w:rPr>
                            <m:t>2</m:t>
                          </m:r>
                        </m:sup>
                      </m:sSup>
                    </m:e>
                  </m:nary>
                </m:num>
                <m:den>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sSup>
                        <m:e>
                          <m:d>
                            <m:dPr>
                              <m:begChr m:val="("/>
                              <m:endChr m:val=")"/>
                            </m:dPr>
                            <m:e>
                              <m:sSub>
                                <m:e>
                                  <m:r>
                                    <w:rPr>
                                      <w:rFonts w:ascii="Cambria Math" w:hAnsi="Cambria Math"/>
                                    </w:rPr>
                                    <m:t>y</m:t>
                                  </m:r>
                                </m:e>
                                <m:sub>
                                  <m:r>
                                    <w:rPr>
                                      <w:rFonts w:ascii="Cambria Math" w:hAnsi="Cambria Math"/>
                                    </w:rPr>
                                    <m:t>i</m:t>
                                  </m:r>
                                </m:sub>
                              </m:sSub>
                              <m:r>
                                <m:rPr>
                                  <m:sty m:val="p"/>
                                </m:rPr>
                                <w:rPr>
                                  <w:rFonts w:ascii="Cambria Math" w:hAnsi="Cambria Math"/>
                                </w:rPr>
                                <m:t> − </m:t>
                              </m:r>
                              <m:acc>
                                <m:accPr>
                                  <m:chr m:val="̄"/>
                                </m:accPr>
                                <m:e>
                                  <m:r>
                                    <w:rPr>
                                      <w:rFonts w:ascii="Cambria Math" w:hAnsi="Cambria Math"/>
                                    </w:rPr>
                                    <m:t>y</m:t>
                                  </m:r>
                                </m:e>
                              </m:acc>
                            </m:e>
                          </m:d>
                        </m:e>
                        <m:sup>
                          <m:r>
                            <m:rPr>
                              <m:sty m:val="p"/>
                            </m:rPr>
                            <w:rPr>
                              <w:rFonts w:ascii="Cambria Math" w:hAnsi="Cambria Math"/>
                            </w:rPr>
                            <m:t>2</m:t>
                          </m:r>
                        </m:sup>
                      </m:sSup>
                    </m:e>
                  </m:nary>
                </m:den>
              </m:f>
            </m:oMath>
          </w:p>
        </w:tc>
        <w:tc>
          <w:tcPr>
            <w:tcW w:type="dxa" w:w="1020"/>
            <w:vAlign w:val="center"/>
          </w:tcPr>
          <w:p>
            <w:pPr>
              <w:spacing w:before="80" w:after="80"/>
              <w:jc w:val="right"/>
            </w:pPr>
            <w:r>
              <w:rPr>
                <w:rFonts w:ascii="Times New Roman" w:hAnsi="Times New Roman"/>
                <w:sz w:val="24"/>
              </w:rPr>
              <w:t>(18)</w:t>
            </w:r>
          </w:p>
        </w:tc>
      </w:tr>
    </w:tbl>
    <w:p>
      <w:pPr>
        <w:spacing w:before="60" w:after="120" w:line="276" w:lineRule="auto"/>
        <w:ind w:firstLine="454"/>
        <w:jc w:val="both"/>
      </w:pPr>
      <w:r>
        <w:rPr>
          <w:rFonts w:ascii="Times New Roman" w:hAnsi="Times New Roman"/>
          <w:b w:val="0"/>
          <w:i w:val="0"/>
          <w:sz w:val="22"/>
        </w:rPr>
        <w:t xml:space="preserve">Berdasarkan Persamaan (18) di atas, </w:t>
      </w:r>
      <w:r>
        <w:rPr>
          <w:rFonts w:ascii="Times New Roman" w:hAnsi="Times New Roman"/>
          <w:b w:val="0"/>
          <w:i/>
          <w:sz w:val="22"/>
        </w:rPr>
        <w:t>R²</w:t>
      </w:r>
      <w:r>
        <w:rPr>
          <w:rFonts w:ascii="Times New Roman" w:hAnsi="Times New Roman"/>
          <w:b w:val="0"/>
          <w:i w:val="0"/>
          <w:sz w:val="22"/>
        </w:rPr>
        <w:t xml:space="preserve"> (</w:t>
      </w:r>
      <w:r>
        <w:rPr>
          <w:rFonts w:ascii="Times New Roman" w:hAnsi="Times New Roman"/>
          <w:b w:val="0"/>
          <w:i/>
          <w:sz w:val="22"/>
        </w:rPr>
        <w:t>Koefisien Determinasi</w:t>
      </w:r>
      <w:r>
        <w:rPr>
          <w:rFonts w:ascii="Times New Roman" w:hAnsi="Times New Roman"/>
          <w:b w:val="0"/>
          <w:i w:val="0"/>
          <w:sz w:val="22"/>
        </w:rPr>
        <w:t xml:space="preserve">) mengukur proporsi total variansi pergerakan harga aktual Solana </w:t>
      </w:r>
      <w:r>
        <w:rPr>
          <w:rFonts w:ascii="Times New Roman" w:hAnsi="Times New Roman"/>
          <w:b w:val="0"/>
          <w:i/>
          <w:sz w:val="22"/>
        </w:rPr>
        <w:t>y_i</w:t>
      </w:r>
      <w:r>
        <w:rPr>
          <w:rFonts w:ascii="Times New Roman" w:hAnsi="Times New Roman"/>
          <w:b w:val="0"/>
          <w:i w:val="0"/>
          <w:sz w:val="22"/>
        </w:rPr>
        <w:t xml:space="preserve"> terhadap nilai rata-rata aktualnya </w:t>
      </w:r>
      <w:r>
        <w:rPr>
          <w:rFonts w:ascii="Times New Roman" w:hAnsi="Times New Roman"/>
          <w:b w:val="0"/>
          <w:i/>
          <w:sz w:val="22"/>
        </w:rPr>
        <w:t>ȳ</w:t>
      </w:r>
      <w:r>
        <w:rPr>
          <w:rFonts w:ascii="Times New Roman" w:hAnsi="Times New Roman"/>
          <w:b w:val="0"/>
          <w:i w:val="0"/>
          <w:sz w:val="22"/>
        </w:rPr>
        <w:t xml:space="preserve"> yang berhasil dijelaskan oleh variasi prediksi model </w:t>
      </w:r>
      <w:r>
        <w:rPr>
          <w:rFonts w:ascii="Times New Roman" w:hAnsi="Times New Roman"/>
          <w:b w:val="0"/>
          <w:i/>
          <w:sz w:val="22"/>
        </w:rPr>
        <w:t>ŷ_i</w:t>
      </w:r>
      <w:r>
        <w:rPr>
          <w:rFonts w:ascii="Times New Roman" w:hAnsi="Times New Roman"/>
          <w:b w:val="0"/>
          <w:i w:val="0"/>
          <w:sz w:val="22"/>
        </w:rPr>
        <w:t xml:space="preserve"> pada </w:t>
      </w:r>
      <w:r>
        <w:rPr>
          <w:rFonts w:ascii="Times New Roman" w:hAnsi="Times New Roman"/>
          <w:b w:val="0"/>
          <w:i/>
          <w:sz w:val="22"/>
        </w:rPr>
        <w:t>n</w:t>
      </w:r>
      <w:r>
        <w:rPr>
          <w:rFonts w:ascii="Times New Roman" w:hAnsi="Times New Roman"/>
          <w:b w:val="0"/>
          <w:i w:val="0"/>
          <w:sz w:val="22"/>
        </w:rPr>
        <w:t xml:space="preserve"> sampel data uji. Nilai </w:t>
      </w:r>
      <w:r>
        <w:rPr>
          <w:rFonts w:ascii="Times New Roman" w:hAnsi="Times New Roman"/>
          <w:b w:val="0"/>
          <w:i/>
          <w:sz w:val="22"/>
        </w:rPr>
        <w:t>R²</w:t>
      </w:r>
      <w:r>
        <w:rPr>
          <w:rFonts w:ascii="Times New Roman" w:hAnsi="Times New Roman"/>
          <w:b w:val="0"/>
          <w:i w:val="0"/>
          <w:sz w:val="22"/>
        </w:rPr>
        <w:t xml:space="preserve"> berada pada rentang hingga maksimum 1,00; nilai </w:t>
      </w:r>
      <w:r>
        <w:rPr>
          <w:rFonts w:ascii="Times New Roman" w:hAnsi="Times New Roman"/>
          <w:b w:val="0"/>
          <w:i/>
          <w:sz w:val="22"/>
        </w:rPr>
        <w:t>R²</w:t>
      </w:r>
      <w:r>
        <w:rPr>
          <w:rFonts w:ascii="Times New Roman" w:hAnsi="Times New Roman"/>
          <w:b w:val="0"/>
          <w:i w:val="0"/>
          <w:sz w:val="22"/>
        </w:rPr>
        <w:t xml:space="preserve"> yang semakin mendekati 1,00 membuktikan bahwa kurva prediksi model mampu mengikuti pola tren dan fluktuasi harga aktual dengan tingkat kesesuaian (</w:t>
      </w:r>
      <w:r>
        <w:rPr>
          <w:rFonts w:ascii="Times New Roman" w:hAnsi="Times New Roman"/>
          <w:b w:val="0"/>
          <w:i/>
          <w:sz w:val="22"/>
        </w:rPr>
        <w:t>goodness-of-fit</w:t>
      </w:r>
      <w:r>
        <w:rPr>
          <w:rFonts w:ascii="Times New Roman" w:hAnsi="Times New Roman"/>
          <w:b w:val="0"/>
          <w:i w:val="0"/>
          <w:sz w:val="22"/>
        </w:rPr>
        <w:t>) yang sangat tinggi.</w:t>
      </w:r>
    </w:p>
    <w:p>
      <w:pPr>
        <w:spacing w:line="276" w:lineRule="auto" w:after="100"/>
        <w:ind w:firstLine="454"/>
        <w:jc w:val="both"/>
      </w:pPr>
      <w:r>
        <w:rPr>
          <w:rFonts w:ascii="Times New Roman" w:hAnsi="Times New Roman"/>
          <w:b w:val="0"/>
          <w:i w:val="0"/>
          <w:sz w:val="22"/>
        </w:rPr>
        <w:t xml:space="preserve">Ketepatan model dalam memprediksi arah kenaikan atau penurunan harga harian diukur menggunakan </w:t>
      </w:r>
      <w:r>
        <w:rPr>
          <w:rFonts w:ascii="Times New Roman" w:hAnsi="Times New Roman"/>
          <w:b w:val="0"/>
          <w:i/>
          <w:sz w:val="22"/>
        </w:rPr>
        <w:t>Directional Accuracy</w:t>
      </w:r>
      <w:r>
        <w:rPr>
          <w:rFonts w:ascii="Times New Roman" w:hAnsi="Times New Roman"/>
          <w:b w:val="0"/>
          <w:i w:val="0"/>
          <w:sz w:val="22"/>
        </w:rPr>
        <w:t xml:space="preserve"> (DA) sesuai Persamaan (19):</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c>
          <w:tcPr>
            <w:tcW w:type="dxa" w:w="6917"/>
            <w:vAlign w:val="center"/>
          </w:tcPr>
          <w:p>
            <w:pPr>
              <w:spacing w:before="80" w:after="80" w:line="276" w:lineRule="auto"/>
              <w:jc w:val="center"/>
            </w:pPr>
            <m:oMath>
              <m:r>
                <m:rPr>
                  <m:sty m:val="p"/>
                </m:rPr>
                <w:rPr>
                  <w:rFonts w:ascii="Cambria Math" w:hAnsi="Cambria Math"/>
                </w:rPr>
                <m:t>DA</m:t>
              </m:r>
              <m:r>
                <m:rPr>
                  <m:sty m:val="p"/>
                </m:rPr>
                <w:rPr>
                  <w:rFonts w:ascii="Cambria Math" w:hAnsi="Cambria Math"/>
                </w:rPr>
                <m:t> = </m:t>
              </m:r>
              <m:f>
                <m:num>
                  <m:r>
                    <m:rPr>
                      <m:sty m:val="p"/>
                    </m:rPr>
                    <w:rPr>
                      <w:rFonts w:ascii="Cambria Math" w:hAnsi="Cambria Math"/>
                    </w:rPr>
                    <m:t>100%</m:t>
                  </m:r>
                </m:num>
                <m:den>
                  <m:r>
                    <w:rPr>
                      <w:rFonts w:ascii="Cambria Math" w:hAnsi="Cambria Math"/>
                    </w:rPr>
                    <m:t>n</m:t>
                  </m:r>
                </m:den>
              </m:f>
              <m:nary>
                <m:naryPr>
                  <m:chr m:val="∑"/>
                  <m:limLoc m:val="undOv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𝕀</m:t>
                  </m:r>
                  <m:d>
                    <m:dPr>
                      <m:begChr m:val="("/>
                      <m:endChr m:val=")"/>
                    </m:dPr>
                    <m:e>
                      <m:r>
                        <m:rPr>
                          <m:sty m:val="p"/>
                        </m:rPr>
                        <w:rPr>
                          <w:rFonts w:ascii="Cambria Math" w:hAnsi="Cambria Math"/>
                        </w:rPr>
                        <m:t>sgn</m:t>
                      </m:r>
                      <m:d>
                        <m:dPr>
                          <m:begChr m:val="("/>
                          <m:endChr m:val=")"/>
                        </m:dPr>
                        <m:e>
                          <m:sSub>
                            <m:e>
                              <m:r>
                                <w:rPr>
                                  <w:rFonts w:ascii="Cambria Math" w:hAnsi="Cambria Math"/>
                                </w:rPr>
                                <m:t>y</m:t>
                              </m:r>
                            </m:e>
                            <m:sub>
                              <m:r>
                                <w:rPr>
                                  <w:rFonts w:ascii="Cambria Math" w:hAnsi="Cambria Math"/>
                                </w:rPr>
                                <m:t>i</m:t>
                              </m:r>
                            </m:sub>
                          </m:sSub>
                          <m:r>
                            <m:rPr>
                              <m:sty m:val="p"/>
                            </m:rPr>
                            <w:rPr>
                              <w:rFonts w:ascii="Cambria Math" w:hAnsi="Cambria Math"/>
                            </w:rPr>
                            <m:t> − </m:t>
                          </m:r>
                          <m:sSub>
                            <m:e>
                              <m:r>
                                <w:rPr>
                                  <w:rFonts w:ascii="Cambria Math" w:hAnsi="Cambria Math"/>
                                </w:rPr>
                                <m:t>y</m:t>
                              </m:r>
                            </m:e>
                            <m:sub>
                              <m:r>
                                <w:rPr>
                                  <w:rFonts w:ascii="Cambria Math" w:hAnsi="Cambria Math"/>
                                </w:rPr>
                                <m:t>i</m:t>
                              </m:r>
                              <m:r>
                                <m:rPr>
                                  <m:sty m:val="p"/>
                                </m:rPr>
                                <w:rPr>
                                  <w:rFonts w:ascii="Cambria Math" w:hAnsi="Cambria Math"/>
                                </w:rPr>
                                <m:t>−1</m:t>
                              </m:r>
                            </m:sub>
                          </m:sSub>
                        </m:e>
                      </m:d>
                      <m:r>
                        <m:rPr>
                          <m:sty m:val="p"/>
                        </m:rPr>
                        <w:rPr>
                          <w:rFonts w:ascii="Cambria Math" w:hAnsi="Cambria Math"/>
                        </w:rPr>
                        <m:t> = </m:t>
                      </m:r>
                      <m:r>
                        <m:rPr>
                          <m:sty m:val="p"/>
                        </m:rPr>
                        <w:rPr>
                          <w:rFonts w:ascii="Cambria Math" w:hAnsi="Cambria Math"/>
                        </w:rPr>
                        <m:t>sgn</m:t>
                      </m:r>
                      <m:d>
                        <m:dPr>
                          <m:begChr m:val="("/>
                          <m:endChr m:val=")"/>
                        </m:dPr>
                        <m:e>
                          <m:sSub>
                            <m:e>
                              <m:acc>
                                <m:accPr>
                                  <m:chr m:val="̂"/>
                                </m:accPr>
                                <m:e>
                                  <m:r>
                                    <w:rPr>
                                      <w:rFonts w:ascii="Cambria Math" w:hAnsi="Cambria Math"/>
                                    </w:rPr>
                                    <m:t>y</m:t>
                                  </m:r>
                                </m:e>
                              </m:acc>
                            </m:e>
                            <m:sub>
                              <m:r>
                                <w:rPr>
                                  <w:rFonts w:ascii="Cambria Math" w:hAnsi="Cambria Math"/>
                                </w:rPr>
                                <m:t>i</m:t>
                              </m:r>
                            </m:sub>
                          </m:sSub>
                          <m:r>
                            <m:rPr>
                              <m:sty m:val="p"/>
                            </m:rPr>
                            <w:rPr>
                              <w:rFonts w:ascii="Cambria Math" w:hAnsi="Cambria Math"/>
                            </w:rPr>
                            <m:t> − </m:t>
                          </m:r>
                          <m:sSub>
                            <m:e>
                              <m:r>
                                <w:rPr>
                                  <w:rFonts w:ascii="Cambria Math" w:hAnsi="Cambria Math"/>
                                </w:rPr>
                                <m:t>y</m:t>
                              </m:r>
                            </m:e>
                            <m:sub>
                              <m:r>
                                <w:rPr>
                                  <w:rFonts w:ascii="Cambria Math" w:hAnsi="Cambria Math"/>
                                </w:rPr>
                                <m:t>i</m:t>
                              </m:r>
                              <m:r>
                                <m:rPr>
                                  <m:sty m:val="p"/>
                                </m:rPr>
                                <w:rPr>
                                  <w:rFonts w:ascii="Cambria Math" w:hAnsi="Cambria Math"/>
                                </w:rPr>
                                <m:t>−1</m:t>
                              </m:r>
                            </m:sub>
                          </m:sSub>
                        </m:e>
                      </m:d>
                    </m:e>
                  </m:d>
                </m:e>
              </m:nary>
            </m:oMath>
          </w:p>
        </w:tc>
        <w:tc>
          <w:tcPr>
            <w:tcW w:type="dxa" w:w="1020"/>
            <w:vAlign w:val="center"/>
          </w:tcPr>
          <w:p>
            <w:pPr>
              <w:spacing w:before="80" w:after="80"/>
              <w:jc w:val="right"/>
            </w:pPr>
            <w:r>
              <w:rPr>
                <w:rFonts w:ascii="Times New Roman" w:hAnsi="Times New Roman"/>
                <w:sz w:val="24"/>
              </w:rPr>
              <w:t>(19)</w:t>
            </w:r>
          </w:p>
        </w:tc>
      </w:tr>
    </w:tbl>
    <w:p>
      <w:pPr>
        <w:spacing w:before="60" w:after="120" w:line="276" w:lineRule="auto"/>
        <w:ind w:firstLine="454"/>
        <w:jc w:val="both"/>
      </w:pPr>
      <w:r>
        <w:rPr>
          <w:rFonts w:ascii="Times New Roman" w:hAnsi="Times New Roman"/>
          <w:b w:val="0"/>
          <w:i w:val="0"/>
          <w:sz w:val="22"/>
        </w:rPr>
        <w:t xml:space="preserve">Berdasarkan Persamaan (19) di atas, </w:t>
      </w:r>
      <w:r>
        <w:rPr>
          <w:rFonts w:ascii="Times New Roman" w:hAnsi="Times New Roman"/>
          <w:b w:val="0"/>
          <w:i/>
          <w:sz w:val="22"/>
        </w:rPr>
        <w:t>DA</w:t>
      </w:r>
      <w:r>
        <w:rPr>
          <w:rFonts w:ascii="Times New Roman" w:hAnsi="Times New Roman"/>
          <w:b w:val="0"/>
          <w:i w:val="0"/>
          <w:sz w:val="22"/>
        </w:rPr>
        <w:t xml:space="preserve"> (</w:t>
      </w:r>
      <w:r>
        <w:rPr>
          <w:rFonts w:ascii="Times New Roman" w:hAnsi="Times New Roman"/>
          <w:b w:val="0"/>
          <w:i/>
          <w:sz w:val="22"/>
        </w:rPr>
        <w:t>Directional Accuracy</w:t>
      </w:r>
      <w:r>
        <w:rPr>
          <w:rFonts w:ascii="Times New Roman" w:hAnsi="Times New Roman"/>
          <w:b w:val="0"/>
          <w:i w:val="0"/>
          <w:sz w:val="22"/>
        </w:rPr>
        <w:t>) mengukur persentase ketepatan model dalam menebak arah pergerakan harga harian (naik atau turun) dari hari ke-</w:t>
      </w:r>
      <w:r>
        <w:rPr>
          <w:rFonts w:ascii="Times New Roman" w:hAnsi="Times New Roman"/>
          <w:b w:val="0"/>
          <w:i/>
          <w:sz w:val="22"/>
        </w:rPr>
        <w:t>(i-1)</w:t>
      </w:r>
      <w:r>
        <w:rPr>
          <w:rFonts w:ascii="Times New Roman" w:hAnsi="Times New Roman"/>
          <w:b w:val="0"/>
          <w:i w:val="0"/>
          <w:sz w:val="22"/>
        </w:rPr>
        <w:t xml:space="preserve"> menuju hari ke-</w:t>
      </w:r>
      <w:r>
        <w:rPr>
          <w:rFonts w:ascii="Times New Roman" w:hAnsi="Times New Roman"/>
          <w:b w:val="0"/>
          <w:i/>
          <w:sz w:val="22"/>
        </w:rPr>
        <w:t>i</w:t>
      </w:r>
      <w:r>
        <w:rPr>
          <w:rFonts w:ascii="Times New Roman" w:hAnsi="Times New Roman"/>
          <w:b w:val="0"/>
          <w:i w:val="0"/>
          <w:sz w:val="22"/>
        </w:rPr>
        <w:t xml:space="preserve"> pada </w:t>
      </w:r>
      <w:r>
        <w:rPr>
          <w:rFonts w:ascii="Times New Roman" w:hAnsi="Times New Roman"/>
          <w:b w:val="0"/>
          <w:i/>
          <w:sz w:val="22"/>
        </w:rPr>
        <w:t>n</w:t>
      </w:r>
      <w:r>
        <w:rPr>
          <w:rFonts w:ascii="Times New Roman" w:hAnsi="Times New Roman"/>
          <w:b w:val="0"/>
          <w:i w:val="0"/>
          <w:sz w:val="22"/>
        </w:rPr>
        <w:t xml:space="preserve"> sampel pengujian, di mana </w:t>
      </w:r>
      <w:r>
        <w:rPr>
          <w:rFonts w:ascii="Times New Roman" w:hAnsi="Times New Roman"/>
          <w:b w:val="0"/>
          <w:i/>
          <w:sz w:val="22"/>
        </w:rPr>
        <w:t>sgn(·)</w:t>
      </w:r>
      <w:r>
        <w:rPr>
          <w:rFonts w:ascii="Times New Roman" w:hAnsi="Times New Roman"/>
          <w:b w:val="0"/>
          <w:i w:val="0"/>
          <w:sz w:val="22"/>
        </w:rPr>
        <w:t xml:space="preserve"> adalah fungsi tanda matematika (+1 jika naik, -1 jika turun) dan </w:t>
      </w:r>
      <w:r>
        <w:rPr>
          <w:rFonts w:ascii="Times New Roman" w:hAnsi="Times New Roman"/>
          <w:b w:val="0"/>
          <w:i/>
          <w:sz w:val="22"/>
        </w:rPr>
        <w:t>𝕀(·)</w:t>
      </w:r>
      <w:r>
        <w:rPr>
          <w:rFonts w:ascii="Times New Roman" w:hAnsi="Times New Roman"/>
          <w:b w:val="0"/>
          <w:i w:val="0"/>
          <w:sz w:val="22"/>
        </w:rPr>
        <w:t xml:space="preserve"> merupakan fungsi indikator yang bernilai 1 apabila arah perubahan prediksi </w:t>
      </w:r>
      <w:r>
        <w:rPr>
          <w:rFonts w:ascii="Times New Roman" w:hAnsi="Times New Roman"/>
          <w:b w:val="0"/>
          <w:i/>
          <w:sz w:val="22"/>
        </w:rPr>
        <w:t>ŷ_i − y_(i-1)</w:t>
      </w:r>
      <w:r>
        <w:rPr>
          <w:rFonts w:ascii="Times New Roman" w:hAnsi="Times New Roman"/>
          <w:b w:val="0"/>
          <w:i w:val="0"/>
          <w:sz w:val="22"/>
        </w:rPr>
        <w:t xml:space="preserve"> sama dengan arah perubahan aktual </w:t>
      </w:r>
      <w:r>
        <w:rPr>
          <w:rFonts w:ascii="Times New Roman" w:hAnsi="Times New Roman"/>
          <w:b w:val="0"/>
          <w:i/>
          <w:sz w:val="22"/>
        </w:rPr>
        <w:t>y_i − y_(i-1)</w:t>
      </w:r>
      <w:r>
        <w:rPr>
          <w:rFonts w:ascii="Times New Roman" w:hAnsi="Times New Roman"/>
          <w:b w:val="0"/>
          <w:i w:val="0"/>
          <w:sz w:val="22"/>
        </w:rPr>
        <w:t xml:space="preserve">, serta bernilai 0 jika berlawanan. Metrik </w:t>
      </w:r>
      <w:r>
        <w:rPr>
          <w:rFonts w:ascii="Times New Roman" w:hAnsi="Times New Roman"/>
          <w:b w:val="0"/>
          <w:i/>
          <w:sz w:val="22"/>
        </w:rPr>
        <w:t>DA</w:t>
      </w:r>
      <w:r>
        <w:rPr>
          <w:rFonts w:ascii="Times New Roman" w:hAnsi="Times New Roman"/>
          <w:b w:val="0"/>
          <w:i w:val="0"/>
          <w:sz w:val="22"/>
        </w:rPr>
        <w:t xml:space="preserve"> sangat krusial untuk memverifikasi bahwa model benar-benar mengenali titik balik tren pasar dan tidak sekadar menyalin harga hari sebelumnya (</w:t>
      </w:r>
      <w:r>
        <w:rPr>
          <w:rFonts w:ascii="Times New Roman" w:hAnsi="Times New Roman"/>
          <w:b w:val="0"/>
          <w:i/>
          <w:sz w:val="22"/>
        </w:rPr>
        <w:t>shadowing effect</w:t>
      </w:r>
      <w:r>
        <w:rPr>
          <w:rFonts w:ascii="Times New Roman" w:hAnsi="Times New Roman"/>
          <w:b w:val="0"/>
          <w:i w:val="0"/>
          <w:sz w:val="22"/>
        </w:rPr>
        <w:t>).</w:t>
      </w:r>
    </w:p>
    <w:p>
      <w:pPr>
        <w:keepNext/>
        <w:spacing w:before="240" w:after="80"/>
      </w:pPr>
      <w:r>
        <w:rPr>
          <w:rFonts w:ascii="Times New Roman" w:hAnsi="Times New Roman"/>
          <w:b/>
          <w:sz w:val="24"/>
        </w:rPr>
        <w:t>3. HASIL DAN PEMBAHASAN</w:t>
      </w:r>
    </w:p>
    <w:p>
      <w:pPr>
        <w:keepNext/>
        <w:spacing w:before="160" w:after="60"/>
      </w:pPr>
      <w:r>
        <w:rPr>
          <w:rFonts w:ascii="Times New Roman" w:hAnsi="Times New Roman"/>
          <w:b/>
          <w:sz w:val="22"/>
        </w:rPr>
        <w:t xml:space="preserve">3.1. </w:t>
      </w:r>
      <w:r>
        <w:rPr>
          <w:rFonts w:ascii="Times New Roman" w:hAnsi="Times New Roman"/>
          <w:b/>
          <w:i w:val="0"/>
          <w:sz w:val="22"/>
        </w:rPr>
        <w:t>Analisis Eksploratif Dinamika Harga dan Korelasi Fitur</w:t>
      </w:r>
    </w:p>
    <w:p>
      <w:pPr>
        <w:spacing w:line="276" w:lineRule="auto" w:after="100"/>
        <w:ind w:firstLine="454"/>
        <w:jc w:val="both"/>
      </w:pPr>
      <w:r>
        <w:rPr>
          <w:rFonts w:ascii="Times New Roman" w:hAnsi="Times New Roman"/>
          <w:b w:val="0"/>
          <w:i w:val="0"/>
          <w:sz w:val="22"/>
        </w:rPr>
        <w:t xml:space="preserve">Visualisasi historis harga penutupan Solana bersama indikator EMA-50, pita </w:t>
      </w:r>
      <w:r>
        <w:rPr>
          <w:rFonts w:ascii="Times New Roman" w:hAnsi="Times New Roman"/>
          <w:b w:val="0"/>
          <w:i/>
          <w:sz w:val="22"/>
        </w:rPr>
        <w:t>Bollinger Bands</w:t>
      </w:r>
      <w:r>
        <w:rPr>
          <w:rFonts w:ascii="Times New Roman" w:hAnsi="Times New Roman"/>
          <w:b w:val="0"/>
          <w:i w:val="0"/>
          <w:sz w:val="22"/>
        </w:rPr>
        <w:t>, RSI-14, dan MACD ditunjukkan pada Gambar 3, sedangkan matriks korelasi Pearson antar-fitur disajikan pada Gambar 4.</w:t>
      </w:r>
    </w:p>
    <w:p>
      <w:pPr>
        <w:keepNext/>
        <w:spacing w:before="120" w:after="40"/>
        <w:jc w:val="center"/>
      </w:pPr>
      <w:r>
        <w:drawing>
          <wp:inline xmlns:a="http://schemas.openxmlformats.org/drawingml/2006/main" xmlns:pic="http://schemas.openxmlformats.org/drawingml/2006/picture">
            <wp:extent cx="4968000" cy="3838909"/>
            <wp:docPr id="3" name="Picture 3"/>
            <wp:cNvGraphicFramePr>
              <a:graphicFrameLocks noChangeAspect="1"/>
            </wp:cNvGraphicFramePr>
            <a:graphic>
              <a:graphicData uri="http://schemas.openxmlformats.org/drawingml/2006/picture">
                <pic:pic>
                  <pic:nvPicPr>
                    <pic:cNvPr id="0" name="fig1_solana_price_and_indicators.png"/>
                    <pic:cNvPicPr/>
                  </pic:nvPicPr>
                  <pic:blipFill>
                    <a:blip r:embed="rId13"/>
                    <a:stretch>
                      <a:fillRect/>
                    </a:stretch>
                  </pic:blipFill>
                  <pic:spPr>
                    <a:xfrm>
                      <a:off x="0" y="0"/>
                      <a:ext cx="4968000" cy="3838909"/>
                    </a:xfrm>
                    <a:prstGeom prst="rect"/>
                  </pic:spPr>
                </pic:pic>
              </a:graphicData>
            </a:graphic>
          </wp:inline>
        </w:drawing>
      </w:r>
    </w:p>
    <w:p>
      <w:pPr>
        <w:keepNext/>
        <w:spacing w:before="40" w:after="100"/>
        <w:jc w:val="center"/>
      </w:pPr>
      <w:r>
        <w:rPr>
          <w:rFonts w:ascii="Times New Roman" w:hAnsi="Times New Roman"/>
          <w:b/>
          <w:sz w:val="20"/>
        </w:rPr>
        <w:t xml:space="preserve">Gambar 3. </w:t>
      </w:r>
      <w:r>
        <w:rPr>
          <w:rFonts w:ascii="Times New Roman" w:hAnsi="Times New Roman"/>
          <w:b/>
          <w:i w:val="0"/>
          <w:sz w:val="20"/>
        </w:rPr>
        <w:t>Dinamika Harga Historis Solana (SOL-USD) dan Indikator Teknikal (2021–2026)</w:t>
      </w:r>
    </w:p>
    <w:p>
      <w:pPr>
        <w:spacing w:line="276" w:lineRule="auto" w:after="100"/>
        <w:ind w:firstLine="454"/>
        <w:jc w:val="both"/>
      </w:pPr>
      <w:r>
        <w:rPr>
          <w:rFonts w:ascii="Times New Roman" w:hAnsi="Times New Roman"/>
          <w:b w:val="0"/>
          <w:i w:val="0"/>
          <w:sz w:val="22"/>
        </w:rPr>
        <w:t xml:space="preserve">Berdasarkan Gambar 3 di atas, dapat dijelaskan bahwa pergerakan historis Solana sepanjang Januari 2021 hingga September 2026 terbagi ke dalam tiga panel pengamatan. Panel atas menunjukkan lintasan harga penutupan SOL-USD (garis biru) yang mengalami beberapa siklus ekspansi tajam hingga 261,87 USD dan kontraksi mendalam hingga 2,99 USD, di mana pelebaran selubung </w:t>
      </w:r>
      <w:r>
        <w:rPr>
          <w:rFonts w:ascii="Times New Roman" w:hAnsi="Times New Roman"/>
          <w:b w:val="0"/>
          <w:i/>
          <w:sz w:val="22"/>
        </w:rPr>
        <w:t>Bollinger Bands</w:t>
      </w:r>
      <w:r>
        <w:rPr>
          <w:rFonts w:ascii="Times New Roman" w:hAnsi="Times New Roman"/>
          <w:b w:val="0"/>
          <w:i w:val="0"/>
          <w:sz w:val="22"/>
        </w:rPr>
        <w:t xml:space="preserve"> (area biru muda) dan perpotongan terhadap garis EMA-50 (garis oranye putus-putus) menandai pergeseran rezim volatilitas. Panel tengah memperlihatkan osilasi RSI-14 yang secara konsisten menembus batas </w:t>
      </w:r>
      <w:r>
        <w:rPr>
          <w:rFonts w:ascii="Times New Roman" w:hAnsi="Times New Roman"/>
          <w:b w:val="0"/>
          <w:i/>
          <w:sz w:val="22"/>
        </w:rPr>
        <w:t>overbought</w:t>
      </w:r>
      <w:r>
        <w:rPr>
          <w:rFonts w:ascii="Times New Roman" w:hAnsi="Times New Roman"/>
          <w:b w:val="0"/>
          <w:i w:val="0"/>
          <w:sz w:val="22"/>
        </w:rPr>
        <w:t xml:space="preserve"> (&gt;70) pada puncak reli dan menyentuh batas </w:t>
      </w:r>
      <w:r>
        <w:rPr>
          <w:rFonts w:ascii="Times New Roman" w:hAnsi="Times New Roman"/>
          <w:b w:val="0"/>
          <w:i/>
          <w:sz w:val="22"/>
        </w:rPr>
        <w:t>oversold</w:t>
      </w:r>
      <w:r>
        <w:rPr>
          <w:rFonts w:ascii="Times New Roman" w:hAnsi="Times New Roman"/>
          <w:b w:val="0"/>
          <w:i w:val="0"/>
          <w:sz w:val="22"/>
        </w:rPr>
        <w:t xml:space="preserve"> (&lt;30) pada dasar koreksi. Adapun panel bawah menampilkan dinamika garis MACD, garis sinyal, dan batang histogram yang memvalidasi perubahan kecepatan momentum tren harian.</w:t>
      </w:r>
    </w:p>
    <w:p>
      <w:pPr>
        <w:keepNext/>
        <w:spacing w:before="120" w:after="40"/>
        <w:jc w:val="center"/>
      </w:pPr>
      <w:r>
        <w:drawing>
          <wp:inline xmlns:a="http://schemas.openxmlformats.org/drawingml/2006/main" xmlns:pic="http://schemas.openxmlformats.org/drawingml/2006/picture">
            <wp:extent cx="4320000" cy="3546947"/>
            <wp:docPr id="4" name="Picture 4"/>
            <wp:cNvGraphicFramePr>
              <a:graphicFrameLocks noChangeAspect="1"/>
            </wp:cNvGraphicFramePr>
            <a:graphic>
              <a:graphicData uri="http://schemas.openxmlformats.org/drawingml/2006/picture">
                <pic:pic>
                  <pic:nvPicPr>
                    <pic:cNvPr id="0" name="fig2_correlation_heatmap.png"/>
                    <pic:cNvPicPr/>
                  </pic:nvPicPr>
                  <pic:blipFill>
                    <a:blip r:embed="rId14"/>
                    <a:stretch>
                      <a:fillRect/>
                    </a:stretch>
                  </pic:blipFill>
                  <pic:spPr>
                    <a:xfrm>
                      <a:off x="0" y="0"/>
                      <a:ext cx="4320000" cy="3546947"/>
                    </a:xfrm>
                    <a:prstGeom prst="rect"/>
                  </pic:spPr>
                </pic:pic>
              </a:graphicData>
            </a:graphic>
          </wp:inline>
        </w:drawing>
      </w:r>
    </w:p>
    <w:p>
      <w:pPr>
        <w:keepNext/>
        <w:spacing w:before="40" w:after="100"/>
        <w:jc w:val="center"/>
      </w:pPr>
      <w:r>
        <w:rPr>
          <w:rFonts w:ascii="Times New Roman" w:hAnsi="Times New Roman"/>
          <w:b/>
          <w:sz w:val="20"/>
        </w:rPr>
        <w:t xml:space="preserve">Gambar 4. </w:t>
      </w:r>
      <w:r>
        <w:rPr>
          <w:rFonts w:ascii="Times New Roman" w:hAnsi="Times New Roman"/>
          <w:b/>
          <w:i w:val="0"/>
          <w:sz w:val="20"/>
        </w:rPr>
        <w:t>Matriks Korelasi Pearson Fitur Multivariat dan Indikator Teknikal Solana</w:t>
      </w:r>
    </w:p>
    <w:p>
      <w:pPr>
        <w:spacing w:line="276" w:lineRule="auto" w:after="100"/>
        <w:ind w:firstLine="454"/>
        <w:jc w:val="both"/>
      </w:pPr>
      <w:r>
        <w:rPr>
          <w:rFonts w:ascii="Times New Roman" w:hAnsi="Times New Roman"/>
          <w:b w:val="0"/>
          <w:i w:val="0"/>
          <w:sz w:val="22"/>
        </w:rPr>
        <w:t>Berdasarkan Gambar 4 di atas, dapat dijelaskan bahwa peta panas (heatmap) korelasi Pearson memverifikasi kontribusi komplementer dari ke-14 fitur multivariat terhadap target harga Close. Variabel harga primer (Open, High, Low) dan indikator pelacak tren (EMA_14, EMA_50, BB_Upper, BB_Lower) memiliki korelasi positif yang sangat kuat terhadap harga Close (r &gt; 0,94) sehingga menjaga presisi level harga. Di sisi lain, osilator momentum RSI_14 (r = 0,21), MACD (r = 0,31), MACD_Signal (r = 0,32), Volume (r = 0,43), ATR_14 (r = 0,68), dan OBV (r = 0,74) memiliki korelasi moderat yang ortogonal, yang berarti fitur-fitur tersebut menyumbangkan informasi independen mengenai kejenuhan momentum, gejolak volatilitas intrahari, dan akumulasi volume transaksi.</w:t>
      </w:r>
    </w:p>
    <w:p>
      <w:pPr>
        <w:keepNext/>
        <w:spacing w:before="160" w:after="60"/>
      </w:pPr>
      <w:r>
        <w:rPr>
          <w:rFonts w:ascii="Times New Roman" w:hAnsi="Times New Roman"/>
          <w:b/>
          <w:sz w:val="22"/>
        </w:rPr>
        <w:t xml:space="preserve">3.2. </w:t>
      </w:r>
      <w:r>
        <w:rPr>
          <w:rFonts w:ascii="Times New Roman" w:hAnsi="Times New Roman"/>
          <w:b/>
          <w:i w:val="0"/>
          <w:sz w:val="22"/>
        </w:rPr>
        <w:t>Evaluasi Konvergensi Pelatihan dan Perbandingan Kinerja Model</w:t>
      </w:r>
    </w:p>
    <w:p>
      <w:pPr>
        <w:spacing w:line="276" w:lineRule="auto" w:after="100"/>
        <w:ind w:firstLine="454"/>
        <w:jc w:val="both"/>
      </w:pPr>
      <w:r>
        <w:rPr>
          <w:rFonts w:ascii="Times New Roman" w:hAnsi="Times New Roman"/>
          <w:b w:val="0"/>
          <w:i w:val="0"/>
          <w:sz w:val="22"/>
        </w:rPr>
        <w:t xml:space="preserve">Proses pelatihan seluruh arsitektur dilakukan selama 100 </w:t>
      </w:r>
      <w:r>
        <w:rPr>
          <w:rFonts w:ascii="Times New Roman" w:hAnsi="Times New Roman"/>
          <w:b w:val="0"/>
          <w:i/>
          <w:sz w:val="22"/>
        </w:rPr>
        <w:t>epoch</w:t>
      </w:r>
      <w:r>
        <w:rPr>
          <w:rFonts w:ascii="Times New Roman" w:hAnsi="Times New Roman"/>
          <w:b w:val="0"/>
          <w:i w:val="0"/>
          <w:sz w:val="22"/>
        </w:rPr>
        <w:t xml:space="preserve"> menggunakan algoritma optimasi Adam dan fungsi rugi </w:t>
      </w:r>
      <w:r>
        <w:rPr>
          <w:rFonts w:ascii="Times New Roman" w:hAnsi="Times New Roman"/>
          <w:b w:val="0"/>
          <w:i/>
          <w:sz w:val="22"/>
        </w:rPr>
        <w:t>Mean Squared Error</w:t>
      </w:r>
      <w:r>
        <w:rPr>
          <w:rFonts w:ascii="Times New Roman" w:hAnsi="Times New Roman"/>
          <w:b w:val="0"/>
          <w:i w:val="0"/>
          <w:sz w:val="22"/>
        </w:rPr>
        <w:t xml:space="preserve"> (MSE). Profil penurunan nilai rugi selama pelatihan dan validasi ditunjukkan pada Gambar 5.</w:t>
      </w:r>
    </w:p>
    <w:p>
      <w:pPr>
        <w:keepNext/>
        <w:spacing w:before="120" w:after="40"/>
        <w:jc w:val="center"/>
      </w:pPr>
      <w:r>
        <w:drawing>
          <wp:inline xmlns:a="http://schemas.openxmlformats.org/drawingml/2006/main" xmlns:pic="http://schemas.openxmlformats.org/drawingml/2006/picture">
            <wp:extent cx="4968000" cy="2032364"/>
            <wp:docPr id="5" name="Picture 5"/>
            <wp:cNvGraphicFramePr>
              <a:graphicFrameLocks noChangeAspect="1"/>
            </wp:cNvGraphicFramePr>
            <a:graphic>
              <a:graphicData uri="http://schemas.openxmlformats.org/drawingml/2006/picture">
                <pic:pic>
                  <pic:nvPicPr>
                    <pic:cNvPr id="0" name="fig4_training_validation_loss.png"/>
                    <pic:cNvPicPr/>
                  </pic:nvPicPr>
                  <pic:blipFill>
                    <a:blip r:embed="rId15"/>
                    <a:stretch>
                      <a:fillRect/>
                    </a:stretch>
                  </pic:blipFill>
                  <pic:spPr>
                    <a:xfrm>
                      <a:off x="0" y="0"/>
                      <a:ext cx="4968000" cy="2032364"/>
                    </a:xfrm>
                    <a:prstGeom prst="rect"/>
                  </pic:spPr>
                </pic:pic>
              </a:graphicData>
            </a:graphic>
          </wp:inline>
        </w:drawing>
      </w:r>
    </w:p>
    <w:p>
      <w:pPr>
        <w:keepNext/>
        <w:spacing w:before="40" w:after="100"/>
        <w:jc w:val="center"/>
      </w:pPr>
      <w:r>
        <w:rPr>
          <w:rFonts w:ascii="Times New Roman" w:hAnsi="Times New Roman"/>
          <w:b/>
          <w:sz w:val="20"/>
        </w:rPr>
        <w:t xml:space="preserve">Gambar 5. </w:t>
      </w:r>
      <w:r>
        <w:rPr>
          <w:rFonts w:ascii="Times New Roman" w:hAnsi="Times New Roman"/>
          <w:b/>
          <w:i w:val="0"/>
          <w:sz w:val="20"/>
        </w:rPr>
        <w:t>Kurva Konvergensi Training Loss dan Validation Loss Kelima Model</w:t>
      </w:r>
    </w:p>
    <w:p>
      <w:pPr>
        <w:spacing w:line="276" w:lineRule="auto" w:after="100"/>
        <w:ind w:firstLine="454"/>
        <w:jc w:val="both"/>
      </w:pPr>
      <w:r>
        <w:rPr>
          <w:rFonts w:ascii="Times New Roman" w:hAnsi="Times New Roman"/>
          <w:b w:val="0"/>
          <w:i w:val="0"/>
          <w:sz w:val="22"/>
        </w:rPr>
        <w:t xml:space="preserve">Berdasarkan Gambar 5 di atas, dapat dijelaskan bahwa panel sebelah kiri menampilkan kurva penurunan MSE pada Data Latih (Training Loss), sedangkan panel sebelah kanan menampilkan kurva penurunan MSE pada Data Validasi (Validation Loss) sepanjang 100 </w:t>
      </w:r>
      <w:r>
        <w:rPr>
          <w:rFonts w:ascii="Times New Roman" w:hAnsi="Times New Roman"/>
          <w:b w:val="0"/>
          <w:i/>
          <w:sz w:val="22"/>
        </w:rPr>
        <w:t>epoch</w:t>
      </w:r>
      <w:r>
        <w:rPr>
          <w:rFonts w:ascii="Times New Roman" w:hAnsi="Times New Roman"/>
          <w:b w:val="0"/>
          <w:i w:val="0"/>
          <w:sz w:val="22"/>
        </w:rPr>
        <w:t xml:space="preserve"> pelatihan untuk kelima model. Seluruh model menunjukkan penurunan kesalahan yang tajam pada 20 </w:t>
      </w:r>
      <w:r>
        <w:rPr>
          <w:rFonts w:ascii="Times New Roman" w:hAnsi="Times New Roman"/>
          <w:b w:val="0"/>
          <w:i/>
          <w:sz w:val="22"/>
        </w:rPr>
        <w:t>epoch</w:t>
      </w:r>
      <w:r>
        <w:rPr>
          <w:rFonts w:ascii="Times New Roman" w:hAnsi="Times New Roman"/>
          <w:b w:val="0"/>
          <w:i w:val="0"/>
          <w:sz w:val="22"/>
        </w:rPr>
        <w:t xml:space="preserve"> pertama dan melandai secara stabil menuju konvergensi tanpa mengalami lonjakan balik (</w:t>
      </w:r>
      <w:r>
        <w:rPr>
          <w:rFonts w:ascii="Times New Roman" w:hAnsi="Times New Roman"/>
          <w:b w:val="0"/>
          <w:i/>
          <w:sz w:val="22"/>
        </w:rPr>
        <w:t>overfitting</w:t>
      </w:r>
      <w:r>
        <w:rPr>
          <w:rFonts w:ascii="Times New Roman" w:hAnsi="Times New Roman"/>
          <w:b w:val="0"/>
          <w:i w:val="0"/>
          <w:sz w:val="22"/>
        </w:rPr>
        <w:t>). Di antara kelima arsitektur, kurva milik model usulan CNN-BiLSTM-Attention (garis merah tegas) secara konsisten berada pada posisi paling bawah baik pada himpunan latih maupun validasi, membuktikan bahwa penyaringan fitur lokal 1D-CNN dan koneksi residual mempercepat laju konvergensi gradien.</w:t>
      </w:r>
    </w:p>
    <w:p>
      <w:pPr>
        <w:spacing w:line="276" w:lineRule="auto" w:after="100"/>
        <w:ind w:firstLine="454"/>
        <w:jc w:val="both"/>
      </w:pPr>
      <w:r>
        <w:rPr>
          <w:rFonts w:ascii="Times New Roman" w:hAnsi="Times New Roman"/>
          <w:b w:val="0"/>
          <w:i w:val="0"/>
          <w:sz w:val="22"/>
        </w:rPr>
        <w:t>Hasil evaluasi kuantitatif seluruh model pada data latih dan data uji dirangkum secara lengkap pada Tabel 2.</w:t>
      </w:r>
    </w:p>
    <w:p>
      <w:pPr>
        <w:keepNext/>
        <w:spacing w:before="160" w:after="60"/>
        <w:jc w:val="center"/>
      </w:pPr>
      <w:r>
        <w:rPr>
          <w:rFonts w:ascii="Times New Roman" w:hAnsi="Times New Roman"/>
          <w:b/>
          <w:sz w:val="20"/>
        </w:rPr>
        <w:t xml:space="preserve">Tabel 2. </w:t>
      </w:r>
      <w:r>
        <w:rPr>
          <w:rFonts w:ascii="Times New Roman" w:hAnsi="Times New Roman"/>
          <w:b/>
          <w:i w:val="0"/>
          <w:sz w:val="20"/>
        </w:rPr>
        <w:t>Perbandingan Kinerja Model Prediksi pada Data Latih dan Data Uji Solana (SOL-USD)</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098"/>
            <w:shd w:fill="1F4E78"/>
            <w:vAlign w:val="center"/>
          </w:tcPr>
          <w:p>
            <w:pPr>
              <w:spacing w:before="60" w:after="60"/>
              <w:jc w:val="center"/>
            </w:pPr>
            <w:r>
              <w:rPr>
                <w:rFonts w:ascii="Times New Roman" w:hAnsi="Times New Roman"/>
                <w:b/>
                <w:color w:val="FFFFFF"/>
                <w:sz w:val="17"/>
              </w:rPr>
              <w:t>Arsitektur Model</w:t>
            </w:r>
          </w:p>
        </w:tc>
        <w:tc>
          <w:tcPr>
            <w:tcW w:type="dxa" w:w="1098"/>
            <w:shd w:fill="1F4E78"/>
            <w:vAlign w:val="center"/>
          </w:tcPr>
          <w:p>
            <w:pPr>
              <w:spacing w:before="60" w:after="60"/>
              <w:jc w:val="center"/>
            </w:pPr>
            <w:r>
              <w:rPr>
                <w:rFonts w:ascii="Times New Roman" w:hAnsi="Times New Roman"/>
                <w:b/>
                <w:color w:val="FFFFFF"/>
                <w:sz w:val="17"/>
              </w:rPr>
              <w:t>Parameter</w:t>
            </w:r>
          </w:p>
        </w:tc>
        <w:tc>
          <w:tcPr>
            <w:tcW w:type="dxa" w:w="1098"/>
            <w:shd w:fill="1F4E78"/>
            <w:vAlign w:val="center"/>
          </w:tcPr>
          <w:p>
            <w:pPr>
              <w:spacing w:before="60" w:after="60"/>
              <w:jc w:val="center"/>
            </w:pPr>
            <w:r>
              <w:rPr>
                <w:rFonts w:ascii="Times New Roman" w:hAnsi="Times New Roman"/>
                <w:b/>
                <w:color w:val="FFFFFF"/>
                <w:sz w:val="17"/>
              </w:rPr>
              <w:t>Train MAE ($)</w:t>
            </w:r>
          </w:p>
        </w:tc>
        <w:tc>
          <w:tcPr>
            <w:tcW w:type="dxa" w:w="1098"/>
            <w:shd w:fill="1F4E78"/>
            <w:vAlign w:val="center"/>
          </w:tcPr>
          <w:p>
            <w:pPr>
              <w:spacing w:before="60" w:after="60"/>
              <w:jc w:val="center"/>
            </w:pPr>
            <w:r>
              <w:rPr>
                <w:rFonts w:ascii="Times New Roman" w:hAnsi="Times New Roman"/>
                <w:b/>
                <w:color w:val="FFFFFF"/>
                <w:sz w:val="17"/>
              </w:rPr>
              <w:t>Train MAPE (%)</w:t>
            </w:r>
          </w:p>
        </w:tc>
        <w:tc>
          <w:tcPr>
            <w:tcW w:type="dxa" w:w="1098"/>
            <w:shd w:fill="1F4E78"/>
            <w:vAlign w:val="center"/>
          </w:tcPr>
          <w:p>
            <w:pPr>
              <w:spacing w:before="60" w:after="60"/>
              <w:jc w:val="center"/>
            </w:pPr>
            <w:r>
              <w:rPr>
                <w:rFonts w:ascii="Times New Roman" w:hAnsi="Times New Roman"/>
                <w:b/>
                <w:color w:val="FFFFFF"/>
                <w:sz w:val="17"/>
              </w:rPr>
              <w:t>Test MAE ($)</w:t>
            </w:r>
          </w:p>
        </w:tc>
        <w:tc>
          <w:tcPr>
            <w:tcW w:type="dxa" w:w="1098"/>
            <w:shd w:fill="1F4E78"/>
            <w:vAlign w:val="center"/>
          </w:tcPr>
          <w:p>
            <w:pPr>
              <w:spacing w:before="60" w:after="60"/>
              <w:jc w:val="center"/>
            </w:pPr>
            <w:r>
              <w:rPr>
                <w:rFonts w:ascii="Times New Roman" w:hAnsi="Times New Roman"/>
                <w:b/>
                <w:color w:val="FFFFFF"/>
                <w:sz w:val="17"/>
              </w:rPr>
              <w:t>Test RMSE ($)</w:t>
            </w:r>
          </w:p>
        </w:tc>
        <w:tc>
          <w:tcPr>
            <w:tcW w:type="dxa" w:w="1098"/>
            <w:shd w:fill="1F4E78"/>
            <w:vAlign w:val="center"/>
          </w:tcPr>
          <w:p>
            <w:pPr>
              <w:spacing w:before="60" w:after="60"/>
              <w:jc w:val="center"/>
            </w:pPr>
            <w:r>
              <w:rPr>
                <w:rFonts w:ascii="Times New Roman" w:hAnsi="Times New Roman"/>
                <w:b/>
                <w:color w:val="FFFFFF"/>
                <w:sz w:val="17"/>
              </w:rPr>
              <w:t>Test MAPE (%)</w:t>
            </w:r>
          </w:p>
        </w:tc>
        <w:tc>
          <w:tcPr>
            <w:tcW w:type="dxa" w:w="1098"/>
            <w:shd w:fill="1F4E78"/>
            <w:vAlign w:val="center"/>
          </w:tcPr>
          <w:p>
            <w:pPr>
              <w:spacing w:before="60" w:after="60"/>
              <w:jc w:val="center"/>
            </w:pPr>
            <w:r>
              <w:rPr>
                <w:rFonts w:ascii="Times New Roman" w:hAnsi="Times New Roman"/>
                <w:b/>
                <w:color w:val="FFFFFF"/>
                <w:sz w:val="17"/>
              </w:rPr>
              <w:t>Directional Acc. (%)</w:t>
            </w:r>
          </w:p>
        </w:tc>
      </w:tr>
      <w:tr>
        <w:tc>
          <w:tcPr>
            <w:tcW w:type="dxa" w:w="1098"/>
            <w:vAlign w:val="center"/>
          </w:tcPr>
          <w:p>
            <w:pPr>
              <w:spacing w:before="40" w:after="40"/>
            </w:pPr>
            <w:r>
              <w:rPr>
                <w:rFonts w:ascii="Times New Roman" w:hAnsi="Times New Roman"/>
                <w:sz w:val="17"/>
              </w:rPr>
              <w:t>LSTM</w:t>
            </w:r>
          </w:p>
        </w:tc>
        <w:tc>
          <w:tcPr>
            <w:tcW w:type="dxa" w:w="1098"/>
            <w:vAlign w:val="center"/>
          </w:tcPr>
          <w:p>
            <w:pPr>
              <w:spacing w:before="40" w:after="40"/>
            </w:pPr>
            <w:r>
              <w:rPr>
                <w:rFonts w:ascii="Times New Roman" w:hAnsi="Times New Roman"/>
                <w:sz w:val="17"/>
              </w:rPr>
              <w:t>34,501</w:t>
            </w:r>
          </w:p>
        </w:tc>
        <w:tc>
          <w:tcPr>
            <w:tcW w:type="dxa" w:w="1098"/>
            <w:vAlign w:val="center"/>
          </w:tcPr>
          <w:p>
            <w:pPr>
              <w:spacing w:before="40" w:after="40"/>
            </w:pPr>
            <w:r>
              <w:rPr>
                <w:rFonts w:ascii="Times New Roman" w:hAnsi="Times New Roman"/>
                <w:sz w:val="17"/>
              </w:rPr>
              <w:t>4.48</w:t>
            </w:r>
          </w:p>
        </w:tc>
        <w:tc>
          <w:tcPr>
            <w:tcW w:type="dxa" w:w="1098"/>
            <w:vAlign w:val="center"/>
          </w:tcPr>
          <w:p>
            <w:pPr>
              <w:spacing w:before="40" w:after="40"/>
            </w:pPr>
            <w:r>
              <w:rPr>
                <w:rFonts w:ascii="Times New Roman" w:hAnsi="Times New Roman"/>
                <w:sz w:val="17"/>
              </w:rPr>
              <w:t>5.82%</w:t>
            </w:r>
          </w:p>
        </w:tc>
        <w:tc>
          <w:tcPr>
            <w:tcW w:type="dxa" w:w="1098"/>
            <w:vAlign w:val="center"/>
          </w:tcPr>
          <w:p>
            <w:pPr>
              <w:spacing w:before="40" w:after="40"/>
            </w:pPr>
            <w:r>
              <w:rPr>
                <w:rFonts w:ascii="Times New Roman" w:hAnsi="Times New Roman"/>
                <w:sz w:val="17"/>
              </w:rPr>
              <w:t>3.81</w:t>
            </w:r>
          </w:p>
        </w:tc>
        <w:tc>
          <w:tcPr>
            <w:tcW w:type="dxa" w:w="1098"/>
            <w:vAlign w:val="center"/>
          </w:tcPr>
          <w:p>
            <w:pPr>
              <w:spacing w:before="40" w:after="40"/>
            </w:pPr>
            <w:r>
              <w:rPr>
                <w:rFonts w:ascii="Times New Roman" w:hAnsi="Times New Roman"/>
                <w:sz w:val="17"/>
              </w:rPr>
              <w:t>4.85</w:t>
            </w:r>
          </w:p>
        </w:tc>
        <w:tc>
          <w:tcPr>
            <w:tcW w:type="dxa" w:w="1098"/>
            <w:vAlign w:val="center"/>
          </w:tcPr>
          <w:p>
            <w:pPr>
              <w:spacing w:before="40" w:after="40"/>
            </w:pPr>
            <w:r>
              <w:rPr>
                <w:rFonts w:ascii="Times New Roman" w:hAnsi="Times New Roman"/>
                <w:sz w:val="17"/>
              </w:rPr>
              <w:t>4.15%</w:t>
            </w:r>
          </w:p>
        </w:tc>
        <w:tc>
          <w:tcPr>
            <w:tcW w:type="dxa" w:w="1098"/>
            <w:vAlign w:val="center"/>
          </w:tcPr>
          <w:p>
            <w:pPr>
              <w:spacing w:before="40" w:after="40"/>
            </w:pPr>
            <w:r>
              <w:rPr>
                <w:rFonts w:ascii="Times New Roman" w:hAnsi="Times New Roman"/>
                <w:sz w:val="17"/>
              </w:rPr>
              <w:t>46.15%</w:t>
            </w:r>
          </w:p>
        </w:tc>
      </w:tr>
      <w:tr>
        <w:tc>
          <w:tcPr>
            <w:tcW w:type="dxa" w:w="1098"/>
            <w:vAlign w:val="center"/>
          </w:tcPr>
          <w:p>
            <w:pPr>
              <w:spacing w:before="40" w:after="40"/>
            </w:pPr>
            <w:r>
              <w:rPr>
                <w:rFonts w:ascii="Times New Roman" w:hAnsi="Times New Roman"/>
                <w:sz w:val="17"/>
              </w:rPr>
              <w:t>GRU</w:t>
            </w:r>
          </w:p>
        </w:tc>
        <w:tc>
          <w:tcPr>
            <w:tcW w:type="dxa" w:w="1098"/>
            <w:vAlign w:val="center"/>
          </w:tcPr>
          <w:p>
            <w:pPr>
              <w:spacing w:before="40" w:after="40"/>
            </w:pPr>
            <w:r>
              <w:rPr>
                <w:rFonts w:ascii="Times New Roman" w:hAnsi="Times New Roman"/>
                <w:sz w:val="17"/>
              </w:rPr>
              <w:t>26,201</w:t>
            </w:r>
          </w:p>
        </w:tc>
        <w:tc>
          <w:tcPr>
            <w:tcW w:type="dxa" w:w="1098"/>
            <w:vAlign w:val="center"/>
          </w:tcPr>
          <w:p>
            <w:pPr>
              <w:spacing w:before="40" w:after="40"/>
            </w:pPr>
            <w:r>
              <w:rPr>
                <w:rFonts w:ascii="Times New Roman" w:hAnsi="Times New Roman"/>
                <w:sz w:val="17"/>
              </w:rPr>
              <w:t>3.73</w:t>
            </w:r>
          </w:p>
        </w:tc>
        <w:tc>
          <w:tcPr>
            <w:tcW w:type="dxa" w:w="1098"/>
            <w:vAlign w:val="center"/>
          </w:tcPr>
          <w:p>
            <w:pPr>
              <w:spacing w:before="40" w:after="40"/>
            </w:pPr>
            <w:r>
              <w:rPr>
                <w:rFonts w:ascii="Times New Roman" w:hAnsi="Times New Roman"/>
                <w:sz w:val="17"/>
              </w:rPr>
              <w:t>5.46%</w:t>
            </w:r>
          </w:p>
        </w:tc>
        <w:tc>
          <w:tcPr>
            <w:tcW w:type="dxa" w:w="1098"/>
            <w:vAlign w:val="center"/>
          </w:tcPr>
          <w:p>
            <w:pPr>
              <w:spacing w:before="40" w:after="40"/>
            </w:pPr>
            <w:r>
              <w:rPr>
                <w:rFonts w:ascii="Times New Roman" w:hAnsi="Times New Roman"/>
                <w:sz w:val="17"/>
              </w:rPr>
              <w:t>2.74</w:t>
            </w:r>
          </w:p>
        </w:tc>
        <w:tc>
          <w:tcPr>
            <w:tcW w:type="dxa" w:w="1098"/>
            <w:vAlign w:val="center"/>
          </w:tcPr>
          <w:p>
            <w:pPr>
              <w:spacing w:before="40" w:after="40"/>
            </w:pPr>
            <w:r>
              <w:rPr>
                <w:rFonts w:ascii="Times New Roman" w:hAnsi="Times New Roman"/>
                <w:sz w:val="17"/>
              </w:rPr>
              <w:t>3.58</w:t>
            </w:r>
          </w:p>
        </w:tc>
        <w:tc>
          <w:tcPr>
            <w:tcW w:type="dxa" w:w="1098"/>
            <w:vAlign w:val="center"/>
          </w:tcPr>
          <w:p>
            <w:pPr>
              <w:spacing w:before="40" w:after="40"/>
            </w:pPr>
            <w:r>
              <w:rPr>
                <w:rFonts w:ascii="Times New Roman" w:hAnsi="Times New Roman"/>
                <w:sz w:val="17"/>
              </w:rPr>
              <w:t>2.94%</w:t>
            </w:r>
          </w:p>
        </w:tc>
        <w:tc>
          <w:tcPr>
            <w:tcW w:type="dxa" w:w="1098"/>
            <w:vAlign w:val="center"/>
          </w:tcPr>
          <w:p>
            <w:pPr>
              <w:spacing w:before="40" w:after="40"/>
            </w:pPr>
            <w:r>
              <w:rPr>
                <w:rFonts w:ascii="Times New Roman" w:hAnsi="Times New Roman"/>
                <w:sz w:val="17"/>
              </w:rPr>
              <w:t>53.53%</w:t>
            </w:r>
          </w:p>
        </w:tc>
      </w:tr>
      <w:tr>
        <w:tc>
          <w:tcPr>
            <w:tcW w:type="dxa" w:w="1098"/>
            <w:vAlign w:val="center"/>
          </w:tcPr>
          <w:p>
            <w:pPr>
              <w:spacing w:before="40" w:after="40"/>
            </w:pPr>
            <w:r>
              <w:rPr>
                <w:rFonts w:ascii="Times New Roman" w:hAnsi="Times New Roman"/>
                <w:sz w:val="17"/>
              </w:rPr>
              <w:t>BiLSTM</w:t>
            </w:r>
          </w:p>
        </w:tc>
        <w:tc>
          <w:tcPr>
            <w:tcW w:type="dxa" w:w="1098"/>
            <w:vAlign w:val="center"/>
          </w:tcPr>
          <w:p>
            <w:pPr>
              <w:spacing w:before="40" w:after="40"/>
            </w:pPr>
            <w:r>
              <w:rPr>
                <w:rFonts w:ascii="Times New Roman" w:hAnsi="Times New Roman"/>
                <w:sz w:val="17"/>
              </w:rPr>
              <w:t>58,371</w:t>
            </w:r>
          </w:p>
        </w:tc>
        <w:tc>
          <w:tcPr>
            <w:tcW w:type="dxa" w:w="1098"/>
            <w:vAlign w:val="center"/>
          </w:tcPr>
          <w:p>
            <w:pPr>
              <w:spacing w:before="40" w:after="40"/>
            </w:pPr>
            <w:r>
              <w:rPr>
                <w:rFonts w:ascii="Times New Roman" w:hAnsi="Times New Roman"/>
                <w:sz w:val="17"/>
              </w:rPr>
              <w:t>3.23</w:t>
            </w:r>
          </w:p>
        </w:tc>
        <w:tc>
          <w:tcPr>
            <w:tcW w:type="dxa" w:w="1098"/>
            <w:vAlign w:val="center"/>
          </w:tcPr>
          <w:p>
            <w:pPr>
              <w:spacing w:before="40" w:after="40"/>
            </w:pPr>
            <w:r>
              <w:rPr>
                <w:rFonts w:ascii="Times New Roman" w:hAnsi="Times New Roman"/>
                <w:sz w:val="17"/>
              </w:rPr>
              <w:t>4.49%</w:t>
            </w:r>
          </w:p>
        </w:tc>
        <w:tc>
          <w:tcPr>
            <w:tcW w:type="dxa" w:w="1098"/>
            <w:vAlign w:val="center"/>
          </w:tcPr>
          <w:p>
            <w:pPr>
              <w:spacing w:before="40" w:after="40"/>
            </w:pPr>
            <w:r>
              <w:rPr>
                <w:rFonts w:ascii="Times New Roman" w:hAnsi="Times New Roman"/>
                <w:sz w:val="17"/>
              </w:rPr>
              <w:t>2.45</w:t>
            </w:r>
          </w:p>
        </w:tc>
        <w:tc>
          <w:tcPr>
            <w:tcW w:type="dxa" w:w="1098"/>
            <w:vAlign w:val="center"/>
          </w:tcPr>
          <w:p>
            <w:pPr>
              <w:spacing w:before="40" w:after="40"/>
            </w:pPr>
            <w:r>
              <w:rPr>
                <w:rFonts w:ascii="Times New Roman" w:hAnsi="Times New Roman"/>
                <w:sz w:val="17"/>
              </w:rPr>
              <w:t>3.32</w:t>
            </w:r>
          </w:p>
        </w:tc>
        <w:tc>
          <w:tcPr>
            <w:tcW w:type="dxa" w:w="1098"/>
            <w:vAlign w:val="center"/>
          </w:tcPr>
          <w:p>
            <w:pPr>
              <w:spacing w:before="40" w:after="40"/>
            </w:pPr>
            <w:r>
              <w:rPr>
                <w:rFonts w:ascii="Times New Roman" w:hAnsi="Times New Roman"/>
                <w:sz w:val="17"/>
              </w:rPr>
              <w:t>2.62%</w:t>
            </w:r>
          </w:p>
        </w:tc>
        <w:tc>
          <w:tcPr>
            <w:tcW w:type="dxa" w:w="1098"/>
            <w:vAlign w:val="center"/>
          </w:tcPr>
          <w:p>
            <w:pPr>
              <w:spacing w:before="40" w:after="40"/>
            </w:pPr>
            <w:r>
              <w:rPr>
                <w:rFonts w:ascii="Times New Roman" w:hAnsi="Times New Roman"/>
                <w:sz w:val="17"/>
              </w:rPr>
              <w:t>58.01%</w:t>
            </w:r>
          </w:p>
        </w:tc>
      </w:tr>
      <w:tr>
        <w:tc>
          <w:tcPr>
            <w:tcW w:type="dxa" w:w="1098"/>
            <w:vAlign w:val="center"/>
          </w:tcPr>
          <w:p>
            <w:pPr>
              <w:spacing w:before="40" w:after="40"/>
            </w:pPr>
            <w:r>
              <w:rPr>
                <w:rFonts w:ascii="Times New Roman" w:hAnsi="Times New Roman"/>
                <w:sz w:val="17"/>
              </w:rPr>
              <w:t>CNN-BiLSTM</w:t>
            </w:r>
          </w:p>
        </w:tc>
        <w:tc>
          <w:tcPr>
            <w:tcW w:type="dxa" w:w="1098"/>
            <w:vAlign w:val="center"/>
          </w:tcPr>
          <w:p>
            <w:pPr>
              <w:spacing w:before="40" w:after="40"/>
            </w:pPr>
            <w:r>
              <w:rPr>
                <w:rFonts w:ascii="Times New Roman" w:hAnsi="Times New Roman"/>
                <w:sz w:val="17"/>
              </w:rPr>
              <w:t>35,617</w:t>
            </w:r>
          </w:p>
        </w:tc>
        <w:tc>
          <w:tcPr>
            <w:tcW w:type="dxa" w:w="1098"/>
            <w:vAlign w:val="center"/>
          </w:tcPr>
          <w:p>
            <w:pPr>
              <w:spacing w:before="40" w:after="40"/>
            </w:pPr>
            <w:r>
              <w:rPr>
                <w:rFonts w:ascii="Times New Roman" w:hAnsi="Times New Roman"/>
                <w:sz w:val="17"/>
              </w:rPr>
              <w:t>2.84</w:t>
            </w:r>
          </w:p>
        </w:tc>
        <w:tc>
          <w:tcPr>
            <w:tcW w:type="dxa" w:w="1098"/>
            <w:vAlign w:val="center"/>
          </w:tcPr>
          <w:p>
            <w:pPr>
              <w:spacing w:before="40" w:after="40"/>
            </w:pPr>
            <w:r>
              <w:rPr>
                <w:rFonts w:ascii="Times New Roman" w:hAnsi="Times New Roman"/>
                <w:sz w:val="17"/>
              </w:rPr>
              <w:t>4.54%</w:t>
            </w:r>
          </w:p>
        </w:tc>
        <w:tc>
          <w:tcPr>
            <w:tcW w:type="dxa" w:w="1098"/>
            <w:vAlign w:val="center"/>
          </w:tcPr>
          <w:p>
            <w:pPr>
              <w:spacing w:before="40" w:after="40"/>
            </w:pPr>
            <w:r>
              <w:rPr>
                <w:rFonts w:ascii="Times New Roman" w:hAnsi="Times New Roman"/>
                <w:sz w:val="17"/>
              </w:rPr>
              <w:t>2.15</w:t>
            </w:r>
          </w:p>
        </w:tc>
        <w:tc>
          <w:tcPr>
            <w:tcW w:type="dxa" w:w="1098"/>
            <w:vAlign w:val="center"/>
          </w:tcPr>
          <w:p>
            <w:pPr>
              <w:spacing w:before="40" w:after="40"/>
            </w:pPr>
            <w:r>
              <w:rPr>
                <w:rFonts w:ascii="Times New Roman" w:hAnsi="Times New Roman"/>
                <w:sz w:val="17"/>
              </w:rPr>
              <w:t>2.88</w:t>
            </w:r>
          </w:p>
        </w:tc>
        <w:tc>
          <w:tcPr>
            <w:tcW w:type="dxa" w:w="1098"/>
            <w:vAlign w:val="center"/>
          </w:tcPr>
          <w:p>
            <w:pPr>
              <w:spacing w:before="40" w:after="40"/>
            </w:pPr>
            <w:r>
              <w:rPr>
                <w:rFonts w:ascii="Times New Roman" w:hAnsi="Times New Roman"/>
                <w:sz w:val="17"/>
              </w:rPr>
              <w:t>2.28%</w:t>
            </w:r>
          </w:p>
        </w:tc>
        <w:tc>
          <w:tcPr>
            <w:tcW w:type="dxa" w:w="1098"/>
            <w:vAlign w:val="center"/>
          </w:tcPr>
          <w:p>
            <w:pPr>
              <w:spacing w:before="40" w:after="40"/>
            </w:pPr>
            <w:r>
              <w:rPr>
                <w:rFonts w:ascii="Times New Roman" w:hAnsi="Times New Roman"/>
                <w:sz w:val="17"/>
              </w:rPr>
              <w:t>60.58%</w:t>
            </w:r>
          </w:p>
        </w:tc>
      </w:tr>
      <w:tr>
        <w:tc>
          <w:tcPr>
            <w:tcW w:type="dxa" w:w="1098"/>
            <w:vAlign w:val="center"/>
          </w:tcPr>
          <w:p>
            <w:pPr>
              <w:spacing w:before="40" w:after="40"/>
            </w:pPr>
            <w:r>
              <w:rPr>
                <w:rFonts w:ascii="Times New Roman" w:hAnsi="Times New Roman"/>
                <w:b/>
                <w:sz w:val="17"/>
              </w:rPr>
              <w:t>CNN-BiLSTM-Attention (Usulan)</w:t>
            </w:r>
          </w:p>
        </w:tc>
        <w:tc>
          <w:tcPr>
            <w:tcW w:type="dxa" w:w="1098"/>
            <w:vAlign w:val="center"/>
          </w:tcPr>
          <w:p>
            <w:pPr>
              <w:spacing w:before="40" w:after="40"/>
            </w:pPr>
            <w:r>
              <w:rPr>
                <w:rFonts w:ascii="Times New Roman" w:hAnsi="Times New Roman"/>
                <w:b/>
                <w:sz w:val="17"/>
              </w:rPr>
              <w:t>40,321</w:t>
            </w:r>
          </w:p>
        </w:tc>
        <w:tc>
          <w:tcPr>
            <w:tcW w:type="dxa" w:w="1098"/>
            <w:vAlign w:val="center"/>
          </w:tcPr>
          <w:p>
            <w:pPr>
              <w:spacing w:before="40" w:after="40"/>
            </w:pPr>
            <w:r>
              <w:rPr>
                <w:rFonts w:ascii="Times New Roman" w:hAnsi="Times New Roman"/>
                <w:b/>
                <w:sz w:val="17"/>
              </w:rPr>
              <w:t>2.12</w:t>
            </w:r>
          </w:p>
        </w:tc>
        <w:tc>
          <w:tcPr>
            <w:tcW w:type="dxa" w:w="1098"/>
            <w:vAlign w:val="center"/>
          </w:tcPr>
          <w:p>
            <w:pPr>
              <w:spacing w:before="40" w:after="40"/>
            </w:pPr>
            <w:r>
              <w:rPr>
                <w:rFonts w:ascii="Times New Roman" w:hAnsi="Times New Roman"/>
                <w:b/>
                <w:sz w:val="17"/>
              </w:rPr>
              <w:t>3.14%</w:t>
            </w:r>
          </w:p>
        </w:tc>
        <w:tc>
          <w:tcPr>
            <w:tcW w:type="dxa" w:w="1098"/>
            <w:vAlign w:val="center"/>
          </w:tcPr>
          <w:p>
            <w:pPr>
              <w:spacing w:before="40" w:after="40"/>
            </w:pPr>
            <w:r>
              <w:rPr>
                <w:rFonts w:ascii="Times New Roman" w:hAnsi="Times New Roman"/>
                <w:b/>
                <w:sz w:val="17"/>
              </w:rPr>
              <w:t>1.54</w:t>
            </w:r>
          </w:p>
        </w:tc>
        <w:tc>
          <w:tcPr>
            <w:tcW w:type="dxa" w:w="1098"/>
            <w:vAlign w:val="center"/>
          </w:tcPr>
          <w:p>
            <w:pPr>
              <w:spacing w:before="40" w:after="40"/>
            </w:pPr>
            <w:r>
              <w:rPr>
                <w:rFonts w:ascii="Times New Roman" w:hAnsi="Times New Roman"/>
                <w:b/>
                <w:sz w:val="17"/>
              </w:rPr>
              <w:t>2.09</w:t>
            </w:r>
          </w:p>
        </w:tc>
        <w:tc>
          <w:tcPr>
            <w:tcW w:type="dxa" w:w="1098"/>
            <w:vAlign w:val="center"/>
          </w:tcPr>
          <w:p>
            <w:pPr>
              <w:spacing w:before="40" w:after="40"/>
            </w:pPr>
            <w:r>
              <w:rPr>
                <w:rFonts w:ascii="Times New Roman" w:hAnsi="Times New Roman"/>
                <w:b/>
                <w:sz w:val="17"/>
              </w:rPr>
              <w:t>1.62%</w:t>
            </w:r>
          </w:p>
        </w:tc>
        <w:tc>
          <w:tcPr>
            <w:tcW w:type="dxa" w:w="1098"/>
            <w:vAlign w:val="center"/>
          </w:tcPr>
          <w:p>
            <w:pPr>
              <w:spacing w:before="40" w:after="40"/>
            </w:pPr>
            <w:r>
              <w:rPr>
                <w:rFonts w:ascii="Times New Roman" w:hAnsi="Times New Roman"/>
                <w:b/>
                <w:sz w:val="17"/>
              </w:rPr>
              <w:t>77.88%</w:t>
            </w:r>
          </w:p>
        </w:tc>
      </w:tr>
    </w:tbl>
    <w:p>
      <w:pPr>
        <w:spacing w:line="276" w:lineRule="auto" w:after="100"/>
        <w:ind w:firstLine="454"/>
        <w:jc w:val="both"/>
      </w:pPr>
      <w:r>
        <w:rPr>
          <w:rFonts w:ascii="Times New Roman" w:hAnsi="Times New Roman"/>
          <w:b w:val="0"/>
          <w:i w:val="0"/>
          <w:sz w:val="22"/>
        </w:rPr>
        <w:t xml:space="preserve">Berdasarkan Tabel 2 di atas, terlihat progresi peningkatan kinerja yang konsisten seiring dengan penambahan modul arsitektural pada periode pengujian (312 hari perdagangan). Model </w:t>
      </w:r>
      <w:r>
        <w:rPr>
          <w:rFonts w:ascii="Times New Roman" w:hAnsi="Times New Roman"/>
          <w:b w:val="0"/>
          <w:i/>
          <w:sz w:val="22"/>
        </w:rPr>
        <w:t>baseline</w:t>
      </w:r>
      <w:r>
        <w:rPr>
          <w:rFonts w:ascii="Times New Roman" w:hAnsi="Times New Roman"/>
          <w:b w:val="0"/>
          <w:i w:val="0"/>
          <w:sz w:val="22"/>
        </w:rPr>
        <w:t xml:space="preserve"> LSTM standar mencatatkan Test MAE sebesar 3,81 USD, Test RMSE sebesar 4,85 USD, Test MAPE sebesar 4,15%, dan </w:t>
      </w:r>
      <w:r>
        <w:rPr>
          <w:rFonts w:ascii="Times New Roman" w:hAnsi="Times New Roman"/>
          <w:b w:val="0"/>
          <w:i/>
          <w:sz w:val="22"/>
        </w:rPr>
        <w:t>Directional Accuracy</w:t>
      </w:r>
      <w:r>
        <w:rPr>
          <w:rFonts w:ascii="Times New Roman" w:hAnsi="Times New Roman"/>
          <w:b w:val="0"/>
          <w:i w:val="0"/>
          <w:sz w:val="22"/>
        </w:rPr>
        <w:t xml:space="preserve"> (DA) hanya sebesar 46,15%. Model GRU memperbaiki kinerja menjadi MAE 2,74 USD dan MAPE 2,94% berkat efisiensi struktur gerbangnya (26.201 parameter). Penerapan konteks dua arah pada BiLSTM menekan MAPE menjadi 2,62% (DA 58,01%), dan penambahan ekstraksi konvolusional pada CNN-BiLSTM menurunkan MAPE lebih lanjut menjadi 2,28% (DA 60,58%). Performa puncak dicapai oleh arsitektur usulan CNN-BiLSTM-Attention yang membukukan Test MAE terendah sebesar 1,54 USD, Test RMSE sebesar 2,09 USD, Test MAPE sebesar 1,62% (kategori Sangat Akurat &lt; 10%), serta </w:t>
      </w:r>
      <w:r>
        <w:rPr>
          <w:rFonts w:ascii="Times New Roman" w:hAnsi="Times New Roman"/>
          <w:b w:val="0"/>
          <w:i/>
          <w:sz w:val="22"/>
        </w:rPr>
        <w:t>Directional Accuracy</w:t>
      </w:r>
      <w:r>
        <w:rPr>
          <w:rFonts w:ascii="Times New Roman" w:hAnsi="Times New Roman"/>
          <w:b w:val="0"/>
          <w:i w:val="0"/>
          <w:sz w:val="22"/>
        </w:rPr>
        <w:t xml:space="preserve"> tertinggi sebesar 77,88%. Dibandingkan terhadap LSTM standar, model usulan berhasil memangkas kesalahan MAPE sebesar 60,96% dan meningkatkan ketepatan arah harian sebesar +31,73 poin persentase. Visualisasi perbandingan kurva prediksi dan grafik batang metrik evaluasi disajikan pada Gambar 6 dan Gambar 7.</w:t>
      </w:r>
    </w:p>
    <w:p>
      <w:pPr>
        <w:keepNext/>
        <w:spacing w:before="120" w:after="40"/>
        <w:jc w:val="center"/>
      </w:pPr>
      <w:r>
        <w:drawing>
          <wp:inline xmlns:a="http://schemas.openxmlformats.org/drawingml/2006/main" xmlns:pic="http://schemas.openxmlformats.org/drawingml/2006/picture">
            <wp:extent cx="4968000" cy="2348509"/>
            <wp:docPr id="6" name="Picture 6"/>
            <wp:cNvGraphicFramePr>
              <a:graphicFrameLocks noChangeAspect="1"/>
            </wp:cNvGraphicFramePr>
            <a:graphic>
              <a:graphicData uri="http://schemas.openxmlformats.org/drawingml/2006/picture">
                <pic:pic>
                  <pic:nvPicPr>
                    <pic:cNvPr id="0" name="fig5_actual_vs_predicted_test.png"/>
                    <pic:cNvPicPr/>
                  </pic:nvPicPr>
                  <pic:blipFill>
                    <a:blip r:embed="rId16"/>
                    <a:stretch>
                      <a:fillRect/>
                    </a:stretch>
                  </pic:blipFill>
                  <pic:spPr>
                    <a:xfrm>
                      <a:off x="0" y="0"/>
                      <a:ext cx="4968000" cy="2348509"/>
                    </a:xfrm>
                    <a:prstGeom prst="rect"/>
                  </pic:spPr>
                </pic:pic>
              </a:graphicData>
            </a:graphic>
          </wp:inline>
        </w:drawing>
      </w:r>
    </w:p>
    <w:p>
      <w:pPr>
        <w:keepNext/>
        <w:spacing w:before="40" w:after="100"/>
        <w:jc w:val="center"/>
      </w:pPr>
      <w:r>
        <w:rPr>
          <w:rFonts w:ascii="Times New Roman" w:hAnsi="Times New Roman"/>
          <w:b/>
          <w:sz w:val="20"/>
        </w:rPr>
        <w:t xml:space="preserve">Gambar 6. </w:t>
      </w:r>
      <w:r>
        <w:rPr>
          <w:rFonts w:ascii="Times New Roman" w:hAnsi="Times New Roman"/>
          <w:b/>
          <w:i w:val="0"/>
          <w:sz w:val="20"/>
        </w:rPr>
        <w:t>Perbandingan Harga Aktual vs Prediksi Kelima Model pada Data Uji (</w:t>
      </w:r>
      <w:r>
        <w:rPr>
          <w:rFonts w:ascii="Times New Roman" w:hAnsi="Times New Roman"/>
          <w:b/>
          <w:i/>
          <w:sz w:val="20"/>
        </w:rPr>
        <w:t>Testing Set</w:t>
      </w:r>
      <w:r>
        <w:rPr>
          <w:rFonts w:ascii="Times New Roman" w:hAnsi="Times New Roman"/>
          <w:b/>
          <w:i w:val="0"/>
          <w:sz w:val="20"/>
        </w:rPr>
        <w:t>)</w:t>
      </w:r>
    </w:p>
    <w:p>
      <w:pPr>
        <w:spacing w:line="276" w:lineRule="auto" w:after="100"/>
        <w:ind w:firstLine="454"/>
        <w:jc w:val="both"/>
      </w:pPr>
      <w:r>
        <w:rPr>
          <w:rFonts w:ascii="Times New Roman" w:hAnsi="Times New Roman"/>
          <w:b w:val="0"/>
          <w:i w:val="0"/>
          <w:sz w:val="22"/>
        </w:rPr>
        <w:t xml:space="preserve">Berdasarkan Gambar 6 di atas, dapat dijelaskan bahwa grafik memplotkan lintasan harga penutupan aktual Solana (garis hitam tebal) bersama kurva prediksi kelima arsitektur sepanjang periode pengujian (23 November 2025 hingga 30 September 2026). Kotak perbesaran (zoomed inset) di sudut kanan atas memperlihatkan secara detail perilaku masing-masing model pada 70 hari terakhir pengujian. Terlihat bahwa kurva LSTM (biru putus-putus) dan GRU (ungu) cenderung tertinggal di bawah harga aktual saat terjadi reli cepat dan terlambat turun saat terjadi koreksi tajam (efek </w:t>
      </w:r>
      <w:r>
        <w:rPr>
          <w:rFonts w:ascii="Times New Roman" w:hAnsi="Times New Roman"/>
          <w:b w:val="0"/>
          <w:i/>
          <w:sz w:val="22"/>
        </w:rPr>
        <w:t>phase lagging</w:t>
      </w:r>
      <w:r>
        <w:rPr>
          <w:rFonts w:ascii="Times New Roman" w:hAnsi="Times New Roman"/>
          <w:b w:val="0"/>
          <w:i w:val="0"/>
          <w:sz w:val="22"/>
        </w:rPr>
        <w:t>). Sebaliknya, kurva model usulan CNN-BiLSTM-Attention (garis merah tegas) menempel sangat rapat pada titik-titik puncak maupun lembah harga aktual Solana dengan koefisien determinasi R² mencapai 0,9912.</w:t>
      </w:r>
    </w:p>
    <w:p>
      <w:pPr>
        <w:keepNext/>
        <w:spacing w:before="120" w:after="40"/>
        <w:jc w:val="center"/>
      </w:pPr>
      <w:r>
        <w:drawing>
          <wp:inline xmlns:a="http://schemas.openxmlformats.org/drawingml/2006/main" xmlns:pic="http://schemas.openxmlformats.org/drawingml/2006/picture">
            <wp:extent cx="4968000" cy="1813714"/>
            <wp:docPr id="7" name="Picture 7"/>
            <wp:cNvGraphicFramePr>
              <a:graphicFrameLocks noChangeAspect="1"/>
            </wp:cNvGraphicFramePr>
            <a:graphic>
              <a:graphicData uri="http://schemas.openxmlformats.org/drawingml/2006/picture">
                <pic:pic>
                  <pic:nvPicPr>
                    <pic:cNvPr id="0" name="fig6_metrics_comparison_bar.png"/>
                    <pic:cNvPicPr/>
                  </pic:nvPicPr>
                  <pic:blipFill>
                    <a:blip r:embed="rId17"/>
                    <a:stretch>
                      <a:fillRect/>
                    </a:stretch>
                  </pic:blipFill>
                  <pic:spPr>
                    <a:xfrm>
                      <a:off x="0" y="0"/>
                      <a:ext cx="4968000" cy="1813714"/>
                    </a:xfrm>
                    <a:prstGeom prst="rect"/>
                  </pic:spPr>
                </pic:pic>
              </a:graphicData>
            </a:graphic>
          </wp:inline>
        </w:drawing>
      </w:r>
    </w:p>
    <w:p>
      <w:pPr>
        <w:keepNext/>
        <w:spacing w:before="40" w:after="100"/>
        <w:jc w:val="center"/>
      </w:pPr>
      <w:r>
        <w:rPr>
          <w:rFonts w:ascii="Times New Roman" w:hAnsi="Times New Roman"/>
          <w:b/>
          <w:sz w:val="20"/>
        </w:rPr>
        <w:t xml:space="preserve">Gambar 7. </w:t>
      </w:r>
      <w:r>
        <w:rPr>
          <w:rFonts w:ascii="Times New Roman" w:hAnsi="Times New Roman"/>
          <w:b/>
          <w:i w:val="0"/>
          <w:sz w:val="20"/>
        </w:rPr>
        <w:t xml:space="preserve">Perbandingan Metrik Evaluasi MAE, MAPE, dan </w:t>
      </w:r>
      <w:r>
        <w:rPr>
          <w:rFonts w:ascii="Times New Roman" w:hAnsi="Times New Roman"/>
          <w:b/>
          <w:i/>
          <w:sz w:val="20"/>
        </w:rPr>
        <w:t>Directional Accuracy</w:t>
      </w:r>
      <w:r>
        <w:rPr>
          <w:rFonts w:ascii="Times New Roman" w:hAnsi="Times New Roman"/>
          <w:b/>
          <w:i w:val="0"/>
          <w:sz w:val="20"/>
        </w:rPr>
        <w:t xml:space="preserve"> pada Data Uji</w:t>
      </w:r>
    </w:p>
    <w:p>
      <w:pPr>
        <w:spacing w:line="276" w:lineRule="auto" w:after="100"/>
        <w:ind w:firstLine="454"/>
        <w:jc w:val="both"/>
      </w:pPr>
      <w:r>
        <w:rPr>
          <w:rFonts w:ascii="Times New Roman" w:hAnsi="Times New Roman"/>
          <w:b w:val="0"/>
          <w:i w:val="0"/>
          <w:sz w:val="22"/>
        </w:rPr>
        <w:t xml:space="preserve">Berdasarkan Gambar 7 di atas, dapat dijelaskan bahwa diagram batang membandingkan secara berdampingan tiga indikator kinerja utama pada data uji untuk kelima model. Panel kiri (MAE dalam USD) dan panel tengah (MAPE dalam %) memperlihatkan tren penurunan batang kesalahan secara bertahap dari LSTM (3,81 USD; 4,15%), GRU (2,74 USD; 2,94%), BiLSTM (2,45 USD; 2,62%), CNN-BiLSTM (2,15 USD; 2,28%), hingga mencapai nilai kesalahan paling rendah pada model usulan CNN-BiLSTM-Attention (1,54 USD; 1,62%). Sebaliknya, panel kanan memperlihatkan lonjakan tajam pada batang </w:t>
      </w:r>
      <w:r>
        <w:rPr>
          <w:rFonts w:ascii="Times New Roman" w:hAnsi="Times New Roman"/>
          <w:b w:val="0"/>
          <w:i/>
          <w:sz w:val="22"/>
        </w:rPr>
        <w:t>Directional Accuracy</w:t>
      </w:r>
      <w:r>
        <w:rPr>
          <w:rFonts w:ascii="Times New Roman" w:hAnsi="Times New Roman"/>
          <w:b w:val="0"/>
          <w:i w:val="0"/>
          <w:sz w:val="22"/>
        </w:rPr>
        <w:t xml:space="preserve"> dari 46,15% (LSTM) dan 60,58% (CNN-BiLSTM) menuju 77,88% pada CNN-BiLSTM-Attention, membuktikan kontribusi signifikan mekanisme </w:t>
      </w:r>
      <w:r>
        <w:rPr>
          <w:rFonts w:ascii="Times New Roman" w:hAnsi="Times New Roman"/>
          <w:b w:val="0"/>
          <w:i/>
          <w:sz w:val="22"/>
        </w:rPr>
        <w:t>Temporal Attention</w:t>
      </w:r>
      <w:r>
        <w:rPr>
          <w:rFonts w:ascii="Times New Roman" w:hAnsi="Times New Roman"/>
          <w:b w:val="0"/>
          <w:i w:val="0"/>
          <w:sz w:val="22"/>
        </w:rPr>
        <w:t xml:space="preserve"> dalam meningkatkan akurasi prediksi arah pergerakan harga.</w:t>
      </w:r>
    </w:p>
    <w:p>
      <w:pPr>
        <w:keepNext/>
        <w:spacing w:before="160" w:after="60"/>
      </w:pPr>
      <w:r>
        <w:rPr>
          <w:rFonts w:ascii="Times New Roman" w:hAnsi="Times New Roman"/>
          <w:b/>
          <w:sz w:val="22"/>
        </w:rPr>
        <w:t xml:space="preserve">3.3. </w:t>
      </w:r>
      <w:r>
        <w:rPr>
          <w:rFonts w:ascii="Times New Roman" w:hAnsi="Times New Roman"/>
          <w:b/>
          <w:i w:val="0"/>
          <w:sz w:val="22"/>
        </w:rPr>
        <w:t xml:space="preserve">Studi Ablasi Fitur Multivariat dan Analisis Bobot </w:t>
      </w:r>
      <w:r>
        <w:rPr>
          <w:rFonts w:ascii="Times New Roman" w:hAnsi="Times New Roman"/>
          <w:b/>
          <w:i/>
          <w:sz w:val="22"/>
        </w:rPr>
        <w:t>Temporal Attention</w:t>
      </w:r>
    </w:p>
    <w:p>
      <w:pPr>
        <w:spacing w:line="276" w:lineRule="auto" w:after="100"/>
        <w:ind w:firstLine="454"/>
        <w:jc w:val="both"/>
      </w:pPr>
      <w:r>
        <w:rPr>
          <w:rFonts w:ascii="Times New Roman" w:hAnsi="Times New Roman"/>
          <w:b w:val="0"/>
          <w:i w:val="0"/>
          <w:sz w:val="22"/>
        </w:rPr>
        <w:t>Untuk menguji kontribusi nyata dari ke-14 fitur indikator teknikal yang direkayasa, dilakukan studi ablasi (</w:t>
      </w:r>
      <w:r>
        <w:rPr>
          <w:rFonts w:ascii="Times New Roman" w:hAnsi="Times New Roman"/>
          <w:b w:val="0"/>
          <w:i/>
          <w:sz w:val="22"/>
        </w:rPr>
        <w:t>ablation study</w:t>
      </w:r>
      <w:r>
        <w:rPr>
          <w:rFonts w:ascii="Times New Roman" w:hAnsi="Times New Roman"/>
          <w:b w:val="0"/>
          <w:i w:val="0"/>
          <w:sz w:val="22"/>
        </w:rPr>
        <w:t>) dengan membandingkan model CNN-BiLSTM-Attention berbasis input multivariat (14 fitur) terhadap arsitektur identik yang hanya menerima input univariat (harga penutupan Close semata) sebagaimana disajikan pada Tabel 3.</w:t>
      </w:r>
    </w:p>
    <w:p>
      <w:pPr>
        <w:keepNext/>
        <w:spacing w:before="160" w:after="60"/>
        <w:jc w:val="center"/>
      </w:pPr>
      <w:r>
        <w:rPr>
          <w:rFonts w:ascii="Times New Roman" w:hAnsi="Times New Roman"/>
          <w:b/>
          <w:sz w:val="20"/>
        </w:rPr>
        <w:t xml:space="preserve">Tabel 3. </w:t>
      </w:r>
      <w:r>
        <w:rPr>
          <w:rFonts w:ascii="Times New Roman" w:hAnsi="Times New Roman"/>
          <w:b/>
          <w:i w:val="0"/>
          <w:sz w:val="20"/>
        </w:rPr>
        <w:t>Hasil Studi Ablasi: Konfigurasi Input Univariat vs Multivariat Indikator Teknikal</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shd w:fill="1F4E78"/>
            <w:vAlign w:val="center"/>
          </w:tcPr>
          <w:p>
            <w:pPr>
              <w:spacing w:before="60" w:after="60"/>
              <w:jc w:val="center"/>
            </w:pPr>
            <w:r>
              <w:rPr>
                <w:rFonts w:ascii="Times New Roman" w:hAnsi="Times New Roman"/>
                <w:b/>
                <w:color w:val="FFFFFF"/>
                <w:sz w:val="17"/>
              </w:rPr>
              <w:t>Konfigurasi Input Model</w:t>
            </w:r>
          </w:p>
        </w:tc>
        <w:tc>
          <w:tcPr>
            <w:tcW w:type="dxa" w:w="1255"/>
            <w:shd w:fill="1F4E78"/>
            <w:vAlign w:val="center"/>
          </w:tcPr>
          <w:p>
            <w:pPr>
              <w:spacing w:before="60" w:after="60"/>
              <w:jc w:val="center"/>
            </w:pPr>
            <w:r>
              <w:rPr>
                <w:rFonts w:ascii="Times New Roman" w:hAnsi="Times New Roman"/>
                <w:b/>
                <w:color w:val="FFFFFF"/>
                <w:sz w:val="17"/>
              </w:rPr>
              <w:t>Dimensi Fitur</w:t>
            </w:r>
          </w:p>
        </w:tc>
        <w:tc>
          <w:tcPr>
            <w:tcW w:type="dxa" w:w="1255"/>
            <w:shd w:fill="1F4E78"/>
            <w:vAlign w:val="center"/>
          </w:tcPr>
          <w:p>
            <w:pPr>
              <w:spacing w:before="60" w:after="60"/>
              <w:jc w:val="center"/>
            </w:pPr>
            <w:r>
              <w:rPr>
                <w:rFonts w:ascii="Times New Roman" w:hAnsi="Times New Roman"/>
                <w:b/>
                <w:color w:val="FFFFFF"/>
                <w:sz w:val="17"/>
              </w:rPr>
              <w:t>Test MAE ($)</w:t>
            </w:r>
          </w:p>
        </w:tc>
        <w:tc>
          <w:tcPr>
            <w:tcW w:type="dxa" w:w="1255"/>
            <w:shd w:fill="1F4E78"/>
            <w:vAlign w:val="center"/>
          </w:tcPr>
          <w:p>
            <w:pPr>
              <w:spacing w:before="60" w:after="60"/>
              <w:jc w:val="center"/>
            </w:pPr>
            <w:r>
              <w:rPr>
                <w:rFonts w:ascii="Times New Roman" w:hAnsi="Times New Roman"/>
                <w:b/>
                <w:color w:val="FFFFFF"/>
                <w:sz w:val="17"/>
              </w:rPr>
              <w:t>Test RMSE ($)</w:t>
            </w:r>
          </w:p>
        </w:tc>
        <w:tc>
          <w:tcPr>
            <w:tcW w:type="dxa" w:w="1255"/>
            <w:shd w:fill="1F4E78"/>
            <w:vAlign w:val="center"/>
          </w:tcPr>
          <w:p>
            <w:pPr>
              <w:spacing w:before="60" w:after="60"/>
              <w:jc w:val="center"/>
            </w:pPr>
            <w:r>
              <w:rPr>
                <w:rFonts w:ascii="Times New Roman" w:hAnsi="Times New Roman"/>
                <w:b/>
                <w:color w:val="FFFFFF"/>
                <w:sz w:val="17"/>
              </w:rPr>
              <w:t>Test MAPE (%)</w:t>
            </w:r>
          </w:p>
        </w:tc>
        <w:tc>
          <w:tcPr>
            <w:tcW w:type="dxa" w:w="1255"/>
            <w:shd w:fill="1F4E78"/>
            <w:vAlign w:val="center"/>
          </w:tcPr>
          <w:p>
            <w:pPr>
              <w:spacing w:before="60" w:after="60"/>
              <w:jc w:val="center"/>
            </w:pPr>
            <w:r>
              <w:rPr>
                <w:rFonts w:ascii="Times New Roman" w:hAnsi="Times New Roman"/>
                <w:b/>
                <w:color w:val="FFFFFF"/>
                <w:sz w:val="17"/>
              </w:rPr>
              <w:t>R² Score</w:t>
            </w:r>
          </w:p>
        </w:tc>
        <w:tc>
          <w:tcPr>
            <w:tcW w:type="dxa" w:w="1255"/>
            <w:shd w:fill="1F4E78"/>
            <w:vAlign w:val="center"/>
          </w:tcPr>
          <w:p>
            <w:pPr>
              <w:spacing w:before="60" w:after="60"/>
              <w:jc w:val="center"/>
            </w:pPr>
            <w:r>
              <w:rPr>
                <w:rFonts w:ascii="Times New Roman" w:hAnsi="Times New Roman"/>
                <w:b/>
                <w:color w:val="FFFFFF"/>
                <w:sz w:val="17"/>
              </w:rPr>
              <w:t>Directional Acc. (%)</w:t>
            </w:r>
          </w:p>
        </w:tc>
      </w:tr>
      <w:tr>
        <w:tc>
          <w:tcPr>
            <w:tcW w:type="dxa" w:w="1255"/>
            <w:vAlign w:val="center"/>
          </w:tcPr>
          <w:p>
            <w:pPr>
              <w:spacing w:before="40" w:after="40"/>
            </w:pPr>
            <w:r>
              <w:rPr>
                <w:rFonts w:ascii="Times New Roman" w:hAnsi="Times New Roman"/>
                <w:sz w:val="17"/>
              </w:rPr>
              <w:t>CNN-BiLSTM-Attention (Univariat)</w:t>
            </w:r>
          </w:p>
        </w:tc>
        <w:tc>
          <w:tcPr>
            <w:tcW w:type="dxa" w:w="1255"/>
            <w:vAlign w:val="center"/>
          </w:tcPr>
          <w:p>
            <w:pPr>
              <w:spacing w:before="40" w:after="40"/>
            </w:pPr>
            <w:r>
              <w:rPr>
                <w:rFonts w:ascii="Times New Roman" w:hAnsi="Times New Roman"/>
                <w:sz w:val="17"/>
              </w:rPr>
              <w:t>1 Fitur (Hanya Harga Close)</w:t>
            </w:r>
          </w:p>
        </w:tc>
        <w:tc>
          <w:tcPr>
            <w:tcW w:type="dxa" w:w="1255"/>
            <w:vAlign w:val="center"/>
          </w:tcPr>
          <w:p>
            <w:pPr>
              <w:spacing w:before="40" w:after="40"/>
            </w:pPr>
            <w:r>
              <w:rPr>
                <w:rFonts w:ascii="Times New Roman" w:hAnsi="Times New Roman"/>
                <w:sz w:val="17"/>
              </w:rPr>
              <w:t>2.67</w:t>
            </w:r>
          </w:p>
        </w:tc>
        <w:tc>
          <w:tcPr>
            <w:tcW w:type="dxa" w:w="1255"/>
            <w:vAlign w:val="center"/>
          </w:tcPr>
          <w:p>
            <w:pPr>
              <w:spacing w:before="40" w:after="40"/>
            </w:pPr>
            <w:r>
              <w:rPr>
                <w:rFonts w:ascii="Times New Roman" w:hAnsi="Times New Roman"/>
                <w:sz w:val="17"/>
              </w:rPr>
              <w:t>3.74</w:t>
            </w:r>
          </w:p>
        </w:tc>
        <w:tc>
          <w:tcPr>
            <w:tcW w:type="dxa" w:w="1255"/>
            <w:vAlign w:val="center"/>
          </w:tcPr>
          <w:p>
            <w:pPr>
              <w:spacing w:before="40" w:after="40"/>
            </w:pPr>
            <w:r>
              <w:rPr>
                <w:rFonts w:ascii="Times New Roman" w:hAnsi="Times New Roman"/>
                <w:sz w:val="17"/>
              </w:rPr>
              <w:t>2.81%</w:t>
            </w:r>
          </w:p>
        </w:tc>
        <w:tc>
          <w:tcPr>
            <w:tcW w:type="dxa" w:w="1255"/>
            <w:vAlign w:val="center"/>
          </w:tcPr>
          <w:p>
            <w:pPr>
              <w:spacing w:before="40" w:after="40"/>
            </w:pPr>
            <w:r>
              <w:rPr>
                <w:rFonts w:ascii="Times New Roman" w:hAnsi="Times New Roman"/>
                <w:sz w:val="17"/>
              </w:rPr>
              <w:t>0.9716</w:t>
            </w:r>
          </w:p>
        </w:tc>
        <w:tc>
          <w:tcPr>
            <w:tcW w:type="dxa" w:w="1255"/>
            <w:vAlign w:val="center"/>
          </w:tcPr>
          <w:p>
            <w:pPr>
              <w:spacing w:before="40" w:after="40"/>
            </w:pPr>
            <w:r>
              <w:rPr>
                <w:rFonts w:ascii="Times New Roman" w:hAnsi="Times New Roman"/>
                <w:sz w:val="17"/>
              </w:rPr>
              <w:t>50.00%</w:t>
            </w:r>
          </w:p>
        </w:tc>
      </w:tr>
      <w:tr>
        <w:tc>
          <w:tcPr>
            <w:tcW w:type="dxa" w:w="1255"/>
            <w:vAlign w:val="center"/>
          </w:tcPr>
          <w:p>
            <w:pPr>
              <w:spacing w:before="40" w:after="40"/>
            </w:pPr>
            <w:r>
              <w:rPr>
                <w:rFonts w:ascii="Times New Roman" w:hAnsi="Times New Roman"/>
                <w:sz w:val="17"/>
              </w:rPr>
              <w:t>CNN-BiLSTM-Attention (Usulan)</w:t>
            </w:r>
          </w:p>
        </w:tc>
        <w:tc>
          <w:tcPr>
            <w:tcW w:type="dxa" w:w="1255"/>
            <w:vAlign w:val="center"/>
          </w:tcPr>
          <w:p>
            <w:pPr>
              <w:spacing w:before="40" w:after="40"/>
            </w:pPr>
            <w:r>
              <w:rPr>
                <w:rFonts w:ascii="Times New Roman" w:hAnsi="Times New Roman"/>
                <w:sz w:val="17"/>
              </w:rPr>
              <w:t>14 Fitur (OHLCV + 9 Indikator Teknikal)</w:t>
            </w:r>
          </w:p>
        </w:tc>
        <w:tc>
          <w:tcPr>
            <w:tcW w:type="dxa" w:w="1255"/>
            <w:vAlign w:val="center"/>
          </w:tcPr>
          <w:p>
            <w:pPr>
              <w:spacing w:before="40" w:after="40"/>
            </w:pPr>
            <w:r>
              <w:rPr>
                <w:rFonts w:ascii="Times New Roman" w:hAnsi="Times New Roman"/>
                <w:sz w:val="17"/>
              </w:rPr>
              <w:t>1.54</w:t>
            </w:r>
          </w:p>
        </w:tc>
        <w:tc>
          <w:tcPr>
            <w:tcW w:type="dxa" w:w="1255"/>
            <w:vAlign w:val="center"/>
          </w:tcPr>
          <w:p>
            <w:pPr>
              <w:spacing w:before="40" w:after="40"/>
            </w:pPr>
            <w:r>
              <w:rPr>
                <w:rFonts w:ascii="Times New Roman" w:hAnsi="Times New Roman"/>
                <w:sz w:val="17"/>
              </w:rPr>
              <w:t>2.09</w:t>
            </w:r>
          </w:p>
        </w:tc>
        <w:tc>
          <w:tcPr>
            <w:tcW w:type="dxa" w:w="1255"/>
            <w:vAlign w:val="center"/>
          </w:tcPr>
          <w:p>
            <w:pPr>
              <w:spacing w:before="40" w:after="40"/>
            </w:pPr>
            <w:r>
              <w:rPr>
                <w:rFonts w:ascii="Times New Roman" w:hAnsi="Times New Roman"/>
                <w:sz w:val="17"/>
              </w:rPr>
              <w:t>1.62%</w:t>
            </w:r>
          </w:p>
        </w:tc>
        <w:tc>
          <w:tcPr>
            <w:tcW w:type="dxa" w:w="1255"/>
            <w:vAlign w:val="center"/>
          </w:tcPr>
          <w:p>
            <w:pPr>
              <w:spacing w:before="40" w:after="40"/>
            </w:pPr>
            <w:r>
              <w:rPr>
                <w:rFonts w:ascii="Times New Roman" w:hAnsi="Times New Roman"/>
                <w:sz w:val="17"/>
              </w:rPr>
              <w:t>0.9912</w:t>
            </w:r>
          </w:p>
        </w:tc>
        <w:tc>
          <w:tcPr>
            <w:tcW w:type="dxa" w:w="1255"/>
            <w:vAlign w:val="center"/>
          </w:tcPr>
          <w:p>
            <w:pPr>
              <w:spacing w:before="40" w:after="40"/>
            </w:pPr>
            <w:r>
              <w:rPr>
                <w:rFonts w:ascii="Times New Roman" w:hAnsi="Times New Roman"/>
                <w:sz w:val="17"/>
              </w:rPr>
              <w:t>77.88%</w:t>
            </w:r>
          </w:p>
        </w:tc>
      </w:tr>
    </w:tbl>
    <w:p>
      <w:pPr>
        <w:spacing w:line="276" w:lineRule="auto" w:after="100"/>
        <w:ind w:firstLine="454"/>
        <w:jc w:val="both"/>
      </w:pPr>
      <w:r>
        <w:rPr>
          <w:rFonts w:ascii="Times New Roman" w:hAnsi="Times New Roman"/>
          <w:b w:val="0"/>
          <w:i w:val="0"/>
          <w:sz w:val="22"/>
        </w:rPr>
        <w:t xml:space="preserve">Berdasarkan Tabel 3 di atas, hasil studi ablasi membuktikan secara empiris bahwa penghapusan sembilan indikator teknikal dan atribut OHLCV pendukung pada konfigurasi Univariat menyebabkan penurunan performa yang drastis pada seluruh metrik evaluasi. Tanpa kehadiran indikator teknikal, nilai Test MAE meningkat sebesar 73,38% (dari 1,54 USD menjadi 2,67 USD), Test RMSE naik dari 2,09 USD menjadi 3,74 USD, dan Test MAPE meningkat dari 1,62% menjadi 2,81%. Dampak paling mencolok terlihat pada metrik </w:t>
      </w:r>
      <w:r>
        <w:rPr>
          <w:rFonts w:ascii="Times New Roman" w:hAnsi="Times New Roman"/>
          <w:b w:val="0"/>
          <w:i/>
          <w:sz w:val="22"/>
        </w:rPr>
        <w:t>Directional Accuracy</w:t>
      </w:r>
      <w:r>
        <w:rPr>
          <w:rFonts w:ascii="Times New Roman" w:hAnsi="Times New Roman"/>
          <w:b w:val="0"/>
          <w:i w:val="0"/>
          <w:sz w:val="22"/>
        </w:rPr>
        <w:t xml:space="preserve"> yang merosot sebesar 27,88 poin persentase dari 77,88% (Multivariat) menjadi hanya 50,00% (Univariat, setara dengan tebakan acak). Hal ini membuktikan bahwa informasi osilator momentum (RSI, MACD) dan volatilitas (</w:t>
      </w:r>
      <w:r>
        <w:rPr>
          <w:rFonts w:ascii="Times New Roman" w:hAnsi="Times New Roman"/>
          <w:b w:val="0"/>
          <w:i/>
          <w:sz w:val="22"/>
        </w:rPr>
        <w:t>Bollinger Bands</w:t>
      </w:r>
      <w:r>
        <w:rPr>
          <w:rFonts w:ascii="Times New Roman" w:hAnsi="Times New Roman"/>
          <w:b w:val="0"/>
          <w:i w:val="0"/>
          <w:sz w:val="22"/>
        </w:rPr>
        <w:t>, ATR) sangat esensial dalam memandu jaringan mengenali pembalikan arah harga Solana. Profil bobot perhatian temporal dan distribusi kesalahan residual divisualisasikan lebih lanjut pada Gambar 8.</w:t>
      </w:r>
    </w:p>
    <w:p>
      <w:pPr>
        <w:keepNext/>
        <w:spacing w:before="120" w:after="40"/>
        <w:jc w:val="center"/>
      </w:pPr>
      <w:r>
        <w:drawing>
          <wp:inline xmlns:a="http://schemas.openxmlformats.org/drawingml/2006/main" xmlns:pic="http://schemas.openxmlformats.org/drawingml/2006/picture">
            <wp:extent cx="4968000" cy="1942036"/>
            <wp:docPr id="8" name="Picture 8"/>
            <wp:cNvGraphicFramePr>
              <a:graphicFrameLocks noChangeAspect="1"/>
            </wp:cNvGraphicFramePr>
            <a:graphic>
              <a:graphicData uri="http://schemas.openxmlformats.org/drawingml/2006/picture">
                <pic:pic>
                  <pic:nvPicPr>
                    <pic:cNvPr id="0" name="fig7_attention_weights_and_residuals.png"/>
                    <pic:cNvPicPr/>
                  </pic:nvPicPr>
                  <pic:blipFill>
                    <a:blip r:embed="rId18"/>
                    <a:stretch>
                      <a:fillRect/>
                    </a:stretch>
                  </pic:blipFill>
                  <pic:spPr>
                    <a:xfrm>
                      <a:off x="0" y="0"/>
                      <a:ext cx="4968000" cy="1942036"/>
                    </a:xfrm>
                    <a:prstGeom prst="rect"/>
                  </pic:spPr>
                </pic:pic>
              </a:graphicData>
            </a:graphic>
          </wp:inline>
        </w:drawing>
      </w:r>
    </w:p>
    <w:p>
      <w:pPr>
        <w:keepNext/>
        <w:spacing w:before="40" w:after="100"/>
        <w:jc w:val="center"/>
      </w:pPr>
      <w:r>
        <w:rPr>
          <w:rFonts w:ascii="Times New Roman" w:hAnsi="Times New Roman"/>
          <w:b/>
          <w:sz w:val="20"/>
        </w:rPr>
        <w:t xml:space="preserve">Gambar 8. </w:t>
      </w:r>
      <w:r>
        <w:rPr>
          <w:rFonts w:ascii="Times New Roman" w:hAnsi="Times New Roman"/>
          <w:b/>
          <w:i w:val="0"/>
          <w:sz w:val="20"/>
        </w:rPr>
        <w:t xml:space="preserve">Distribusi Rata-rata Bobot </w:t>
      </w:r>
      <w:r>
        <w:rPr>
          <w:rFonts w:ascii="Times New Roman" w:hAnsi="Times New Roman"/>
          <w:b/>
          <w:i/>
          <w:sz w:val="20"/>
        </w:rPr>
        <w:t>Temporal Attention</w:t>
      </w:r>
      <w:r>
        <w:rPr>
          <w:rFonts w:ascii="Times New Roman" w:hAnsi="Times New Roman"/>
          <w:b/>
          <w:i w:val="0"/>
          <w:sz w:val="20"/>
        </w:rPr>
        <w:t xml:space="preserve"> (α_t) dan Histogram Residual Error</w:t>
      </w:r>
    </w:p>
    <w:p>
      <w:pPr>
        <w:spacing w:line="276" w:lineRule="auto" w:after="100"/>
        <w:ind w:firstLine="454"/>
        <w:jc w:val="both"/>
      </w:pPr>
      <w:r>
        <w:rPr>
          <w:rFonts w:ascii="Times New Roman" w:hAnsi="Times New Roman"/>
          <w:b w:val="0"/>
          <w:i w:val="0"/>
          <w:sz w:val="22"/>
        </w:rPr>
        <w:t xml:space="preserve">Berdasarkan Gambar 8 di atas, dapat dijelaskan bahwa panel sebelah kiri memvisualisasikan distribusi nilai rata-rata bobot perhatian temporal (α_t) yang diberikan oleh lapisan </w:t>
      </w:r>
      <w:r>
        <w:rPr>
          <w:rFonts w:ascii="Times New Roman" w:hAnsi="Times New Roman"/>
          <w:b w:val="0"/>
          <w:i/>
          <w:sz w:val="22"/>
        </w:rPr>
        <w:t>Bahdanau Attention</w:t>
      </w:r>
      <w:r>
        <w:rPr>
          <w:rFonts w:ascii="Times New Roman" w:hAnsi="Times New Roman"/>
          <w:b w:val="0"/>
          <w:i w:val="0"/>
          <w:sz w:val="22"/>
        </w:rPr>
        <w:t xml:space="preserve"> pada masing-masing langkah waktu di dalam jendela pengamatan 20 hari (dari t-20 hingga t-1). Terlihat bahwa jaringan secara adaptif mengalokasikan bobot perhatian tertinggi pada lima hari perdagangan paling mutakhir (t-5 hingga t-1, dengan puncak tertinggi pada α_(t-1) = 0,1485 dan α_(t-2) = 0,1158), sembari tetap mempertahankan bobot non-nol sebesar 0,032 hingga 0,048 pada langkah waktu t-15 hingga t-6 guna menangkap memori siklus mingguan. Selanjutnya, panel sebelah kanan menampilkan histogram distribusi kesalahan residual (y_aktual − y_prediksi) pada data uji, di mana distribusi residual model usulan CNN-BiLSTM-Attention (warna merah) terkonsentrasi secara sempit, tinggi, dan simetris tepat di titik 0,00 USD, berbeda nyata dengan distribusi residual LSTM standar (warna biru) yang melebar lebar hingga ±15 USD. Temuan ini mengonfirmasi keunggulan dan stabilitas arsitektur yang diusulkan dibandingkan studi terdahulu [1], [2], [12], [16], [17], [18], [19], [25].</w:t>
      </w:r>
    </w:p>
    <w:p>
      <w:pPr>
        <w:keepNext/>
        <w:spacing w:before="240" w:after="80"/>
      </w:pPr>
      <w:r>
        <w:rPr>
          <w:rFonts w:ascii="Times New Roman" w:hAnsi="Times New Roman"/>
          <w:b/>
          <w:sz w:val="24"/>
        </w:rPr>
        <w:t>4. KESIMPULAN</w:t>
      </w:r>
    </w:p>
    <w:p>
      <w:pPr>
        <w:spacing w:line="276" w:lineRule="auto" w:after="100"/>
        <w:ind w:firstLine="454"/>
        <w:jc w:val="both"/>
      </w:pPr>
      <w:r>
        <w:rPr>
          <w:rFonts w:ascii="Times New Roman" w:hAnsi="Times New Roman"/>
          <w:b w:val="0"/>
          <w:i w:val="0"/>
          <w:sz w:val="22"/>
        </w:rPr>
        <w:t xml:space="preserve">Penelitian ini berhasil merancang, mengimplementasikan, dan mengevaluasi arsitektur hibrida CNN-BiLSTM dengan mekanisme </w:t>
      </w:r>
      <w:r>
        <w:rPr>
          <w:rFonts w:ascii="Times New Roman" w:hAnsi="Times New Roman"/>
          <w:b w:val="0"/>
          <w:i/>
          <w:sz w:val="22"/>
        </w:rPr>
        <w:t>Temporal Attention</w:t>
      </w:r>
      <w:r>
        <w:rPr>
          <w:rFonts w:ascii="Times New Roman" w:hAnsi="Times New Roman"/>
          <w:b w:val="0"/>
          <w:i w:val="0"/>
          <w:sz w:val="22"/>
        </w:rPr>
        <w:t xml:space="preserve"> berbasis 14 fitur indikator teknikal untuk memprediksi pergerakan harga penutupan harian Solana (SOL-USD). Berdasarkan pengujian eksperimental pada 2.080 observasi harian (2021–2026), diperoleh kesimpulan utama sebagai berikut: (1) sinergi ekstraksi fitur morfologi lokal melalui 1D-CNN, pemodelan konteks dua arah BiLSTM, dan pembobotan selektif Temporal </w:t>
      </w:r>
      <w:r>
        <w:rPr>
          <w:rFonts w:ascii="Times New Roman" w:hAnsi="Times New Roman"/>
          <w:b w:val="0"/>
          <w:i/>
          <w:sz w:val="22"/>
        </w:rPr>
        <w:t>Bahdanau Attention</w:t>
      </w:r>
      <w:r>
        <w:rPr>
          <w:rFonts w:ascii="Times New Roman" w:hAnsi="Times New Roman"/>
          <w:b w:val="0"/>
          <w:i w:val="0"/>
          <w:sz w:val="22"/>
        </w:rPr>
        <w:t xml:space="preserve"> terbukti sangat efektif mengatasi volatilitas ekstrem pasar Solana; (2) model usulan CNN-BiLSTM-Attention mencapai kinerja terbaik pada data uji dengan MAE sebesar 1,54 USD, RMSE sebesar 2,09 USD, MAPE sebesar 1,62% (kategori Sangat Akurat), R² sebesar 0,9912, dan </w:t>
      </w:r>
      <w:r>
        <w:rPr>
          <w:rFonts w:ascii="Times New Roman" w:hAnsi="Times New Roman"/>
          <w:b w:val="0"/>
          <w:i/>
          <w:sz w:val="22"/>
        </w:rPr>
        <w:t>Directional Accuracy</w:t>
      </w:r>
      <w:r>
        <w:rPr>
          <w:rFonts w:ascii="Times New Roman" w:hAnsi="Times New Roman"/>
          <w:b w:val="0"/>
          <w:i w:val="0"/>
          <w:sz w:val="22"/>
        </w:rPr>
        <w:t xml:space="preserve"> sebesar 77,88%, mengungguli model LSTM, GRU, BiLSTM, dan CNN-BiLSTM secara konsisten; serta (3) studi ablasi mengonfirmasi bahwa integrasi sembilan indikator teknikal meningkatkan akurasi arah pergerakan harga sebesar +27,88 poin persentase dibandingkan pemodelan univariat. Untuk pengembangan penelitian selanjutnya, disarankan penggabungan data telemetri </w:t>
      </w:r>
      <w:r>
        <w:rPr>
          <w:rFonts w:ascii="Times New Roman" w:hAnsi="Times New Roman"/>
          <w:b w:val="0"/>
          <w:i/>
          <w:sz w:val="22"/>
        </w:rPr>
        <w:t>on-chain</w:t>
      </w:r>
      <w:r>
        <w:rPr>
          <w:rFonts w:ascii="Times New Roman" w:hAnsi="Times New Roman"/>
          <w:b w:val="0"/>
          <w:i w:val="0"/>
          <w:sz w:val="22"/>
        </w:rPr>
        <w:t xml:space="preserve"> jaringan Solana secara </w:t>
      </w:r>
      <w:r>
        <w:rPr>
          <w:rFonts w:ascii="Times New Roman" w:hAnsi="Times New Roman"/>
          <w:b w:val="0"/>
          <w:i/>
          <w:sz w:val="22"/>
        </w:rPr>
        <w:t>real-time</w:t>
      </w:r>
      <w:r>
        <w:rPr>
          <w:rFonts w:ascii="Times New Roman" w:hAnsi="Times New Roman"/>
          <w:b w:val="0"/>
          <w:i w:val="0"/>
          <w:sz w:val="22"/>
        </w:rPr>
        <w:t xml:space="preserve"> (seperti Total Value Locked DeFi, biaya prioritas transaksi, dan jumlah dompet aktif) serta eksplorasi optimasi hiperparameter berbasis algoritma metaheuristik.</w:t>
      </w:r>
    </w:p>
    <w:p>
      <w:pPr>
        <w:keepNext/>
        <w:spacing w:before="240" w:after="80"/>
      </w:pPr>
      <w:r>
        <w:rPr>
          <w:rFonts w:ascii="Times New Roman" w:hAnsi="Times New Roman"/>
          <w:b/>
          <w:sz w:val="24"/>
        </w:rPr>
        <w:t>5. DAFTAR PUSTAKA</w:t>
      </w:r>
    </w:p>
    <w:p>
      <w:pPr>
        <w:spacing w:line="240" w:lineRule="auto" w:after="70"/>
        <w:ind w:left="482" w:hanging="482"/>
        <w:jc w:val="both"/>
      </w:pPr>
      <w:r>
        <w:rPr>
          <w:rFonts w:ascii="Times New Roman" w:hAnsi="Times New Roman"/>
          <w:sz w:val="19"/>
        </w:rPr>
        <w:t>[1] M. F. Rizkilloh and S. Widiyanesti, "Prediksi Harga Cryptocurrency Menggunakan Algoritma Long Short Term Memory (LSTM)," Jurnal RESTI (Rekayasa Sistem dan Teknologi Informasi), vol. 6, no. 1, pp. 25-31, 2022, doi: https://doi.org/10.29207/resti.v6i1.3630.</w:t>
      </w:r>
    </w:p>
    <w:p>
      <w:pPr>
        <w:spacing w:line="240" w:lineRule="auto" w:after="70"/>
        <w:ind w:left="482" w:hanging="482"/>
        <w:jc w:val="both"/>
      </w:pPr>
      <w:r>
        <w:rPr>
          <w:rFonts w:ascii="Times New Roman" w:hAnsi="Times New Roman"/>
          <w:sz w:val="19"/>
        </w:rPr>
        <w:t>[2] P. L. Seabe, C. R. B. Moutsinga, and E. Pindza, "Forecasting Cryptocurrency Prices Using LSTM, GRU, and Bi-Directional LSTM: A Deep Learning Approach," Fractal and Fractional, vol. 7, no. 2, pp. 203, 2023, doi: https://doi.org/10.3390/fractalfract7020203.</w:t>
      </w:r>
    </w:p>
    <w:p>
      <w:pPr>
        <w:spacing w:line="240" w:lineRule="auto" w:after="70"/>
        <w:ind w:left="482" w:hanging="482"/>
        <w:jc w:val="both"/>
      </w:pPr>
      <w:r>
        <w:rPr>
          <w:rFonts w:ascii="Times New Roman" w:hAnsi="Times New Roman"/>
          <w:sz w:val="19"/>
        </w:rPr>
        <w:t>[3] D. P. Mishra, S. R. Behera, S. S. Behera, A. R. Patro, and S. R. Salkuti, "Solana blockchain technology: a review," International Journal of Informatics and Communication Technology (IJ-ICT), vol. 13, no. 2, pp. 197-205, 2024, doi: https://doi.org/10.11591/ijict.v13i2.pp197-205.</w:t>
      </w:r>
    </w:p>
    <w:p>
      <w:pPr>
        <w:spacing w:line="240" w:lineRule="auto" w:after="70"/>
        <w:ind w:left="482" w:hanging="482"/>
        <w:jc w:val="both"/>
      </w:pPr>
      <w:r>
        <w:rPr>
          <w:rFonts w:ascii="Times New Roman" w:hAnsi="Times New Roman"/>
          <w:sz w:val="19"/>
        </w:rPr>
        <w:t>[4] M. Wijaya, F. Melvyn, R. Setiawan, and R. Y. Rumagit, "Ethereum vs Solana: A Comparative Study of Blockchain Architecture on Performance, Security, and Ecosystem Development," Procedia Computer Science, vol. 269, no. 1, pp. 200-217, 2025, doi: https://doi.org/10.1016/j.procs.2025.08.273.</w:t>
      </w:r>
    </w:p>
    <w:p>
      <w:pPr>
        <w:spacing w:line="240" w:lineRule="auto" w:after="70"/>
        <w:ind w:left="482" w:hanging="482"/>
        <w:jc w:val="both"/>
      </w:pPr>
      <w:r>
        <w:rPr>
          <w:rFonts w:ascii="Times New Roman" w:hAnsi="Times New Roman"/>
          <w:sz w:val="19"/>
        </w:rPr>
        <w:t>[5] X. Zheng, Z. Wan, D. Lo, D. Xie, and X. Yang, "Why Does My Transaction Fail? A First Look at Failed Transactions on the Solana Blockchain," Proceedings of the ACM on Software Engineering, vol. 2, no. ISSTA, pp. 1489-1512, 2025, doi: https://doi.org/10.1145/3728943.</w:t>
      </w:r>
    </w:p>
    <w:p>
      <w:pPr>
        <w:spacing w:line="240" w:lineRule="auto" w:after="70"/>
        <w:ind w:left="482" w:hanging="482"/>
        <w:jc w:val="both"/>
      </w:pPr>
      <w:r>
        <w:rPr>
          <w:rFonts w:ascii="Times New Roman" w:hAnsi="Times New Roman"/>
          <w:sz w:val="19"/>
        </w:rPr>
        <w:t>[6] A. D. Yusandika, A. H. Bhuiyan, and P. S. Laskar, "Onchain Analysis: A Comparative Study of Decentralized Exchange (DEX) Activities on Ethereum, Solana, and Binance Smart Chain (BSC)," Blockchain, Artificial Intelligence, and Future Research, vol. 1, no. 1, pp. 23-34, 2025, doi: https://doi.org/10.70211/bafr.v1i1.175.</w:t>
      </w:r>
    </w:p>
    <w:p>
      <w:pPr>
        <w:spacing w:line="240" w:lineRule="auto" w:after="70"/>
        <w:ind w:left="482" w:hanging="482"/>
        <w:jc w:val="both"/>
      </w:pPr>
      <w:r>
        <w:rPr>
          <w:rFonts w:ascii="Times New Roman" w:hAnsi="Times New Roman"/>
          <w:sz w:val="19"/>
        </w:rPr>
        <w:t>[7] A. D. Nugraha and I. M. Suartana, "Implementasi State Compression dengan NFT (Non-Fungible Token) Pack pada Blockchain Solana untuk Penjualan &amp; Pembelian Paket NFT dalam Game berbasis Web3," Journal of Informatics and Computer Science (JINACS), vol. 5, no. 4, pp. 584-593, 2024, doi: https://doi.org/10.26740/jinacs.v5n04.p584-593.</w:t>
      </w:r>
    </w:p>
    <w:p>
      <w:pPr>
        <w:spacing w:line="240" w:lineRule="auto" w:after="70"/>
        <w:ind w:left="482" w:hanging="482"/>
        <w:jc w:val="both"/>
      </w:pPr>
      <w:r>
        <w:rPr>
          <w:rFonts w:ascii="Times New Roman" w:hAnsi="Times New Roman"/>
          <w:sz w:val="19"/>
        </w:rPr>
        <w:t>[8] A. R. Yadulla, "Volatility Comparison of Dogecoin and Solana Using Historical Price Data Analysis for Enhanced Investment Strategies," Journal of Current Research in Blockchain, vol. 1, no. 2, pp. 91-111, 2024, doi: https://doi.org/10.47738/jcrb.v1i2.13.</w:t>
      </w:r>
    </w:p>
    <w:p>
      <w:pPr>
        <w:spacing w:line="240" w:lineRule="auto" w:after="70"/>
        <w:ind w:left="482" w:hanging="482"/>
        <w:jc w:val="both"/>
      </w:pPr>
      <w:r>
        <w:rPr>
          <w:rFonts w:ascii="Times New Roman" w:hAnsi="Times New Roman"/>
          <w:sz w:val="19"/>
        </w:rPr>
        <w:t>[9] M. Alkhoze, "Volatility and Risk Assessment of Blockchain Cryptocurrencies Using GARCH Modeling: An Analytical Study on Dogecoin, Polygon, and Solana," Journal of Digital Market and Digital Currency, vol. 2, no. 4, pp. 368-389, 2025, doi: https://doi.org/10.47738/jdmdc.v2i4.44.</w:t>
      </w:r>
    </w:p>
    <w:p>
      <w:pPr>
        <w:spacing w:line="240" w:lineRule="auto" w:after="70"/>
        <w:ind w:left="482" w:hanging="482"/>
        <w:jc w:val="both"/>
      </w:pPr>
      <w:r>
        <w:rPr>
          <w:rFonts w:ascii="Times New Roman" w:hAnsi="Times New Roman"/>
          <w:sz w:val="19"/>
        </w:rPr>
        <w:t>[10] J. Qiu, "A Hybrid Data Decomposition and Deep Learning Approach for Solana Price Prediction Incorporating Market Factors," Advances in Economics, Management and Political Sciences, vol. 162, no. 1, pp. 6-14, 2025, doi: https://doi.org/10.54254/2754-1169/2025.20062.</w:t>
      </w:r>
    </w:p>
    <w:p>
      <w:pPr>
        <w:spacing w:line="240" w:lineRule="auto" w:after="70"/>
        <w:ind w:left="482" w:hanging="482"/>
        <w:jc w:val="both"/>
      </w:pPr>
      <w:r>
        <w:rPr>
          <w:rFonts w:ascii="Times New Roman" w:hAnsi="Times New Roman"/>
          <w:sz w:val="19"/>
        </w:rPr>
        <w:t>[11] M. J. Hamayel and A. Y. Owda, "A Novel Cryptocurrency Price Prediction Model Using GRU, LSTM and bi-LSTM Machine Learning Algorithms," AI, vol. 2, no. 4, pp. 477-496, 2021, doi: https://doi.org/10.3390/ai2040030.</w:t>
      </w:r>
    </w:p>
    <w:p>
      <w:pPr>
        <w:spacing w:line="240" w:lineRule="auto" w:after="70"/>
        <w:ind w:left="482" w:hanging="482"/>
        <w:jc w:val="both"/>
      </w:pPr>
      <w:r>
        <w:rPr>
          <w:rFonts w:ascii="Times New Roman" w:hAnsi="Times New Roman"/>
          <w:sz w:val="19"/>
        </w:rPr>
        <w:t>[12] I. P. B. Priadinata, I. G. I. Sudipa, N. P. S. Meinarni, I. M. L. Radhitya, and I. K. D. G. Supartha, "Comparative Analysis of LSTM, GRU, and Bi-LSTM Deep Learning Models for Time Series Cryptocurrency Price Forecasting," SinkrOn: Jurnal dan Penelitian Teknik Informatika, vol. 9, no. 3, pp. 1024-1035, 2025, doi: https://doi.org/10.33395/sinkron.v9i3.14795.</w:t>
      </w:r>
    </w:p>
    <w:p>
      <w:pPr>
        <w:spacing w:line="240" w:lineRule="auto" w:after="70"/>
        <w:ind w:left="482" w:hanging="482"/>
        <w:jc w:val="both"/>
      </w:pPr>
      <w:r>
        <w:rPr>
          <w:rFonts w:ascii="Times New Roman" w:hAnsi="Times New Roman"/>
          <w:sz w:val="19"/>
        </w:rPr>
        <w:t>[13] A. Yanimaharta and H. A. Santoso, "Performance Evaluation of Deep Learning Models for Cryptocurrency Price Prediction using LSTM, GRU, and Bi-LSTM," Building of Informatics, Technology and Science (BITS), vol. 7, no. 1, pp. 242-251, 2025, doi: https://doi.org/10.47065/bits.v7i1.7353.</w:t>
      </w:r>
    </w:p>
    <w:p>
      <w:pPr>
        <w:spacing w:line="240" w:lineRule="auto" w:after="70"/>
        <w:ind w:left="482" w:hanging="482"/>
        <w:jc w:val="both"/>
      </w:pPr>
      <w:r>
        <w:rPr>
          <w:rFonts w:ascii="Times New Roman" w:hAnsi="Times New Roman"/>
          <w:sz w:val="19"/>
        </w:rPr>
        <w:t>[14] R. S. Andromeda and N. A. S. Winarsih, "Performance Comparison of LSTM and GRU Methods in Predicting Cryptocurrency Closing Prices," SISTEMASI: Jurnal Sistem Informasi, vol. 14, no. 1, pp. 366-375, 2025, doi: https://doi.org/10.32520/stmsi.v14i1.4880.</w:t>
      </w:r>
    </w:p>
    <w:p>
      <w:pPr>
        <w:spacing w:line="240" w:lineRule="auto" w:after="70"/>
        <w:ind w:left="482" w:hanging="482"/>
        <w:jc w:val="both"/>
      </w:pPr>
      <w:r>
        <w:rPr>
          <w:rFonts w:ascii="Times New Roman" w:hAnsi="Times New Roman"/>
          <w:sz w:val="19"/>
        </w:rPr>
        <w:t>[15] B. Rahmat, I. Y. Purbasari, N. K. Sari, Widiwurjani, B. Nugroho, and H. Widyantara, "Indonesia's Open Unemployment Rate Prediction System Using Deep Learning," 2022 IEEE 8th Information Technology International Seminar (ITIS), pp. 7-10, 2022, doi: https://doi.org/10.1109/itis57155.2022.10010310.</w:t>
      </w:r>
    </w:p>
    <w:p>
      <w:pPr>
        <w:spacing w:line="240" w:lineRule="auto" w:after="70"/>
        <w:ind w:left="482" w:hanging="482"/>
        <w:jc w:val="both"/>
      </w:pPr>
      <w:r>
        <w:rPr>
          <w:rFonts w:ascii="Times New Roman" w:hAnsi="Times New Roman"/>
          <w:sz w:val="19"/>
        </w:rPr>
        <w:t>[16] D. Aldo, D. F. P. Hebrasianto, D. A. Prabowo, M. Ilmi, and Y. G. Nengsih, "Evaluation of Deep Learning-Based Long Short-Term Memory Architecture Variants for Solana Cryptocurrency Price Prediction (SOL/USD)," 2025 IEEE 11th Information Technology International Seminar (ITIS), pp. 207-213, 2025, doi: https://doi.org/10.1109/itis67966.2025.11309119.</w:t>
      </w:r>
    </w:p>
    <w:p>
      <w:pPr>
        <w:spacing w:line="240" w:lineRule="auto" w:after="70"/>
        <w:ind w:left="482" w:hanging="482"/>
        <w:jc w:val="both"/>
      </w:pPr>
      <w:r>
        <w:rPr>
          <w:rFonts w:ascii="Times New Roman" w:hAnsi="Times New Roman"/>
          <w:sz w:val="19"/>
        </w:rPr>
        <w:t>[17] J. S. Pane, F. Indriani, D. T. Nugrahadi, R. Herteno, and M. R. Faisal, "Stacked Ensemble Learning Using Lag and EMA Features for Improved Solana Price Prediction," 2025 15th International Conference on Information &amp; Communication Technology and System (ICTS), pp. 1-6, 2025, doi: https://doi.org/10.1109/icts67612.2025.11369577.</w:t>
      </w:r>
    </w:p>
    <w:p>
      <w:pPr>
        <w:spacing w:line="240" w:lineRule="auto" w:after="70"/>
        <w:ind w:left="482" w:hanging="482"/>
        <w:jc w:val="both"/>
      </w:pPr>
      <w:r>
        <w:rPr>
          <w:rFonts w:ascii="Times New Roman" w:hAnsi="Times New Roman"/>
          <w:sz w:val="19"/>
        </w:rPr>
        <w:t>[18] C. Herdian, "An LSTM-Based Framework For Short-Term Solana Price Prediction," Jurnal Sosial Teknologi (SOSTECH), vol. 6, no. 2, pp. 717-728, 2026, doi: https://doi.org/10.59188/jurnalsostech.v6i2.32715.</w:t>
      </w:r>
    </w:p>
    <w:p>
      <w:pPr>
        <w:spacing w:line="240" w:lineRule="auto" w:after="70"/>
        <w:ind w:left="482" w:hanging="482"/>
        <w:jc w:val="both"/>
      </w:pPr>
      <w:r>
        <w:rPr>
          <w:rFonts w:ascii="Times New Roman" w:hAnsi="Times New Roman"/>
          <w:sz w:val="19"/>
        </w:rPr>
        <w:t>[19] Arya, Y. I. Mukti, A. Arif, and S. C. Setya, "Prediksi Cryptocurrency Berbasis LSTM Menggunakan Multi Modal Indikator Trading (Studi: Ethereum dan Solana)," BETRIK: Jurnal Ilmiah Komputasi dan Teknologi Informasi, vol. 17, no. 1, pp. 111-121, 2026, doi: https://doi.org/10.36050/83kqq228.</w:t>
      </w:r>
    </w:p>
    <w:p>
      <w:pPr>
        <w:spacing w:line="240" w:lineRule="auto" w:after="70"/>
        <w:ind w:left="482" w:hanging="482"/>
        <w:jc w:val="both"/>
      </w:pPr>
      <w:r>
        <w:rPr>
          <w:rFonts w:ascii="Times New Roman" w:hAnsi="Times New Roman"/>
          <w:sz w:val="19"/>
        </w:rPr>
        <w:t>[20] A. Prasetyo, M. F. Asnawi, and D. P. Utomo, "Implementasi Algoritma Long Short-Term Memory (LSTM) untuk Prediksi Harga Cryptocurrency Solana (SOL) Berbasis Data Near Real-Time Menggunakan Yahoo Finance API," Jurnal Teknologi dan Sains Modern, vol. 3, no. 5, pp. 364-375, 2026, doi: https://doi.org/10.69930/jtsm.v3i5.874.</w:t>
      </w:r>
    </w:p>
    <w:p>
      <w:pPr>
        <w:spacing w:line="240" w:lineRule="auto" w:after="70"/>
        <w:ind w:left="482" w:hanging="482"/>
        <w:jc w:val="both"/>
      </w:pPr>
      <w:r>
        <w:rPr>
          <w:rFonts w:ascii="Times New Roman" w:hAnsi="Times New Roman"/>
          <w:sz w:val="19"/>
        </w:rPr>
        <w:t>[21] M. H. Hasbullah and G. Ghufron, "Implementasi Arsitektur Temporal Fusion Transformer (TFT) Berbasis Interpretable Multi-Horizon Forecasting Prediksi Volatilitas Harga Aset Kripto Solana," Populer: Jurnal Penelitian Mahasiswa, vol. 5, no. 3, pp. 183-194, 2026, doi: https://doi.org/10.58192/populer.v5i3.5520.</w:t>
      </w:r>
    </w:p>
    <w:p>
      <w:pPr>
        <w:spacing w:line="240" w:lineRule="auto" w:after="70"/>
        <w:ind w:left="482" w:hanging="482"/>
        <w:jc w:val="both"/>
      </w:pPr>
      <w:r>
        <w:rPr>
          <w:rFonts w:ascii="Times New Roman" w:hAnsi="Times New Roman"/>
          <w:sz w:val="19"/>
        </w:rPr>
        <w:t>[22] C. Suyanto, P. H. Gunawan, and Indwiarti, "Cryptocurrency asset price prediction using deep learning with the influence of technical indicators," IET Conference Proceedings, vol. 2025, no. 59, pp. 522-527, 2026, doi: https://doi.org/10.1049/icp.2026.2115.</w:t>
      </w:r>
    </w:p>
    <w:p>
      <w:pPr>
        <w:spacing w:line="240" w:lineRule="auto" w:after="70"/>
        <w:ind w:left="482" w:hanging="482"/>
        <w:jc w:val="both"/>
      </w:pPr>
      <w:r>
        <w:rPr>
          <w:rFonts w:ascii="Times New Roman" w:hAnsi="Times New Roman"/>
          <w:sz w:val="19"/>
        </w:rPr>
        <w:t>[23] S. W. Aji and W. Herowati, "Comparison of LSTM, GRU, Bi-LSTM, and XGBoost for BRIS Stock Price Prediction with Lookback Period Variations," Journal of Applied Informatics and Computing (JAIC), vol. 10, no. 4, pp. 3826-3836, 2026, doi: https://doi.org/10.30871/jaic.v10i4.13412.</w:t>
      </w:r>
    </w:p>
    <w:p>
      <w:pPr>
        <w:spacing w:line="240" w:lineRule="auto" w:after="70"/>
        <w:ind w:left="482" w:hanging="482"/>
        <w:jc w:val="both"/>
      </w:pPr>
      <w:r>
        <w:rPr>
          <w:rFonts w:ascii="Times New Roman" w:hAnsi="Times New Roman"/>
          <w:sz w:val="19"/>
        </w:rPr>
        <w:t>[24] G. R. Malik, R. Parlika, and K. Kartini, "Pemodelan Dataset On-chain pada BiLSTM untuk Prediksi Harga Bitcoin," JURNAL FASILKOM, vol. 16, no. 1, pp. 113-119, 2026, doi: https://doi.org/10.37859/jf.v16i1.11275.</w:t>
      </w:r>
    </w:p>
    <w:p>
      <w:pPr>
        <w:spacing w:line="240" w:lineRule="auto" w:after="70"/>
        <w:ind w:left="482" w:hanging="482"/>
        <w:jc w:val="both"/>
      </w:pPr>
      <w:r>
        <w:rPr>
          <w:rFonts w:ascii="Times New Roman" w:hAnsi="Times New Roman"/>
          <w:sz w:val="19"/>
        </w:rPr>
        <w:t>[25] H. D. Diash, V. Nathania, M. Idhom, and T. Trimono, "Application of CNN-BiLSTM Algorithm for Ethereum Price Prediction," Journal of Applied Informatics and Computing (JAIC), vol. 9, no. 4, pp. 1709-1714, 2025, doi: https://doi.org/10.30871/jaic.v9i4.9757.</w:t>
      </w:r>
    </w:p>
    <w:p>
      <w:pPr>
        <w:spacing w:line="240" w:lineRule="auto" w:after="70"/>
        <w:ind w:left="482" w:hanging="482"/>
        <w:jc w:val="both"/>
      </w:pPr>
      <w:r>
        <w:rPr>
          <w:rFonts w:ascii="Times New Roman" w:hAnsi="Times New Roman"/>
          <w:sz w:val="19"/>
        </w:rPr>
        <w:t>[26] M. Mushliha, "Implementasi CNN-BiLSTM untuk Prediksi Harga Saham Bank Syariah di Indonesia," Jambura Journal of Mathematics, vol. 6, no. 2, pp. 195-203, 2024, doi: https://doi.org/10.37905/jjom.v6i2.26509.</w:t>
      </w:r>
    </w:p>
    <w:p>
      <w:pPr>
        <w:spacing w:line="240" w:lineRule="auto" w:after="70"/>
        <w:ind w:left="482" w:hanging="482"/>
        <w:jc w:val="both"/>
      </w:pPr>
      <w:r>
        <w:rPr>
          <w:rFonts w:ascii="Times New Roman" w:hAnsi="Times New Roman"/>
          <w:sz w:val="19"/>
        </w:rPr>
        <w:t>[27] R. Durga and V. N. Sailaja, "Cryptocurrency Price Prediction and Investment Decision Support Using a Transfer Learning-Based Hybrid CNN-BiLSTM-Attention Deep Learning Framework," Management (Montevideo), vol. 3, no. 1, pp. 318, 2025, doi: https://doi.org/10.62486/agma2025318.</w:t>
      </w:r>
    </w:p>
    <w:p>
      <w:pPr>
        <w:spacing w:line="240" w:lineRule="auto" w:after="70"/>
        <w:ind w:left="482" w:hanging="482"/>
        <w:jc w:val="both"/>
      </w:pPr>
      <w:r>
        <w:rPr>
          <w:rFonts w:ascii="Times New Roman" w:hAnsi="Times New Roman"/>
          <w:sz w:val="19"/>
        </w:rPr>
        <w:t>[28] H. C. Bhanujyothi and I. J. Jacob, "An Efficient Hybrid Model for Stock Market Price Prediction Using CNN-BiLSTM with Attention Mechanism and Sentimental Analysis," Engineering, Technology &amp; Applied Science Research (ETASR), vol. 15, no. 4, pp. 25565-25571, 2025, doi: https://doi.org/10.48084/etasr.11886.</w:t>
      </w:r>
    </w:p>
    <w:p>
      <w:pPr>
        <w:spacing w:line="240" w:lineRule="auto" w:after="70"/>
        <w:ind w:left="482" w:hanging="482"/>
        <w:jc w:val="both"/>
      </w:pPr>
      <w:r>
        <w:rPr>
          <w:rFonts w:ascii="Times New Roman" w:hAnsi="Times New Roman"/>
          <w:sz w:val="19"/>
        </w:rPr>
        <w:t>[29] R. N. Fitrianingsih and I. Kharisudin, "Time Series Modeling of Stock Price Using CNN-BiLSTM with Attention Mechanism," Unnes Journal of Mathematics, vol. 13, no. 1, pp. 11-20, 2025, doi: https://doi.org/10.15294/ujm.v13i1.13451.</w:t>
      </w:r>
    </w:p>
    <w:p>
      <w:pPr>
        <w:spacing w:line="240" w:lineRule="auto" w:after="70"/>
        <w:ind w:left="482" w:hanging="482"/>
        <w:jc w:val="both"/>
      </w:pPr>
      <w:r>
        <w:rPr>
          <w:rFonts w:ascii="Times New Roman" w:hAnsi="Times New Roman"/>
          <w:sz w:val="19"/>
        </w:rPr>
        <w:t>[30] P. L. Seabe, C. R. B. Moutsinga, and E. Pindza, "Sentiment-driven cryptocurrency forecasting: analyzing LSTM, GRU, Bi-LSTM, and temporal attention model (TAM)," Social Network Analysis and Mining, vol. 15, no. 1, pp. 1-19, 2025, doi: https://doi.org/10.1007/s13278-025-01463-6.</w:t>
      </w:r>
    </w:p>
    <w:p>
      <w:pPr>
        <w:spacing w:line="240" w:lineRule="auto" w:after="70"/>
        <w:ind w:left="482" w:hanging="482"/>
        <w:jc w:val="both"/>
      </w:pPr>
      <w:r>
        <w:rPr>
          <w:rFonts w:ascii="Times New Roman" w:hAnsi="Times New Roman"/>
          <w:sz w:val="19"/>
        </w:rPr>
        <w:t>[31] M. S. Munir, M. M. Huda, and T. Prabowo, "Prediksi Harga Bitcoin Menggunakan Algoritma Long Short-Term Memory," JIPI (Jurnal Ilmiah Penelitian dan Pembelajaran Informatika), vol. 10, no. 3, pp. 2255-2264, 2025, doi: https://doi.org/10.29100/jipi.v10i3.7937.</w:t>
      </w:r>
    </w:p>
    <w:p>
      <w:pPr>
        <w:spacing w:line="240" w:lineRule="auto" w:after="70"/>
        <w:ind w:left="482" w:hanging="482"/>
        <w:jc w:val="both"/>
      </w:pPr>
      <w:r>
        <w:rPr>
          <w:rFonts w:ascii="Times New Roman" w:hAnsi="Times New Roman"/>
          <w:sz w:val="19"/>
        </w:rPr>
        <w:t>[32] D. Aldo, M. R. Firmansyah, and M. A. Amrustian, "Comparative Analysis of Hyperparameter Optimization Methods for LSTM in Cryptocurrency Price Prediction: An Application to TRX–USD," Jurnal Teknik Informatika (JUTIF), vol. 7, no. 3, pp. 2340-2349, 2026, doi: https://doi.org/10.52436/1.jutif.2026.7.3.5355.</w:t>
      </w:r>
    </w:p>
    <w:p>
      <w:pPr>
        <w:spacing w:line="240" w:lineRule="auto" w:after="70"/>
        <w:ind w:left="482" w:hanging="482"/>
        <w:jc w:val="both"/>
      </w:pPr>
      <w:r>
        <w:rPr>
          <w:rFonts w:ascii="Times New Roman" w:hAnsi="Times New Roman"/>
          <w:sz w:val="19"/>
        </w:rPr>
        <w:t>[33] M. A. Fadillah, F. N. Allianzah, A. Maulana, A. Gunawan, and F. D. Wihartiko, "Analisis pengaruh sentimen terhadap akurasi prediksi harga close market cryptocurrency menggunakan Deep Learning berbasis GRU," AITI: Jurnal Teknologi Informasi, vol. 23, no. 3, pp. 496-510, 2026, doi: https://doi.org/10.24246/aiti.v23i3.496-510.</w:t>
      </w:r>
    </w:p>
    <w:p>
      <w:pPr>
        <w:spacing w:line="240" w:lineRule="auto" w:after="70"/>
        <w:ind w:left="482" w:hanging="482"/>
        <w:jc w:val="both"/>
      </w:pPr>
      <w:r>
        <w:rPr>
          <w:rFonts w:ascii="Times New Roman" w:hAnsi="Times New Roman"/>
          <w:sz w:val="19"/>
        </w:rPr>
        <w:t>[34] A. Alamsyah, "Model Prediksi Harga Bitcoin Menggunakan Algoritma SBI-GRU dan SBI-LSTM," STRING (Satuan Tulisan Riset dan Inovasi Teknologi), vol. 10, no. 3, pp. 290-300, 2026, doi: https://doi.org/10.30998/string.v10i3.1575.</w:t>
      </w:r>
    </w:p>
    <w:p>
      <w:pPr>
        <w:spacing w:line="240" w:lineRule="auto" w:after="70"/>
        <w:ind w:left="482" w:hanging="482"/>
        <w:jc w:val="both"/>
      </w:pPr>
      <w:r>
        <w:rPr>
          <w:rFonts w:ascii="Times New Roman" w:hAnsi="Times New Roman"/>
          <w:sz w:val="19"/>
        </w:rPr>
        <w:t>[35] A. Susanto, G. K. Nufus, and L. Hardiyanti, "Perbandingan Model LSTM GRU BiLSTM CNN-LSTM dan Transformer untuk Prediksi Indeks Harga Saham Gabungan (IHSG)," Jurnal Informatika Teknologi dan Sains (JINTEKS), vol. 7, no. 4, pp. 2277-2286, 2026, doi: https://doi.org/10.51401/jinteks.v7i4.8071.</w:t>
      </w:r>
    </w:p>
    <w:p>
      <w:pPr>
        <w:spacing w:line="240" w:lineRule="auto" w:after="70"/>
        <w:ind w:left="482" w:hanging="482"/>
        <w:jc w:val="both"/>
      </w:pPr>
      <w:r>
        <w:rPr>
          <w:rFonts w:ascii="Times New Roman" w:hAnsi="Times New Roman"/>
          <w:sz w:val="19"/>
        </w:rPr>
        <w:t>[36] D. N. Sabrina, B. Rahmat, and E. Y. Puspaningrum, "Penerapan XGBoost dan Random Forest dalam Prediksi Strategi Pemasaran Berdasarkan Data Penjualan," CICES (Cyberpreneurship Innovative and Creative Exact and Social Science), vol. 12, no. 2, pp. 217-225, 2026, doi: https://doi.org/10.33050/cices.v12i2.3872.</w:t>
      </w:r>
    </w:p>
    <w:p>
      <w:pPr>
        <w:spacing w:line="240" w:lineRule="auto" w:after="70"/>
        <w:ind w:left="482" w:hanging="482"/>
        <w:jc w:val="both"/>
      </w:pPr>
      <w:r>
        <w:rPr>
          <w:rFonts w:ascii="Times New Roman" w:hAnsi="Times New Roman"/>
          <w:sz w:val="19"/>
        </w:rPr>
        <w:t>[37] R. Bourday, A. Zaaouat, I. Aattouchi, and M. A. Kerroum, "Explainable hybrid deep learning framework for cryptocurrency price forecasting using CNN-BiLSTM-TCN and SHAP analysis," Results in Engineering, vol. 29, pp. 109865, 2026, doi: https://doi.org/10.1016/j.rineng.2026.109865.</w:t>
      </w:r>
    </w:p>
    <w:p>
      <w:pPr>
        <w:spacing w:line="240" w:lineRule="auto" w:after="70"/>
        <w:ind w:left="482" w:hanging="482"/>
        <w:jc w:val="both"/>
      </w:pPr>
      <w:r>
        <w:rPr>
          <w:rFonts w:ascii="Times New Roman" w:hAnsi="Times New Roman"/>
          <w:sz w:val="19"/>
        </w:rPr>
        <w:t>[38] H. C. Bhanujyothi and I. J. Jacob, "A Hybrid CNN-LSTM Attention-Based Deep Learning Model for Stock Price Prediction Using Technical Indicators," Engineering, Technology &amp; Applied Science Research (ETASR), vol. 15, no. 5, pp. 28012-28017, 2025, doi: https://doi.org/10.48084/etasr.12685.</w:t>
      </w:r>
    </w:p>
    <w:p>
      <w:pPr>
        <w:spacing w:line="240" w:lineRule="auto" w:after="70"/>
        <w:ind w:left="482" w:hanging="482"/>
        <w:jc w:val="both"/>
      </w:pPr>
      <w:r>
        <w:rPr>
          <w:rFonts w:ascii="Times New Roman" w:hAnsi="Times New Roman"/>
          <w:sz w:val="19"/>
        </w:rPr>
        <w:t>[39] M. Golabzaei, E. Taheripour, and S. J. Sadjadi, "Enhancing stock market price prediction through FinGPT-driven sentiment analysis, technical indicators, historical price data, and attention-based hybrid deep learning models," Scientific Reports, vol. 16, no. 1, pp. 1-18, 2026, doi: https://doi.org/10.1038/s41598-026-58717-2.</w:t>
      </w:r>
    </w:p>
    <w:p>
      <w:pPr>
        <w:spacing w:line="240" w:lineRule="auto" w:after="70"/>
        <w:ind w:left="482" w:hanging="482"/>
        <w:jc w:val="both"/>
      </w:pPr>
      <w:r>
        <w:rPr>
          <w:rFonts w:ascii="Times New Roman" w:hAnsi="Times New Roman"/>
          <w:sz w:val="19"/>
        </w:rPr>
        <w:t>[40] N. Afrianto, D. H. Fudholi, and S. Rani, "Prediksi Harga Saham Menggunakan BiLSTM dengan Faktor Sentimen Publik," Jurnal RESTI (Rekayasa Sistem dan Teknologi Informasi), vol. 6, no. 1, pp. 41-46, 2022, doi: https://doi.org/10.29207/resti.v6i1.3676.</w:t>
      </w:r>
    </w:p>
    <w:p>
      <w:pPr>
        <w:spacing w:line="240" w:lineRule="auto" w:after="70"/>
        <w:ind w:left="482" w:hanging="482"/>
        <w:jc w:val="both"/>
      </w:pPr>
      <w:r>
        <w:rPr>
          <w:rFonts w:ascii="Times New Roman" w:hAnsi="Times New Roman"/>
          <w:sz w:val="19"/>
        </w:rPr>
        <w:t>[41] M. Tshamaroh, I. Permana, F. N. Salisah, F. Muttakin, and M. Afdal, "Perbandingan Algoritma LSTM, Bi-LSTM, GRU, dan Bi-GRU untuk Prediksi Harga Saham Berbasis Deep Learning," Building of Informatics, Technology and Science (BITS), vol. 7, no. 1, pp. 191-200, 2025, doi: https://doi.org/10.47065/bits.v7i1.7252.</w:t>
      </w:r>
    </w:p>
    <w:p>
      <w:pPr>
        <w:spacing w:line="240" w:lineRule="auto" w:after="70"/>
        <w:ind w:left="482" w:hanging="482"/>
        <w:jc w:val="both"/>
      </w:pPr>
      <w:r>
        <w:rPr>
          <w:rFonts w:ascii="Times New Roman" w:hAnsi="Times New Roman"/>
          <w:sz w:val="19"/>
        </w:rPr>
        <w:t>[42] M. Diqi and H. Hamzah, "Improving Stock Price Prediction Accuracy with StacBi LSTM," JISKA (Jurnal Informatika Sunan Kalijaga), vol. 9, no. 1, pp. 10-26, 2024, doi: https://doi.org/10.14421/jiska.2024.9.1.10-26.</w:t>
      </w:r>
    </w:p>
    <w:p>
      <w:pPr>
        <w:spacing w:line="240" w:lineRule="auto" w:after="70"/>
        <w:ind w:left="482" w:hanging="482"/>
        <w:jc w:val="both"/>
      </w:pPr>
      <w:r>
        <w:rPr>
          <w:rFonts w:ascii="Times New Roman" w:hAnsi="Times New Roman"/>
          <w:sz w:val="19"/>
        </w:rPr>
        <w:t>[43] F. P. Simamora, R. Purba, and M. F. Pasha, "Optimisasi Hyperparameter BiLSTM Menggunakan Bayesian Optimization untuk Prediksi Harga Saham," Jambura Journal of Mathematics, vol. 7, no. 1, pp. 8-13, 2025, doi: https://doi.org/10.37905/jjom.v7i1.27166.</w:t>
      </w:r>
    </w:p>
    <w:p>
      <w:pPr>
        <w:spacing w:line="240" w:lineRule="auto" w:after="70"/>
        <w:ind w:left="482" w:hanging="482"/>
        <w:jc w:val="both"/>
      </w:pPr>
      <w:r>
        <w:rPr>
          <w:rFonts w:ascii="Times New Roman" w:hAnsi="Times New Roman"/>
          <w:sz w:val="19"/>
        </w:rPr>
        <w:t>[44] G. Pavani, K. S. Vyshnavi, M. Samhitha, and T. Anjali, "Cryptocurrency Price Prediction using LSTM with Self Attention," 2024 3rd International Conference on Sentiment Analysis and Deep Learning (ICSADL), pp. 306-311, 2024, doi: https://doi.org/10.1109/icsadl61749.2024.00056.</w:t>
      </w:r>
    </w:p>
    <w:p>
      <w:pPr>
        <w:spacing w:line="240" w:lineRule="auto" w:after="70"/>
        <w:ind w:left="482" w:hanging="482"/>
        <w:jc w:val="both"/>
      </w:pPr>
      <w:r>
        <w:rPr>
          <w:rFonts w:ascii="Times New Roman" w:hAnsi="Times New Roman"/>
          <w:sz w:val="19"/>
        </w:rPr>
        <w:t>[45] G. J. Saqware and B. Ismail, "Hybrid Deep Learning Model Integrating Attention Mechanism for the Accurate Prediction and Forecasting of the Cryptocurrency Market," Operations Research Forum, vol. 5, no. 1, pp. 1-22, 2024, doi: https://doi.org/10.1007/s43069-024-00302-2.</w:t>
      </w:r>
    </w:p>
    <w:p>
      <w:pPr>
        <w:spacing w:line="240" w:lineRule="auto" w:after="70"/>
        <w:ind w:left="482" w:hanging="482"/>
        <w:jc w:val="both"/>
      </w:pPr>
      <w:r>
        <w:rPr>
          <w:rFonts w:ascii="Times New Roman" w:hAnsi="Times New Roman"/>
          <w:sz w:val="19"/>
        </w:rPr>
        <w:t>[46] Y. Wu, "Research on Commodity Futures Price Fluctuation Prediction Based on CNN-BiLSTM-Attention," Applied and Computational Engineering, vol. 189, no. 1, pp. 62-82, 2025, doi: https://doi.org/10.54254/2755-2721/2026.30497.</w:t>
      </w:r>
    </w:p>
    <w:p>
      <w:pPr>
        <w:spacing w:line="240" w:lineRule="auto" w:after="70"/>
        <w:ind w:left="482" w:hanging="482"/>
        <w:jc w:val="both"/>
      </w:pPr>
      <w:r>
        <w:rPr>
          <w:rFonts w:ascii="Times New Roman" w:hAnsi="Times New Roman"/>
          <w:sz w:val="19"/>
        </w:rPr>
        <w:t>[47] C. Li and W. Hua, "CNN-BiLSTM-Attention Based Stock Price Prediction and Quantitative Investment Strategy," Frontiers in Business, Economics and Management, vol. 16, no. 3, pp. 76-84, 2024, doi: https://doi.org/10.54097/jxs44k42.</w:t>
      </w:r>
    </w:p>
    <w:p>
      <w:pPr>
        <w:spacing w:line="240" w:lineRule="auto" w:after="70"/>
        <w:ind w:left="482" w:hanging="482"/>
        <w:jc w:val="both"/>
      </w:pPr>
      <w:r>
        <w:rPr>
          <w:rFonts w:ascii="Times New Roman" w:hAnsi="Times New Roman"/>
          <w:sz w:val="19"/>
        </w:rPr>
        <w:t>[48] A. S. Girsang and Stanley, "Hybrid LSTM and GRU for Cryptocurrency Price Forecasting Based on Social Network Sentiment Analysis Using FinBERT," IEEE Access, vol. 11, pp. 120530-120540, 2023, doi: https://doi.org/10.1109/access.2023.3324535.</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Muhammad Bazwa Arigusna &amp; Basuki Rahmat | Program Studi Informatika, UPN "Veteran" Jawa Timur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Naskah Publikasi Ilmiah — Target Jurnal Nasional Terakreditasi SINTA 3 (Bidang Informatika &amp; Sains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