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LAPORAN DATASET DAN HASIL EKSPERIMEN RISET KECIL (UAS)</w:t>
        <w:br/>
        <w:t>PREDIKSI PERGERAKAN HARGA SOLANA MENGGUNAKAN MODEL HIBRIDA CNN-BILSTM-ATTENTION</w:t>
      </w:r>
    </w:p>
    <w:p>
      <w:pPr>
        <w:jc w:val="center"/>
      </w:pPr>
      <w:r>
        <w:rPr>
          <w:i/>
          <w:sz w:val="22"/>
        </w:rPr>
        <w:t>Muhammad Bazwa Arigusna (NPM. 23081010250) | Dosen Pengampu: Dr. Basuki Rahmat, S.Si., MT.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Dokumen ini merangkum pelaksanaan riset kecil pada dataset multivariat Solana (SOL-USD) sebanyak 2080 observasi harian bersih (2021-01-20 s.d. 2025-01-14 hingga akhir periode uji 2025-11-23 s.d. 2026-09-30) yang diunduh dari Yahoo Finance [1], [2], [12], [20]. Tabel 1 menyajikan perbandingan kinerja kelima arsitektur jaringan saraf dalam serta konfigurasi ablasi univariat.</w:t>
      </w:r>
    </w:p>
    <w:p>
      <w:pPr>
        <w:keepNext/>
        <w:spacing w:before="120" w:after="60"/>
      </w:pPr>
      <w:r>
        <w:rPr>
          <w:b/>
          <w:sz w:val="22"/>
        </w:rPr>
        <w:t>Tabel 1 Perbandingan Metrik Evaluasi Model pada Data Latih dan Data Uji Solana (SOL-USD)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Arsitektur Model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Train MAE ($)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Train MAPE (%)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Test MAE ($)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Test RMSE ($)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Test MAPE (%)</w:t>
            </w:r>
          </w:p>
        </w:tc>
        <w:tc>
          <w:tcPr>
            <w:tcW w:type="dxa" w:w="992"/>
            <w:shd w:fill="D9E1F2"/>
          </w:tcPr>
          <w:p>
            <w:r>
              <w:rPr>
                <w:b/>
                <w:sz w:val="19"/>
              </w:rPr>
              <w:t>Directional Acc. (%)</w:t>
            </w:r>
          </w:p>
        </w:tc>
      </w:tr>
      <w:tr>
        <w:tc>
          <w:tcPr>
            <w:tcW w:type="dxa" w:w="992"/>
          </w:tcPr>
          <w:p>
            <w:r>
              <w:rPr>
                <w:sz w:val="19"/>
              </w:rPr>
              <w:t>LSTM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34,501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4.48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5.82%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3.81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4.85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4.15%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46.15%</w:t>
            </w:r>
          </w:p>
        </w:tc>
      </w:tr>
      <w:tr>
        <w:tc>
          <w:tcPr>
            <w:tcW w:type="dxa" w:w="992"/>
          </w:tcPr>
          <w:p>
            <w:r>
              <w:rPr>
                <w:sz w:val="19"/>
              </w:rPr>
              <w:t>GRU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26,201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3.73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5.46%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2.74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3.58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2.94%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53.53%</w:t>
            </w:r>
          </w:p>
        </w:tc>
      </w:tr>
      <w:tr>
        <w:tc>
          <w:tcPr>
            <w:tcW w:type="dxa" w:w="992"/>
          </w:tcPr>
          <w:p>
            <w:r>
              <w:rPr>
                <w:sz w:val="19"/>
              </w:rPr>
              <w:t>BiLSTM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58,371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3.23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4.49%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2.45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3.32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2.62%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58.01%</w:t>
            </w:r>
          </w:p>
        </w:tc>
      </w:tr>
      <w:tr>
        <w:tc>
          <w:tcPr>
            <w:tcW w:type="dxa" w:w="992"/>
          </w:tcPr>
          <w:p>
            <w:r>
              <w:rPr>
                <w:sz w:val="19"/>
              </w:rPr>
              <w:t>CNN-BiLSTM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35,617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2.84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4.54%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2.15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2.88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2.28%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60.58%</w:t>
            </w:r>
          </w:p>
        </w:tc>
      </w:tr>
      <w:tr>
        <w:tc>
          <w:tcPr>
            <w:tcW w:type="dxa" w:w="992"/>
          </w:tcPr>
          <w:p>
            <w:r>
              <w:rPr>
                <w:b/>
                <w:sz w:val="19"/>
              </w:rPr>
              <w:t>CNN-BiLSTM-Attention (Usulan)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40,321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2.12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3.14%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1.54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2.09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1.62%</w:t>
            </w:r>
          </w:p>
        </w:tc>
        <w:tc>
          <w:tcPr>
            <w:tcW w:type="dxa" w:w="992"/>
          </w:tcPr>
          <w:p>
            <w:r>
              <w:rPr>
                <w:b/>
                <w:sz w:val="19"/>
              </w:rPr>
              <w:t>77.88%</w:t>
            </w:r>
          </w:p>
        </w:tc>
      </w:tr>
      <w:tr>
        <w:tc>
          <w:tcPr>
            <w:tcW w:type="dxa" w:w="992"/>
          </w:tcPr>
          <w:p>
            <w:r>
              <w:rPr>
                <w:sz w:val="19"/>
              </w:rPr>
              <w:t>CNN-BiLSTM-Attention (Univariat)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39,073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3.98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5.55%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2.67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3.74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2.81%</w:t>
            </w:r>
          </w:p>
        </w:tc>
        <w:tc>
          <w:tcPr>
            <w:tcW w:type="dxa" w:w="992"/>
          </w:tcPr>
          <w:p>
            <w:r>
              <w:rPr>
                <w:sz w:val="19"/>
              </w:rPr>
              <w:t>50.00%</w:t>
            </w:r>
          </w:p>
        </w:tc>
      </w:tr>
    </w:tbl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Tabel 1 di atas, dapat dianalisis bahwa model usulan CNN-BiLSTM-Attention (Multivariat) meraih kinerja terbaik pada seluruh metrik pengujian dengan nilai Test MAE sebesar 1,54 USD, Test RMSE sebesar 2,09 USD, Test MAPE sebesar 1,62%, dan </w:t>
      </w:r>
      <w:r>
        <w:rPr>
          <w:rFonts w:ascii="Times New Roman" w:hAnsi="Times New Roman"/>
          <w:b w:val="0"/>
          <w:i/>
          <w:sz w:val="24"/>
        </w:rPr>
        <w:t>Directional Accuracy</w:t>
      </w:r>
      <w:r>
        <w:rPr>
          <w:rFonts w:ascii="Times New Roman" w:hAnsi="Times New Roman"/>
          <w:b w:val="0"/>
          <w:i w:val="0"/>
          <w:sz w:val="24"/>
        </w:rPr>
        <w:t xml:space="preserve"> sebesar 77,88%. Arsitektur ini mengungguli LSTM (MAPE 4,15%), GRU (MAPE 2,94%), BiLSTM (MAPE 2,62%), CNN-BiLSTM tanpa Attention (MAPE 2,28%), serta konfigurasi Univariat tanpa indikator teknikal (MAPE 2,81%; DA 50,00%). Visualisasi hasil eksperimen disajikan beserta penjelasannya pada Gambar 1 hingga Gambar 4.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68000" cy="3838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olana_price_and_indicat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83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22"/>
        </w:rPr>
        <w:t>Gambar 1 Dinamika Harga Historis Solana (SOL-USD) dan Indikator Teknikal (2021–2026)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Gambar 1 di atas, terlihat dinamika harga penutupan harian Solana bersama pita </w:t>
      </w:r>
      <w:r>
        <w:rPr>
          <w:rFonts w:ascii="Times New Roman" w:hAnsi="Times New Roman"/>
          <w:b w:val="0"/>
          <w:i/>
          <w:sz w:val="24"/>
        </w:rPr>
        <w:t>Bollinger Bands</w:t>
      </w:r>
      <w:r>
        <w:rPr>
          <w:rFonts w:ascii="Times New Roman" w:hAnsi="Times New Roman"/>
          <w:b w:val="0"/>
          <w:i w:val="0"/>
          <w:sz w:val="24"/>
        </w:rPr>
        <w:t xml:space="preserve"> dan EMA-50 pada panel atas, osilasi momentum RSI-14 pada panel tengah, serta konvergensi MACD dan histogram pada panel bawah sepanjang 2.080 hari pengamatan.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68000" cy="23485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ctual_vs_predicted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34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22"/>
        </w:rPr>
        <w:t>Gambar 2 Perbandingan Harga Aktual vs Prediksi Kelima Model pada Data Uji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Berdasarkan Gambar 2 di atas, kurva prediksi model usulan CNN-BiLSTM-Attention (garis merah tegas) mampu mengikuti fluktuasi dan titik balik harga aktual Solana (garis hitam) secara sangat presisi tanpa mengalami keterlambatan fase (</w:t>
      </w:r>
      <w:r>
        <w:rPr>
          <w:rFonts w:ascii="Times New Roman" w:hAnsi="Times New Roman"/>
          <w:b w:val="0"/>
          <w:i/>
          <w:sz w:val="24"/>
        </w:rPr>
        <w:t>phase lagging</w:t>
      </w:r>
      <w:r>
        <w:rPr>
          <w:rFonts w:ascii="Times New Roman" w:hAnsi="Times New Roman"/>
          <w:b w:val="0"/>
          <w:i w:val="0"/>
          <w:sz w:val="24"/>
        </w:rPr>
        <w:t>) sebagaimana dialami oleh LSTM dan GRU.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68000" cy="1813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etrics_comparison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81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22"/>
        </w:rPr>
        <w:t>Gambar 3 Perbandingan Metrik Evaluasi MAE, MAPE, dan Directional Accuracy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Gambar 3 di atas, diagram batang membuktikan penurunan tingkat kesalahan MAE dan MAPE secara konsisten dari LSTM menuju CNN-BiLSTM-Attention, diiringi peningkatan tajam </w:t>
      </w:r>
      <w:r>
        <w:rPr>
          <w:rFonts w:ascii="Times New Roman" w:hAnsi="Times New Roman"/>
          <w:b w:val="0"/>
          <w:i/>
          <w:sz w:val="24"/>
        </w:rPr>
        <w:t>Directional Accuracy</w:t>
      </w:r>
      <w:r>
        <w:rPr>
          <w:rFonts w:ascii="Times New Roman" w:hAnsi="Times New Roman"/>
          <w:b w:val="0"/>
          <w:i w:val="0"/>
          <w:sz w:val="24"/>
        </w:rPr>
        <w:t xml:space="preserve"> hingga mencapai 77,88%.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68000" cy="1942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attention_weights_and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42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b/>
          <w:sz w:val="22"/>
        </w:rPr>
        <w:t>Gambar 4 Distribusi Bobot Temporal Attention (α_t) dan Residual Error</w:t>
      </w:r>
    </w:p>
    <w:p>
      <w:pPr>
        <w:spacing w:line="360" w:lineRule="auto" w:after="12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Berdasarkan Gambar 4 di atas, panel kiri menunjukkan bahwa mekanisme </w:t>
      </w:r>
      <w:r>
        <w:rPr>
          <w:rFonts w:ascii="Times New Roman" w:hAnsi="Times New Roman"/>
          <w:b w:val="0"/>
          <w:i/>
          <w:sz w:val="24"/>
        </w:rPr>
        <w:t>Temporal Attention</w:t>
      </w:r>
      <w:r>
        <w:rPr>
          <w:rFonts w:ascii="Times New Roman" w:hAnsi="Times New Roman"/>
          <w:b w:val="0"/>
          <w:i w:val="0"/>
          <w:sz w:val="24"/>
        </w:rPr>
        <w:t xml:space="preserve"> memfokuskan bobot tertinggi pada langkah waktu t-5 hingga t-1 (puncak α_(t-1) = 0,1485), sedangkan panel kanan membuktikan bahwa distribusi residual error model usulan terkonsentrasi sempit dan simetris di sekitar 0,00 USD.</w:t>
      </w:r>
    </w:p>
    <w:sectPr w:rsidR="00FC693F" w:rsidRPr="0006063C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