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upnvjt_logo_clean.png"/>
                    <pic:cNvPicPr/>
                  </pic:nvPicPr>
                  <pic:blipFill>
                    <a:blip r:embed="rId9"/>
                    <a:stretch>
                      <a:fillRect/>
                    </a:stretch>
                  </pic:blipFill>
                  <pic:spPr>
                    <a:xfrm>
                      <a:off x="0" y="0"/>
                      <a:ext cx="1440000" cy="1440000"/>
                    </a:xfrm>
                    <a:prstGeom prst="rect"/>
                  </pic:spPr>
                </pic:pic>
              </a:graphicData>
            </a:graphic>
          </wp:inline>
        </w:drawing>
      </w:r>
    </w:p>
    <w:tbl>
      <w:tblPr>
        <w:tblW w:type="auto" w:w="0"/>
        <w:jc w:val="center"/>
        <w:tblLook w:firstColumn="1" w:firstRow="1" w:lastColumn="0" w:lastRow="0" w:noHBand="0" w:noVBand="1" w:val="04A0"/>
      </w:tblPr>
      <w:tblGrid>
        <w:gridCol w:w="8221"/>
      </w:tblGrid>
      <w:tr>
        <w:tc>
          <w:tcPr>
            <w:tcW w:type="dxa" w:w="8220"/>
            <w:shd w:fill="F4FF00"/>
          </w:tcPr>
          <w:p>
            <w:pPr>
              <w:spacing w:before="20" w:after="20"/>
            </w:pPr>
            <w:r>
              <w:rPr>
                <w:sz w:val="8"/>
              </w:rPr>
              <w:t xml:space="preserve"> </w:t>
            </w:r>
          </w:p>
        </w:tc>
      </w:tr>
      <w:tr>
        <w:tc>
          <w:tcPr>
            <w:tcW w:type="dxa" w:w="8220"/>
            <w:shd w:fill="FF914D"/>
          </w:tcPr>
          <w:p>
            <w:pPr>
              <w:spacing w:before="20" w:after="20"/>
            </w:pPr>
            <w:r>
              <w:rPr>
                <w:sz w:val="8"/>
              </w:rPr>
              <w:t xml:space="preserve"> </w:t>
            </w:r>
          </w:p>
        </w:tc>
      </w:tr>
    </w:tbl>
    <w:p>
      <w:pPr>
        <w:spacing w:before="360" w:after="240"/>
      </w:pPr>
      <w:r>
        <w:rPr>
          <w:rFonts w:ascii="Arial" w:hAnsi="Arial"/>
          <w:b/>
          <w:sz w:val="28"/>
        </w:rPr>
        <w:t>PRA-SKRIPSI</w:t>
      </w:r>
    </w:p>
    <w:p>
      <w:pPr>
        <w:spacing w:before="80" w:after="560" w:line="300" w:lineRule="auto"/>
      </w:pPr>
      <w:r>
        <w:rPr>
          <w:rFonts w:ascii="Arial" w:hAnsi="Arial"/>
          <w:b/>
          <w:sz w:val="36"/>
        </w:rPr>
        <w:t>PREDIKSI PERGERAKAN HARGA SOLANA MENGGUNAKAN MODEL HIBRIDA CNN-BILSTM DENGAN MEKANISME ATTENTION BERBASIS INDIKATOR TEKNIKAL</w:t>
      </w:r>
    </w:p>
    <w:p>
      <w:pPr>
        <w:spacing w:before="240" w:after="480" w:line="300" w:lineRule="auto"/>
      </w:pPr>
      <w:r>
        <w:rPr>
          <w:rFonts w:ascii="Arial" w:hAnsi="Arial"/>
          <w:b/>
          <w:sz w:val="28"/>
        </w:rPr>
        <w:t>MUHAMMAD BAZWA ARIGUSNA</w:t>
        <w:br/>
      </w:r>
      <w:r>
        <w:rPr>
          <w:rFonts w:ascii="Arial" w:hAnsi="Arial"/>
          <w:sz w:val="28"/>
        </w:rPr>
        <w:t>NPM 23081010250</w:t>
      </w:r>
    </w:p>
    <w:p>
      <w:pPr>
        <w:spacing w:before="120" w:after="720" w:line="300" w:lineRule="auto"/>
      </w:pPr>
      <w:r>
        <w:rPr>
          <w:rFonts w:ascii="Arial" w:hAnsi="Arial"/>
          <w:b/>
          <w:sz w:val="28"/>
        </w:rPr>
        <w:t>DOSEN PEMBIMBING</w:t>
        <w:br/>
      </w:r>
      <w:r>
        <w:rPr>
          <w:rFonts w:ascii="Arial" w:hAnsi="Arial"/>
          <w:sz w:val="28"/>
        </w:rPr>
        <w:t>Dr. Basuki Rahmat, S.Si., MT.</w:t>
      </w:r>
    </w:p>
    <w:p>
      <w:pPr>
        <w:spacing w:before="360" w:line="300" w:lineRule="auto"/>
      </w:pPr>
      <w:r>
        <w:rPr>
          <w:rFonts w:ascii="Arial" w:hAnsi="Arial"/>
          <w:b/>
          <w:sz w:val="24"/>
        </w:rPr>
        <w:t>KEMENTERIAN PENDIDIKAN TINGGI, SAINS, DAN TEKNOLOGI</w:t>
        <w:br/>
        <w:t>UNIVERSITAS PEMBANGUNAN NASIONAL VETERAN JAWA TIMUR</w:t>
        <w:br/>
        <w:t>FAKULTAS ILMU KOMPUTER</w:t>
        <w:br/>
        <w:t>PROGRAM STUDI INFORMATIKA</w:t>
        <w:br/>
        <w:t>SURABAYA</w:t>
        <w:br/>
        <w:t>2026</w:t>
      </w:r>
    </w:p>
    <w:p>
      <w:pPr>
        <w:sectPr>
          <w:pgSz w:w="11906" w:h="16838"/>
          <w:pgMar w:top="1417" w:right="1701" w:bottom="1417" w:left="1984" w:header="720" w:footer="720" w:gutter="0"/>
          <w:cols w:space="720"/>
          <w:titlePg/>
          <w:docGrid w:linePitch="360"/>
        </w:sectPr>
      </w:pPr>
    </w:p>
    <w:p>
      <w:pPr>
        <w:spacing w:after="320"/>
        <w:jc w:val="center"/>
      </w:pPr>
      <w:r>
        <w:rPr>
          <w:rFonts w:ascii="Times New Roman" w:hAnsi="Times New Roman"/>
          <w:b/>
          <w:sz w:val="28"/>
        </w:rPr>
        <w:t>LEMBAR PERSETUJUAN PRA-SKRIPSI</w:t>
      </w:r>
    </w:p>
    <w:p>
      <w:pPr>
        <w:spacing w:line="360" w:lineRule="auto" w:after="320"/>
        <w:jc w:val="center"/>
      </w:pPr>
      <w:r>
        <w:rPr>
          <w:rFonts w:ascii="Times New Roman" w:hAnsi="Times New Roman"/>
          <w:b/>
          <w:sz w:val="24"/>
        </w:rPr>
        <w:t>PREDIKSI PERGERAKAN HARGA SOLANA MENGGUNAKAN MODEL HIBRIDA CNN-BILSTM DENGAN MEKANISME ATTENTION BERBASIS INDIKATOR TEKNIKAL</w:t>
      </w:r>
    </w:p>
    <w:p>
      <w:pPr>
        <w:spacing w:line="360" w:lineRule="auto" w:after="360"/>
        <w:jc w:val="center"/>
      </w:pPr>
      <w:r>
        <w:rPr>
          <w:rFonts w:ascii="Times New Roman" w:hAnsi="Times New Roman"/>
          <w:sz w:val="24"/>
        </w:rPr>
        <w:t>Oleh :</w:t>
        <w:br/>
        <w:t>MUHAMMAD BAZWA ARIGUSNA</w:t>
        <w:br/>
        <w:t>NPM. 23081010250</w:t>
      </w:r>
    </w:p>
    <w:p>
      <w:pPr>
        <w:spacing w:after="560"/>
        <w:jc w:val="center"/>
      </w:pPr>
      <w:r>
        <w:rPr>
          <w:rFonts w:ascii="Times New Roman" w:hAnsi="Times New Roman"/>
          <w:sz w:val="24"/>
        </w:rPr>
        <w:t>Telah disetujui untuk mengikuti Seminar Proposal / Pra-Skripsi</w:t>
        <w:br/>
        <w:t>Program Studi Informatika Fakultas Ilmu Komputer</w:t>
        <w:br/>
        <w:t>Universitas Pembangunan Nasional "Veteran" Jawa Timur</w:t>
      </w:r>
    </w:p>
    <w:p>
      <w:pPr>
        <w:spacing w:line="360" w:lineRule="auto"/>
        <w:jc w:val="center"/>
      </w:pPr>
      <w:r>
        <w:rPr>
          <w:rFonts w:ascii="Times New Roman" w:hAnsi="Times New Roman"/>
          <w:sz w:val="24"/>
        </w:rPr>
        <w:t>Menyetujui,</w:t>
        <w:br/>
        <w:t>Dosen Pembimbing / Pengampu Riset Informatika</w:t>
        <w:br/>
        <w:br/>
        <w:br/>
        <w:br/>
      </w:r>
      <w:r>
        <w:rPr>
          <w:rFonts w:ascii="Times New Roman" w:hAnsi="Times New Roman"/>
          <w:b/>
          <w:sz w:val="24"/>
          <w:u w:val="single"/>
        </w:rPr>
        <w:t>Dr. Basuki Rahmat, S.Si., MT.</w:t>
        <w:br/>
      </w:r>
    </w:p>
    <w:p>
      <w:r>
        <w:br w:type="page"/>
      </w:r>
    </w:p>
    <w:p>
      <w:pPr>
        <w:spacing w:after="360"/>
        <w:jc w:val="center"/>
      </w:pPr>
      <w:r>
        <w:rPr>
          <w:rFonts w:ascii="Times New Roman" w:hAnsi="Times New Roman"/>
          <w:b/>
          <w:sz w:val="28"/>
        </w:rPr>
        <w:t>SURAT PERNYATAAN ORISINALITAS</w:t>
      </w:r>
    </w:p>
    <w:p>
      <w:pPr>
        <w:spacing w:line="360" w:lineRule="auto" w:after="160"/>
        <w:jc w:val="both"/>
      </w:pPr>
      <w:r>
        <w:rPr>
          <w:rFonts w:ascii="Times New Roman" w:hAnsi="Times New Roman"/>
          <w:b w:val="0"/>
          <w:i w:val="0"/>
          <w:sz w:val="24"/>
        </w:rPr>
        <w:t>Yang bertanda tangan di bawah ini:</w:t>
      </w:r>
    </w:p>
    <w:tbl>
      <w:tblPr>
        <w:tblW w:type="auto" w:w="0"/>
        <w:jc w:val="left"/>
        <w:tblLook w:firstColumn="1" w:firstRow="1" w:lastColumn="0" w:lastRow="0" w:noHBand="0" w:noVBand="1" w:val="04A0"/>
      </w:tblPr>
      <w:tblGrid>
        <w:gridCol w:w="3968"/>
        <w:gridCol w:w="3968"/>
      </w:tblGrid>
      <w:tr>
        <w:tc>
          <w:tcPr>
            <w:tcW w:type="dxa" w:w="2835"/>
          </w:tcPr>
          <w:p>
            <w:r>
              <w:rPr>
                <w:rFonts w:ascii="Times New Roman" w:hAnsi="Times New Roman"/>
                <w:sz w:val="24"/>
              </w:rPr>
              <w:t>Nama Mahasiswa / NPM</w:t>
            </w:r>
          </w:p>
        </w:tc>
        <w:tc>
          <w:tcPr>
            <w:tcW w:type="dxa" w:w="5102"/>
          </w:tcPr>
          <w:p>
            <w:r>
              <w:rPr>
                <w:rFonts w:ascii="Times New Roman" w:hAnsi="Times New Roman"/>
                <w:sz w:val="24"/>
              </w:rPr>
              <w:t>: Muhammad Bazwa Arigusna / 23081010250</w:t>
            </w:r>
          </w:p>
        </w:tc>
      </w:tr>
      <w:tr>
        <w:tc>
          <w:tcPr>
            <w:tcW w:type="dxa" w:w="2835"/>
          </w:tcPr>
          <w:p>
            <w:r>
              <w:rPr>
                <w:rFonts w:ascii="Times New Roman" w:hAnsi="Times New Roman"/>
                <w:sz w:val="24"/>
              </w:rPr>
              <w:t>Program Studi</w:t>
            </w:r>
          </w:p>
        </w:tc>
        <w:tc>
          <w:tcPr>
            <w:tcW w:type="dxa" w:w="5102"/>
          </w:tcPr>
          <w:p>
            <w:r>
              <w:rPr>
                <w:rFonts w:ascii="Times New Roman" w:hAnsi="Times New Roman"/>
                <w:sz w:val="24"/>
              </w:rPr>
              <w:t>: Informatika</w:t>
            </w:r>
          </w:p>
        </w:tc>
      </w:tr>
      <w:tr>
        <w:tc>
          <w:tcPr>
            <w:tcW w:type="dxa" w:w="2835"/>
          </w:tcPr>
          <w:p>
            <w:r>
              <w:rPr>
                <w:rFonts w:ascii="Times New Roman" w:hAnsi="Times New Roman"/>
                <w:sz w:val="24"/>
              </w:rPr>
              <w:t>Dosen Pembimbing</w:t>
            </w:r>
          </w:p>
        </w:tc>
        <w:tc>
          <w:tcPr>
            <w:tcW w:type="dxa" w:w="5102"/>
          </w:tcPr>
          <w:p>
            <w:r>
              <w:rPr>
                <w:rFonts w:ascii="Times New Roman" w:hAnsi="Times New Roman"/>
                <w:sz w:val="24"/>
              </w:rPr>
              <w:t>: Dr. Basuki Rahmat, S.Si., MT.</w:t>
            </w:r>
          </w:p>
        </w:tc>
      </w:tr>
    </w:tbl>
    <w:p>
      <w:pPr>
        <w:spacing w:line="360" w:lineRule="auto" w:after="200"/>
        <w:jc w:val="both"/>
      </w:pPr>
      <w:r>
        <w:rPr>
          <w:rFonts w:ascii="Times New Roman" w:hAnsi="Times New Roman"/>
          <w:b w:val="0"/>
          <w:i w:val="0"/>
          <w:sz w:val="24"/>
        </w:rPr>
        <w:t>dengan ini menyatakan bahwa Proposal Penelitian (Pra-Skripsi) dengan judul "Prediksi Pergerakan Harga Solana Menggunakan Model Hibrida CNN-BiLSTM dengan Mekanisme Attention Berbasis Indikator Teknikal" adalah hasil karya sendiri, bersifat orisinal, dan ditulis dengan mengikuti kaidah penulisan ilmiah.</w:t>
      </w:r>
    </w:p>
    <w:p>
      <w:pPr>
        <w:spacing w:line="360" w:lineRule="auto" w:after="560"/>
        <w:jc w:val="both"/>
      </w:pPr>
      <w:r>
        <w:rPr>
          <w:rFonts w:ascii="Times New Roman" w:hAnsi="Times New Roman"/>
          <w:b w:val="0"/>
          <w:i w:val="0"/>
          <w:sz w:val="24"/>
        </w:rPr>
        <w:t>Bilamana di kemudian hari ditemukan ketidaksesuaian dengan pernyataan ini, maka saya bersedia menerima sanksi sesuai dengan ketentuan yang berlaku di Universitas Pembangunan Nasional "Veteran" Jawa Timur.</w:t>
      </w:r>
    </w:p>
    <w:p>
      <w:pPr>
        <w:spacing w:line="360" w:lineRule="auto"/>
        <w:jc w:val="right"/>
      </w:pPr>
      <w:r>
        <w:rPr>
          <w:rFonts w:ascii="Times New Roman" w:hAnsi="Times New Roman"/>
          <w:sz w:val="24"/>
        </w:rPr>
        <w:t>Surabaya, 14 Oktober 2026</w:t>
        <w:br/>
        <w:t>Mahasiswa,</w:t>
        <w:br/>
        <w:br/>
        <w:br/>
        <w:br/>
        <w:t>( Muhammad Bazwa Arigusna )</w:t>
        <w:br/>
        <w:t>NPM. 23081010250</w:t>
      </w:r>
    </w:p>
    <w:p>
      <w:r>
        <w:br w:type="page"/>
      </w:r>
    </w:p>
    <w:p>
      <w:pPr>
        <w:spacing w:after="280"/>
        <w:jc w:val="center"/>
      </w:pPr>
      <w:r>
        <w:rPr>
          <w:rFonts w:ascii="Times New Roman" w:hAnsi="Times New Roman"/>
          <w:b/>
          <w:sz w:val="28"/>
        </w:rPr>
        <w:t>ABSTRAK</w:t>
      </w:r>
    </w:p>
    <w:tbl>
      <w:tblPr>
        <w:tblW w:type="auto" w:w="0"/>
        <w:tblLook w:firstColumn="1" w:firstRow="1" w:lastColumn="0" w:lastRow="0" w:noHBand="0" w:noVBand="1" w:val="04A0"/>
      </w:tblPr>
      <w:tblGrid>
        <w:gridCol w:w="3968"/>
        <w:gridCol w:w="3968"/>
      </w:tblGrid>
      <w:tr>
        <w:tc>
          <w:tcPr>
            <w:tcW w:type="dxa" w:w="2721"/>
          </w:tcPr>
          <w:p>
            <w:pPr>
              <w:spacing w:after="60"/>
            </w:pPr>
            <w:r>
              <w:rPr>
                <w:rFonts w:ascii="Times New Roman" w:hAnsi="Times New Roman"/>
                <w:sz w:val="24"/>
              </w:rPr>
              <w:t>Nama Mahasiswa / NPM</w:t>
            </w:r>
          </w:p>
        </w:tc>
        <w:tc>
          <w:tcPr>
            <w:tcW w:type="dxa" w:w="5216"/>
          </w:tcPr>
          <w:p>
            <w:pPr>
              <w:spacing w:after="60"/>
            </w:pPr>
            <w:r>
              <w:rPr>
                <w:rFonts w:ascii="Times New Roman" w:hAnsi="Times New Roman"/>
                <w:sz w:val="24"/>
              </w:rPr>
              <w:t>: Muhammad Bazwa Arigusna / 23081010250</w:t>
            </w:r>
          </w:p>
        </w:tc>
      </w:tr>
      <w:tr>
        <w:tc>
          <w:tcPr>
            <w:tcW w:type="dxa" w:w="2721"/>
          </w:tcPr>
          <w:p>
            <w:pPr>
              <w:spacing w:after="60"/>
            </w:pPr>
            <w:r>
              <w:rPr>
                <w:rFonts w:ascii="Times New Roman" w:hAnsi="Times New Roman"/>
                <w:sz w:val="24"/>
              </w:rPr>
              <w:t>Judul Pra-Skripsi</w:t>
            </w:r>
          </w:p>
        </w:tc>
        <w:tc>
          <w:tcPr>
            <w:tcW w:type="dxa" w:w="5216"/>
          </w:tcPr>
          <w:p>
            <w:pPr>
              <w:spacing w:after="60"/>
            </w:pPr>
            <w:r>
              <w:rPr>
                <w:rFonts w:ascii="Times New Roman" w:hAnsi="Times New Roman"/>
                <w:sz w:val="24"/>
              </w:rPr>
              <w:t>: Prediksi Pergerakan Harga Solana Menggunakan Model Hibrida CNN-BiLSTM dengan Mekanisme Attention Berbasis Indikator Teknikal</w:t>
            </w:r>
          </w:p>
        </w:tc>
      </w:tr>
      <w:tr>
        <w:tc>
          <w:tcPr>
            <w:tcW w:type="dxa" w:w="2721"/>
          </w:tcPr>
          <w:p>
            <w:pPr>
              <w:spacing w:after="60"/>
            </w:pPr>
            <w:r>
              <w:rPr>
                <w:rFonts w:ascii="Times New Roman" w:hAnsi="Times New Roman"/>
                <w:sz w:val="24"/>
              </w:rPr>
              <w:t>Dosen Pembimbing</w:t>
            </w:r>
          </w:p>
        </w:tc>
        <w:tc>
          <w:tcPr>
            <w:tcW w:type="dxa" w:w="5216"/>
          </w:tcPr>
          <w:p>
            <w:pPr>
              <w:spacing w:after="60"/>
            </w:pPr>
            <w:r>
              <w:rPr>
                <w:rFonts w:ascii="Times New Roman" w:hAnsi="Times New Roman"/>
                <w:sz w:val="24"/>
              </w:rPr>
              <w:t>: 1. Dr. Basuki Rahmat, S.Si., MT.</w:t>
            </w:r>
          </w:p>
        </w:tc>
      </w:tr>
    </w:tbl>
    <w:p>
      <w:pPr>
        <w:spacing w:before="200" w:after="200" w:line="240" w:lineRule="auto"/>
        <w:ind w:firstLine="567"/>
        <w:jc w:val="both"/>
      </w:pPr>
      <w:r>
        <w:rPr>
          <w:rFonts w:ascii="Times New Roman" w:hAnsi="Times New Roman"/>
          <w:b w:val="0"/>
          <w:i w:val="0"/>
          <w:sz w:val="24"/>
        </w:rPr>
        <w:t xml:space="preserve">Penelitian ini bertujuan untuk merancang dan mengevaluasi performa model hibrida </w:t>
      </w:r>
      <w:r>
        <w:rPr>
          <w:rFonts w:ascii="Times New Roman" w:hAnsi="Times New Roman"/>
          <w:b w:val="0"/>
          <w:i/>
          <w:sz w:val="24"/>
        </w:rPr>
        <w:t>Convolutional Neural Network</w:t>
      </w:r>
      <w:r>
        <w:rPr>
          <w:rFonts w:ascii="Times New Roman" w:hAnsi="Times New Roman"/>
          <w:b w:val="0"/>
          <w:i w:val="0"/>
          <w:sz w:val="24"/>
        </w:rPr>
        <w:t xml:space="preserve"> - </w:t>
      </w:r>
      <w:r>
        <w:rPr>
          <w:rFonts w:ascii="Times New Roman" w:hAnsi="Times New Roman"/>
          <w:b w:val="0"/>
          <w:i/>
          <w:sz w:val="24"/>
        </w:rPr>
        <w:t>Bidirectional Long Short-Term Memory</w:t>
      </w:r>
      <w:r>
        <w:rPr>
          <w:rFonts w:ascii="Times New Roman" w:hAnsi="Times New Roman"/>
          <w:b w:val="0"/>
          <w:i w:val="0"/>
          <w:sz w:val="24"/>
        </w:rPr>
        <w:t xml:space="preserve"> dengan mekanisme </w:t>
      </w:r>
      <w:r>
        <w:rPr>
          <w:rFonts w:ascii="Times New Roman" w:hAnsi="Times New Roman"/>
          <w:b w:val="0"/>
          <w:i/>
          <w:sz w:val="24"/>
        </w:rPr>
        <w:t>Temporal Attention</w:t>
      </w:r>
      <w:r>
        <w:rPr>
          <w:rFonts w:ascii="Times New Roman" w:hAnsi="Times New Roman"/>
          <w:b w:val="0"/>
          <w:i w:val="0"/>
          <w:sz w:val="24"/>
        </w:rPr>
        <w:t xml:space="preserve"> (CNN-BiLSTM-Attention) dalam memprediksi pergerakan harga penutupan aset kripto Solana (SOL-USD) serta membandingkannya terhadap model LSTM, GRU, BiLSTM, dan CNN-BiLSTM. Metode penelitian yang digunakan melibatkan enam tahapan utama yaitu akuisisi data historis dari Yahoo Finance, ekstraksi indikator teknikal multivariat, eksplorasi dan analisis korelasi data, pra-pemrosesan serta pembentukan jendela sekuensial, pembangunan model prediksi, serta evaluasi komparatif model menggunakan data pengujian. Dataset harga harian Solana dari Januari 2021 hingga September 2026 sebanyak 2.080 observasi bersih diolah bersama sembilan indikator teknikal utama (EMA-14, EMA-50, RSI-14, MACD, MACD Signal, </w:t>
      </w:r>
      <w:r>
        <w:rPr>
          <w:rFonts w:ascii="Times New Roman" w:hAnsi="Times New Roman"/>
          <w:b w:val="0"/>
          <w:i/>
          <w:sz w:val="24"/>
        </w:rPr>
        <w:t>Bollinger Bands</w:t>
      </w:r>
      <w:r>
        <w:rPr>
          <w:rFonts w:ascii="Times New Roman" w:hAnsi="Times New Roman"/>
          <w:b w:val="0"/>
          <w:i w:val="0"/>
          <w:sz w:val="24"/>
        </w:rPr>
        <w:t xml:space="preserve"> Upper/Lower, ATR-14, dan OBV) menggunakan normalisasi Min-Max dan jendela waktu (</w:t>
      </w:r>
      <w:r>
        <w:rPr>
          <w:rFonts w:ascii="Times New Roman" w:hAnsi="Times New Roman"/>
          <w:b w:val="0"/>
          <w:i/>
          <w:sz w:val="24"/>
        </w:rPr>
        <w:t>time steps</w:t>
      </w:r>
      <w:r>
        <w:rPr>
          <w:rFonts w:ascii="Times New Roman" w:hAnsi="Times New Roman"/>
          <w:b w:val="0"/>
          <w:i w:val="0"/>
          <w:sz w:val="24"/>
        </w:rPr>
        <w:t xml:space="preserve">) sebanyak 20 hari yang dioptimasi dengan Adam optimizer. Hasil riset awal menunjukkan bahwa arsitektur usulan CNN-BiLSTM-Attention (32 filter konvolusi kernel 3, 48 unit BiLSTM dua arah, lapisan </w:t>
      </w:r>
      <w:r>
        <w:rPr>
          <w:rFonts w:ascii="Times New Roman" w:hAnsi="Times New Roman"/>
          <w:b w:val="0"/>
          <w:i/>
          <w:sz w:val="24"/>
        </w:rPr>
        <w:t>Bahdanau Attention</w:t>
      </w:r>
      <w:r>
        <w:rPr>
          <w:rFonts w:ascii="Times New Roman" w:hAnsi="Times New Roman"/>
          <w:b w:val="0"/>
          <w:i w:val="0"/>
          <w:sz w:val="24"/>
        </w:rPr>
        <w:t xml:space="preserve">, dan </w:t>
      </w:r>
      <w:r>
        <w:rPr>
          <w:rFonts w:ascii="Times New Roman" w:hAnsi="Times New Roman"/>
          <w:b w:val="0"/>
          <w:i/>
          <w:sz w:val="24"/>
        </w:rPr>
        <w:t>learning rate</w:t>
      </w:r>
      <w:r>
        <w:rPr>
          <w:rFonts w:ascii="Times New Roman" w:hAnsi="Times New Roman"/>
          <w:b w:val="0"/>
          <w:i w:val="0"/>
          <w:sz w:val="24"/>
        </w:rPr>
        <w:t xml:space="preserve"> 0,0015) mencapai kinerja terbaik dengan MAE pengujian sebesar 1,54 USD, RMSE sebesar 2,09 USD, MAPE sebesar 1,62%, koefisien determinasi (R²) sebesar 0,9912, dan akurasi arah (</w:t>
      </w:r>
      <w:r>
        <w:rPr>
          <w:rFonts w:ascii="Times New Roman" w:hAnsi="Times New Roman"/>
          <w:b w:val="0"/>
          <w:i/>
          <w:sz w:val="24"/>
        </w:rPr>
        <w:t>Directional Accuracy</w:t>
      </w:r>
      <w:r>
        <w:rPr>
          <w:rFonts w:ascii="Times New Roman" w:hAnsi="Times New Roman"/>
          <w:b w:val="0"/>
          <w:i w:val="0"/>
          <w:sz w:val="24"/>
        </w:rPr>
        <w:t>) sebesar 77,88%, mengungguli model LSTM, GRU, BiLSTM, dan CNN-BiLSTM secara signifikan.</w:t>
      </w:r>
    </w:p>
    <w:p>
      <w:pPr>
        <w:spacing w:line="240" w:lineRule="auto"/>
      </w:pPr>
      <w:r>
        <w:rPr>
          <w:rFonts w:ascii="Times New Roman" w:hAnsi="Times New Roman"/>
          <w:b/>
          <w:sz w:val="24"/>
        </w:rPr>
        <w:t xml:space="preserve">Kata Kunci : </w:t>
      </w:r>
      <w:r>
        <w:rPr>
          <w:rFonts w:ascii="Times New Roman" w:hAnsi="Times New Roman"/>
          <w:b w:val="0"/>
          <w:i w:val="0"/>
          <w:sz w:val="24"/>
        </w:rPr>
        <w:t xml:space="preserve">Solana, CNN-BiLSTM, </w:t>
      </w:r>
      <w:r>
        <w:rPr>
          <w:rFonts w:ascii="Times New Roman" w:hAnsi="Times New Roman"/>
          <w:b w:val="0"/>
          <w:i/>
          <w:sz w:val="24"/>
        </w:rPr>
        <w:t>Temporal Attention</w:t>
      </w:r>
      <w:r>
        <w:rPr>
          <w:rFonts w:ascii="Times New Roman" w:hAnsi="Times New Roman"/>
          <w:b w:val="0"/>
          <w:i w:val="0"/>
          <w:sz w:val="24"/>
        </w:rPr>
        <w:t xml:space="preserve">, Indikator Teknikal, </w:t>
      </w:r>
      <w:r>
        <w:rPr>
          <w:rFonts w:ascii="Times New Roman" w:hAnsi="Times New Roman"/>
          <w:b w:val="0"/>
          <w:i/>
          <w:sz w:val="24"/>
        </w:rPr>
        <w:t>Long Short-Term Memory</w:t>
      </w:r>
      <w:r>
        <w:rPr>
          <w:rFonts w:ascii="Times New Roman" w:hAnsi="Times New Roman"/>
          <w:b w:val="0"/>
          <w:i w:val="0"/>
          <w:sz w:val="24"/>
        </w:rPr>
        <w:t xml:space="preserve"> (LSTM), </w:t>
      </w:r>
      <w:r>
        <w:rPr>
          <w:rFonts w:ascii="Times New Roman" w:hAnsi="Times New Roman"/>
          <w:b w:val="0"/>
          <w:i/>
          <w:sz w:val="24"/>
        </w:rPr>
        <w:t>Gated Recurrent Unit</w:t>
      </w:r>
      <w:r>
        <w:rPr>
          <w:rFonts w:ascii="Times New Roman" w:hAnsi="Times New Roman"/>
          <w:b w:val="0"/>
          <w:i w:val="0"/>
          <w:sz w:val="24"/>
        </w:rPr>
        <w:t xml:space="preserve"> (GRU)</w:t>
      </w:r>
    </w:p>
    <w:p>
      <w:r>
        <w:br w:type="page"/>
      </w:r>
    </w:p>
    <w:p>
      <w:pPr>
        <w:spacing w:after="280"/>
        <w:jc w:val="center"/>
      </w:pPr>
      <w:r>
        <w:rPr>
          <w:rFonts w:ascii="Times New Roman" w:hAnsi="Times New Roman"/>
          <w:b/>
          <w:sz w:val="28"/>
        </w:rPr>
        <w:t>ABSTRACT</w:t>
      </w:r>
    </w:p>
    <w:tbl>
      <w:tblPr>
        <w:tblW w:type="auto" w:w="0"/>
        <w:tblLook w:firstColumn="1" w:firstRow="1" w:lastColumn="0" w:lastRow="0" w:noHBand="0" w:noVBand="1" w:val="04A0"/>
      </w:tblPr>
      <w:tblGrid>
        <w:gridCol w:w="3968"/>
        <w:gridCol w:w="3968"/>
      </w:tblGrid>
      <w:tr>
        <w:tc>
          <w:tcPr>
            <w:tcW w:type="dxa" w:w="2721"/>
          </w:tcPr>
          <w:p>
            <w:pPr>
              <w:spacing w:after="60"/>
            </w:pPr>
            <w:r>
              <w:rPr>
                <w:rFonts w:ascii="Times New Roman" w:hAnsi="Times New Roman"/>
                <w:sz w:val="24"/>
              </w:rPr>
              <w:t>Student Name / NPM</w:t>
            </w:r>
          </w:p>
        </w:tc>
        <w:tc>
          <w:tcPr>
            <w:tcW w:type="dxa" w:w="5216"/>
          </w:tcPr>
          <w:p>
            <w:pPr>
              <w:spacing w:after="60"/>
            </w:pPr>
            <w:r>
              <w:rPr>
                <w:rFonts w:ascii="Times New Roman" w:hAnsi="Times New Roman"/>
                <w:sz w:val="24"/>
              </w:rPr>
              <w:t>: Muhammad Bazwa Arigusna / 23081010250</w:t>
            </w:r>
          </w:p>
        </w:tc>
      </w:tr>
      <w:tr>
        <w:tc>
          <w:tcPr>
            <w:tcW w:type="dxa" w:w="2721"/>
          </w:tcPr>
          <w:p>
            <w:pPr>
              <w:spacing w:after="60"/>
            </w:pPr>
            <w:r>
              <w:rPr>
                <w:rFonts w:ascii="Times New Roman" w:hAnsi="Times New Roman"/>
                <w:sz w:val="24"/>
              </w:rPr>
              <w:t>Pre-Thesis Title</w:t>
            </w:r>
          </w:p>
        </w:tc>
        <w:tc>
          <w:tcPr>
            <w:tcW w:type="dxa" w:w="5216"/>
          </w:tcPr>
          <w:p>
            <w:pPr>
              <w:spacing w:after="60"/>
            </w:pPr>
            <w:r>
              <w:rPr>
                <w:rFonts w:ascii="Times New Roman" w:hAnsi="Times New Roman"/>
                <w:sz w:val="24"/>
              </w:rPr>
              <w:t>: Solana Price Movement Prediction Using Hybrid CNN-BiLSTM Model With Attention Mechanism Based On Technical Indicators</w:t>
            </w:r>
          </w:p>
        </w:tc>
      </w:tr>
      <w:tr>
        <w:tc>
          <w:tcPr>
            <w:tcW w:type="dxa" w:w="2721"/>
          </w:tcPr>
          <w:p>
            <w:pPr>
              <w:spacing w:after="60"/>
            </w:pPr>
            <w:r>
              <w:rPr>
                <w:rFonts w:ascii="Times New Roman" w:hAnsi="Times New Roman"/>
                <w:sz w:val="24"/>
              </w:rPr>
              <w:t>Advisor</w:t>
            </w:r>
          </w:p>
        </w:tc>
        <w:tc>
          <w:tcPr>
            <w:tcW w:type="dxa" w:w="5216"/>
          </w:tcPr>
          <w:p>
            <w:pPr>
              <w:spacing w:after="60"/>
            </w:pPr>
            <w:r>
              <w:rPr>
                <w:rFonts w:ascii="Times New Roman" w:hAnsi="Times New Roman"/>
                <w:sz w:val="24"/>
              </w:rPr>
              <w:t>: 1. Dr. Basuki Rahmat, S.Si., MT.</w:t>
            </w:r>
          </w:p>
        </w:tc>
      </w:tr>
    </w:tbl>
    <w:p>
      <w:pPr>
        <w:spacing w:before="200" w:after="200" w:line="240" w:lineRule="auto"/>
        <w:ind w:firstLine="567"/>
        <w:jc w:val="both"/>
      </w:pPr>
      <w:r>
        <w:rPr>
          <w:rFonts w:ascii="Times New Roman" w:hAnsi="Times New Roman"/>
          <w:i/>
          <w:sz w:val="24"/>
        </w:rPr>
        <w:t>This research aims to design and evaluate the performance of a hybrid Convolutional Neural Network - Bidirectional Long Short-Term Memory model integrated with a Temporal Attention mechanism (CNN-BiLSTM-Attention) in predicting Solana (SOL-USD) cryptocurrency closing price movements, compared against baseline LSTM, GRU, BiLSTM, and CNN-BiLSTM architectures. The research methodology encompasses six primary stages: historical market data acquisition from Yahoo Finance, multivariate technical indicator feature engineering, exploratory and correlation analysis, data preprocessing and sliding-window sequence construction, deep learning model development, and comparative evaluation on unseen test data. A total of 2,080 clean daily observations of Solana from January 2021 to September 2026 were engineered alongside nine technical indicators (EMA-14, EMA-50, RSI-14, MACD, MACD Signal, Bollinger Bands Upper/Lower, ATR-14, and OBV) using Min-Max normalization and a 20-day lookback window optimized via the Adam algorithm. Experimental results demonstrate that the proposed CNN-BiLSTM-Attention architecture achieves superior forecasting accuracy on the testing set with an MAE of 1.54 USD, RMSE of 2.09 USD, MAPE of 1.62%, coefficient of determination (R²) of 0.9912, and Directional Accuracy (DA) of 77.88%, consistently outperforming standalone LSTM, GRU, BiLSTM, and non-attention CNN-BiLSTM models.</w:t>
      </w:r>
    </w:p>
    <w:p>
      <w:pPr>
        <w:spacing w:line="240" w:lineRule="auto"/>
      </w:pPr>
      <w:r>
        <w:rPr>
          <w:rFonts w:ascii="Times New Roman" w:hAnsi="Times New Roman"/>
          <w:b/>
          <w:sz w:val="24"/>
        </w:rPr>
        <w:t xml:space="preserve">Keywords: </w:t>
      </w:r>
      <w:r>
        <w:rPr>
          <w:rFonts w:ascii="Times New Roman" w:hAnsi="Times New Roman"/>
          <w:i/>
          <w:sz w:val="24"/>
        </w:rPr>
        <w:t>Solana, CNN-BiLSTM, Temporal Attention, Technical Indicators, Long Short-Term Memory (LSTM), Gated Recurrent Unit (GRU)</w:t>
      </w:r>
    </w:p>
    <w:p>
      <w:r>
        <w:br w:type="page"/>
      </w:r>
    </w:p>
    <w:p>
      <w:pPr>
        <w:spacing w:after="280"/>
        <w:jc w:val="center"/>
      </w:pPr>
      <w:r>
        <w:rPr>
          <w:rFonts w:ascii="Times New Roman" w:hAnsi="Times New Roman"/>
          <w:b/>
          <w:sz w:val="28"/>
        </w:rPr>
        <w:t>KATA PENGANTAR</w:t>
      </w:r>
    </w:p>
    <w:p>
      <w:pPr>
        <w:spacing w:line="360" w:lineRule="auto" w:after="120"/>
        <w:ind w:firstLine="567"/>
        <w:jc w:val="both"/>
      </w:pPr>
      <w:r>
        <w:rPr>
          <w:rFonts w:ascii="Times New Roman" w:hAnsi="Times New Roman"/>
          <w:b w:val="0"/>
          <w:i w:val="0"/>
          <w:sz w:val="24"/>
        </w:rPr>
        <w:t>Puji syukur kehadirat Allah SWT atas segala rahmat, hidayah, dan karunia-Nya kepada penulis sehingga Proposal Penelitian (Pra-Skripsi) dengan judul "Prediksi Pergerakan Harga Solana Menggunakan Model Hibrida CNN-BiLSTM dengan Mekanisme Attention Berbasis Indikator Teknikal" dapat disusun dan diselesaikan dengan baik.</w:t>
      </w:r>
    </w:p>
    <w:p>
      <w:pPr>
        <w:spacing w:line="360" w:lineRule="auto" w:after="120"/>
        <w:ind w:firstLine="567"/>
        <w:jc w:val="both"/>
      </w:pPr>
      <w:r>
        <w:rPr>
          <w:rFonts w:ascii="Times New Roman" w:hAnsi="Times New Roman"/>
          <w:b w:val="0"/>
          <w:i w:val="0"/>
          <w:sz w:val="24"/>
        </w:rPr>
        <w:t>Penulis mengucapkan terima kasih yang sebesar-besarnya kepada Bapak Dr. Basuki Rahmat, S.Si., MT. selaku Dosen Pembimbing dan Dosen Pengampu mata kuliah Riset Informatika yang telah meluangkan waktu untuk memberikan bimbingan, arahan metodologis, nasihat, serta motivasi keilmuan kepada penulis. Penulis juga menerima banyak dukungan dari berbagai pihak, baik berupa moril maupun materiil. Untuk itu penulis menyampaikan rasa hormat dan terima kasih kepada:</w:t>
      </w:r>
    </w:p>
    <w:p>
      <w:pPr>
        <w:spacing w:line="360" w:lineRule="auto" w:after="80"/>
        <w:ind w:left="425" w:hanging="425"/>
        <w:jc w:val="both"/>
      </w:pPr>
      <w:r>
        <w:rPr>
          <w:rFonts w:ascii="Times New Roman" w:hAnsi="Times New Roman"/>
          <w:sz w:val="24"/>
        </w:rPr>
        <w:t xml:space="preserve">1. </w:t>
      </w:r>
      <w:r>
        <w:rPr>
          <w:rFonts w:ascii="Times New Roman" w:hAnsi="Times New Roman"/>
          <w:b w:val="0"/>
          <w:i w:val="0"/>
          <w:sz w:val="24"/>
        </w:rPr>
        <w:t>Ibu Prof. Dr. Ir. Novirina Hendrasarie, MT. selaku Dekan Fakultas Ilmu Komputer Universitas Pembangunan Nasional "Veteran" Jawa Timur.</w:t>
      </w:r>
    </w:p>
    <w:p>
      <w:pPr>
        <w:spacing w:line="360" w:lineRule="auto" w:after="80"/>
        <w:ind w:left="425" w:hanging="425"/>
        <w:jc w:val="both"/>
      </w:pPr>
      <w:r>
        <w:rPr>
          <w:rFonts w:ascii="Times New Roman" w:hAnsi="Times New Roman"/>
          <w:sz w:val="24"/>
        </w:rPr>
        <w:t xml:space="preserve">2. </w:t>
      </w:r>
      <w:r>
        <w:rPr>
          <w:rFonts w:ascii="Times New Roman" w:hAnsi="Times New Roman"/>
          <w:b w:val="0"/>
          <w:i w:val="0"/>
          <w:sz w:val="24"/>
        </w:rPr>
        <w:t>Bapak/Ibu Koordinator Program Studi Informatika Fakultas Ilmu Komputer Universitas Pembangunan Nasional "Veteran" Jawa Timur.</w:t>
      </w:r>
    </w:p>
    <w:p>
      <w:pPr>
        <w:spacing w:line="360" w:lineRule="auto" w:after="80"/>
        <w:ind w:left="425" w:hanging="425"/>
        <w:jc w:val="both"/>
      </w:pPr>
      <w:r>
        <w:rPr>
          <w:rFonts w:ascii="Times New Roman" w:hAnsi="Times New Roman"/>
          <w:sz w:val="24"/>
        </w:rPr>
        <w:t xml:space="preserve">3. </w:t>
      </w:r>
      <w:r>
        <w:rPr>
          <w:rFonts w:ascii="Times New Roman" w:hAnsi="Times New Roman"/>
          <w:b w:val="0"/>
          <w:i w:val="0"/>
          <w:sz w:val="24"/>
        </w:rPr>
        <w:t>Bapak/Ibu Dosen Program Studi Informatika yang telah membekali penulis dengan ilmu pengetahuan selama masa perkuliahan.</w:t>
      </w:r>
    </w:p>
    <w:p>
      <w:pPr>
        <w:spacing w:line="360" w:lineRule="auto" w:after="80"/>
        <w:ind w:left="425" w:hanging="425"/>
        <w:jc w:val="both"/>
      </w:pPr>
      <w:r>
        <w:rPr>
          <w:rFonts w:ascii="Times New Roman" w:hAnsi="Times New Roman"/>
          <w:sz w:val="24"/>
        </w:rPr>
        <w:t xml:space="preserve">4. </w:t>
      </w:r>
      <w:r>
        <w:rPr>
          <w:rFonts w:ascii="Times New Roman" w:hAnsi="Times New Roman"/>
          <w:b w:val="0"/>
          <w:i w:val="0"/>
          <w:sz w:val="24"/>
        </w:rPr>
        <w:t>Orang tua, keluarga, serta rekan-rekan mahasiswa Informatika angkatan 2023 atas doa dan dukungan yang tiada henti.</w:t>
      </w:r>
    </w:p>
    <w:p>
      <w:pPr>
        <w:spacing w:line="360" w:lineRule="auto" w:after="480"/>
        <w:ind w:firstLine="567"/>
        <w:jc w:val="both"/>
      </w:pPr>
      <w:r>
        <w:rPr>
          <w:rFonts w:ascii="Times New Roman" w:hAnsi="Times New Roman"/>
          <w:b w:val="0"/>
          <w:i w:val="0"/>
          <w:sz w:val="24"/>
        </w:rPr>
        <w:t>Penulis menyadari bahwa dalam penyusunan proposal penelitian ini masih terdapat ruang untuk penyempurnaan. Oleh karena itu, kritik dan saran yang membangun sangat diharapkan demi kesempurnaan penelitian ini. Akhir kata, semoga proposal penelitian ini dapat memberikan kontribusi ilmiah yang bermanfaat bagi perkembangan ilmu informatika dan para pemangku kepentingan.</w:t>
      </w:r>
    </w:p>
    <w:p>
      <w:pPr>
        <w:spacing w:line="360" w:lineRule="auto"/>
        <w:jc w:val="right"/>
      </w:pPr>
      <w:r>
        <w:rPr>
          <w:rFonts w:ascii="Times New Roman" w:hAnsi="Times New Roman"/>
          <w:sz w:val="24"/>
        </w:rPr>
        <w:t>Surabaya, Oktober 2026</w:t>
        <w:br/>
        <w:br/>
        <w:t>Penulis</w:t>
      </w:r>
    </w:p>
    <w:p>
      <w:r>
        <w:br w:type="page"/>
      </w:r>
    </w:p>
    <w:p>
      <w:pPr>
        <w:spacing w:before="0" w:after="240"/>
        <w:jc w:val="center"/>
      </w:pPr>
      <w:r>
        <w:rPr>
          <w:rFonts w:ascii="Times New Roman" w:hAnsi="Times New Roman"/>
          <w:b/>
          <w:sz w:val="28"/>
        </w:rPr>
        <w:t>DAFTAR ISI</w:t>
      </w:r>
    </w:p>
    <w:p>
      <w:pPr>
        <w:spacing w:line="300" w:lineRule="auto" w:before="60" w:after="40"/>
        <w:ind w:left="0" w:firstLine="0"/>
        <w:jc w:val="left"/>
        <w:tabs>
          <w:tab w:val="right" w:leader="dot" w:pos="7937"/>
        </w:tabs>
      </w:pPr>
      <w:r>
        <w:rPr>
          <w:rFonts w:ascii="Times New Roman" w:hAnsi="Times New Roman"/>
          <w:b/>
          <w:sz w:val="24"/>
        </w:rPr>
        <w:t xml:space="preserve">LEMBAR JUDUL PRA-SKRIPSI </w:t>
        <w:tab/>
        <w:t xml:space="preserve"> i</w:t>
      </w:r>
    </w:p>
    <w:p>
      <w:pPr>
        <w:spacing w:line="300" w:lineRule="auto" w:before="60" w:after="40"/>
        <w:ind w:left="0" w:firstLine="0"/>
        <w:jc w:val="left"/>
        <w:tabs>
          <w:tab w:val="right" w:leader="dot" w:pos="7937"/>
        </w:tabs>
      </w:pPr>
      <w:r>
        <w:rPr>
          <w:rFonts w:ascii="Times New Roman" w:hAnsi="Times New Roman"/>
          <w:b/>
          <w:sz w:val="24"/>
        </w:rPr>
        <w:t xml:space="preserve">LEMBAR PERSETUJUAN PRA-SKRIPSI </w:t>
        <w:tab/>
        <w:t xml:space="preserve"> i</w:t>
      </w:r>
    </w:p>
    <w:p>
      <w:pPr>
        <w:spacing w:line="300" w:lineRule="auto" w:before="60" w:after="40"/>
        <w:ind w:left="0" w:firstLine="0"/>
        <w:jc w:val="left"/>
        <w:tabs>
          <w:tab w:val="right" w:leader="dot" w:pos="7937"/>
        </w:tabs>
      </w:pPr>
      <w:r>
        <w:rPr>
          <w:rFonts w:ascii="Times New Roman" w:hAnsi="Times New Roman"/>
          <w:b/>
          <w:sz w:val="24"/>
        </w:rPr>
        <w:t xml:space="preserve">SURAT PERNYATAAN ORISINALITAS </w:t>
        <w:tab/>
        <w:t xml:space="preserve"> ii</w:t>
      </w:r>
    </w:p>
    <w:p>
      <w:pPr>
        <w:spacing w:line="300" w:lineRule="auto" w:before="60" w:after="40"/>
        <w:ind w:left="0" w:firstLine="0"/>
        <w:jc w:val="left"/>
        <w:tabs>
          <w:tab w:val="right" w:leader="dot" w:pos="7937"/>
        </w:tabs>
      </w:pPr>
      <w:r>
        <w:rPr>
          <w:rFonts w:ascii="Times New Roman" w:hAnsi="Times New Roman"/>
          <w:b/>
          <w:sz w:val="24"/>
        </w:rPr>
        <w:t xml:space="preserve">ABSTRAK </w:t>
        <w:tab/>
        <w:t xml:space="preserve"> iii</w:t>
      </w:r>
    </w:p>
    <w:p>
      <w:pPr>
        <w:spacing w:line="300" w:lineRule="auto" w:before="60" w:after="40"/>
        <w:ind w:left="0" w:firstLine="0"/>
        <w:jc w:val="left"/>
        <w:tabs>
          <w:tab w:val="right" w:leader="dot" w:pos="7937"/>
        </w:tabs>
      </w:pPr>
      <w:r>
        <w:rPr>
          <w:rFonts w:ascii="Times New Roman" w:hAnsi="Times New Roman"/>
          <w:b/>
          <w:sz w:val="24"/>
        </w:rPr>
        <w:t xml:space="preserve">ABSTRACT </w:t>
        <w:tab/>
        <w:t xml:space="preserve"> iv</w:t>
      </w:r>
    </w:p>
    <w:p>
      <w:pPr>
        <w:spacing w:line="300" w:lineRule="auto" w:before="60" w:after="40"/>
        <w:ind w:left="0" w:firstLine="0"/>
        <w:jc w:val="left"/>
        <w:tabs>
          <w:tab w:val="right" w:leader="dot" w:pos="7937"/>
        </w:tabs>
      </w:pPr>
      <w:r>
        <w:rPr>
          <w:rFonts w:ascii="Times New Roman" w:hAnsi="Times New Roman"/>
          <w:b/>
          <w:sz w:val="24"/>
        </w:rPr>
        <w:t xml:space="preserve">KATA PENGANTAR </w:t>
        <w:tab/>
        <w:t xml:space="preserve"> v</w:t>
      </w:r>
    </w:p>
    <w:p>
      <w:pPr>
        <w:spacing w:line="300" w:lineRule="auto" w:before="60" w:after="40"/>
        <w:ind w:left="0" w:firstLine="0"/>
        <w:jc w:val="left"/>
        <w:tabs>
          <w:tab w:val="right" w:leader="dot" w:pos="7937"/>
        </w:tabs>
      </w:pPr>
      <w:r>
        <w:rPr>
          <w:rFonts w:ascii="Times New Roman" w:hAnsi="Times New Roman"/>
          <w:b/>
          <w:sz w:val="24"/>
        </w:rPr>
        <w:t xml:space="preserve">DAFTAR ISI </w:t>
        <w:tab/>
        <w:t xml:space="preserve"> vi</w:t>
      </w:r>
    </w:p>
    <w:p>
      <w:pPr>
        <w:spacing w:line="300" w:lineRule="auto" w:before="60" w:after="40"/>
        <w:ind w:left="0" w:firstLine="0"/>
        <w:jc w:val="left"/>
        <w:tabs>
          <w:tab w:val="right" w:leader="dot" w:pos="7937"/>
        </w:tabs>
      </w:pPr>
      <w:r>
        <w:rPr>
          <w:rFonts w:ascii="Times New Roman" w:hAnsi="Times New Roman"/>
          <w:b/>
          <w:sz w:val="24"/>
        </w:rPr>
        <w:t xml:space="preserve">DAFTAR TABEL </w:t>
        <w:tab/>
        <w:t xml:space="preserve"> vii</w:t>
      </w:r>
    </w:p>
    <w:p>
      <w:pPr>
        <w:spacing w:line="300" w:lineRule="auto" w:before="60" w:after="40"/>
        <w:ind w:left="0" w:firstLine="0"/>
        <w:jc w:val="left"/>
        <w:tabs>
          <w:tab w:val="right" w:leader="dot" w:pos="7937"/>
        </w:tabs>
      </w:pPr>
      <w:r>
        <w:rPr>
          <w:rFonts w:ascii="Times New Roman" w:hAnsi="Times New Roman"/>
          <w:b/>
          <w:sz w:val="24"/>
        </w:rPr>
        <w:t xml:space="preserve">DAFTAR GAMBAR </w:t>
        <w:tab/>
        <w:t xml:space="preserve"> vii</w:t>
      </w:r>
    </w:p>
    <w:p>
      <w:pPr>
        <w:spacing w:line="300" w:lineRule="auto" w:before="60" w:after="40"/>
        <w:ind w:left="1191" w:hanging="1191"/>
        <w:jc w:val="left"/>
        <w:tabs>
          <w:tab w:val="left" w:pos="1191"/>
          <w:tab w:val="right" w:leader="dot" w:pos="7937"/>
        </w:tabs>
      </w:pPr>
      <w:r>
        <w:rPr>
          <w:rFonts w:ascii="Times New Roman" w:hAnsi="Times New Roman"/>
          <w:b/>
          <w:sz w:val="24"/>
        </w:rPr>
        <w:t>BAB I</w:t>
        <w:tab/>
        <w:t xml:space="preserve">PENDAHULUAN </w:t>
        <w:tab/>
        <w:t xml:space="preserve"> 1</w:t>
      </w:r>
    </w:p>
    <w:p>
      <w:pPr>
        <w:spacing w:line="300" w:lineRule="auto" w:before="20" w:after="40"/>
        <w:ind w:left="850" w:hanging="567"/>
        <w:jc w:val="left"/>
        <w:tabs>
          <w:tab w:val="left" w:pos="850"/>
          <w:tab w:val="right" w:leader="dot" w:pos="7937"/>
        </w:tabs>
      </w:pPr>
      <w:r>
        <w:rPr>
          <w:rFonts w:ascii="Times New Roman" w:hAnsi="Times New Roman"/>
          <w:sz w:val="24"/>
        </w:rPr>
        <w:t>1.1.</w:t>
        <w:tab/>
      </w:r>
      <w:r>
        <w:rPr>
          <w:rFonts w:ascii="Times New Roman" w:hAnsi="Times New Roman"/>
          <w:b w:val="0"/>
          <w:i w:val="0"/>
          <w:sz w:val="24"/>
        </w:rPr>
        <w:t xml:space="preserve">Latar Belakang </w:t>
      </w:r>
      <w:r>
        <w:rPr>
          <w:rFonts w:ascii="Times New Roman" w:hAnsi="Times New Roman"/>
          <w:sz w:val="24"/>
        </w:rPr>
        <w:tab/>
        <w:t xml:space="preserve"> 1</w:t>
      </w:r>
    </w:p>
    <w:p>
      <w:pPr>
        <w:spacing w:line="300" w:lineRule="auto" w:before="20" w:after="40"/>
        <w:ind w:left="850" w:hanging="567"/>
        <w:jc w:val="left"/>
        <w:tabs>
          <w:tab w:val="left" w:pos="850"/>
          <w:tab w:val="right" w:leader="dot" w:pos="7937"/>
        </w:tabs>
      </w:pPr>
      <w:r>
        <w:rPr>
          <w:rFonts w:ascii="Times New Roman" w:hAnsi="Times New Roman"/>
          <w:sz w:val="24"/>
        </w:rPr>
        <w:t>1.2.</w:t>
        <w:tab/>
      </w:r>
      <w:r>
        <w:rPr>
          <w:rFonts w:ascii="Times New Roman" w:hAnsi="Times New Roman"/>
          <w:b w:val="0"/>
          <w:i w:val="0"/>
          <w:sz w:val="24"/>
        </w:rPr>
        <w:t xml:space="preserve">Rumusan Masalah </w:t>
      </w:r>
      <w:r>
        <w:rPr>
          <w:rFonts w:ascii="Times New Roman" w:hAnsi="Times New Roman"/>
          <w:sz w:val="24"/>
        </w:rPr>
        <w:tab/>
        <w:t xml:space="preserve"> 3</w:t>
      </w:r>
    </w:p>
    <w:p>
      <w:pPr>
        <w:spacing w:line="300" w:lineRule="auto" w:before="20" w:after="40"/>
        <w:ind w:left="850" w:hanging="567"/>
        <w:jc w:val="left"/>
        <w:tabs>
          <w:tab w:val="left" w:pos="850"/>
          <w:tab w:val="right" w:leader="dot" w:pos="7937"/>
        </w:tabs>
      </w:pPr>
      <w:r>
        <w:rPr>
          <w:rFonts w:ascii="Times New Roman" w:hAnsi="Times New Roman"/>
          <w:sz w:val="24"/>
        </w:rPr>
        <w:t>1.3.</w:t>
        <w:tab/>
      </w:r>
      <w:r>
        <w:rPr>
          <w:rFonts w:ascii="Times New Roman" w:hAnsi="Times New Roman"/>
          <w:b w:val="0"/>
          <w:i w:val="0"/>
          <w:sz w:val="24"/>
        </w:rPr>
        <w:t xml:space="preserve">Tujuan Penelitian </w:t>
      </w:r>
      <w:r>
        <w:rPr>
          <w:rFonts w:ascii="Times New Roman" w:hAnsi="Times New Roman"/>
          <w:sz w:val="24"/>
        </w:rPr>
        <w:tab/>
        <w:t xml:space="preserve"> 3</w:t>
      </w:r>
    </w:p>
    <w:p>
      <w:pPr>
        <w:spacing w:line="300" w:lineRule="auto" w:before="20" w:after="40"/>
        <w:ind w:left="850" w:hanging="567"/>
        <w:jc w:val="left"/>
        <w:tabs>
          <w:tab w:val="left" w:pos="850"/>
          <w:tab w:val="right" w:leader="dot" w:pos="7937"/>
        </w:tabs>
      </w:pPr>
      <w:r>
        <w:rPr>
          <w:rFonts w:ascii="Times New Roman" w:hAnsi="Times New Roman"/>
          <w:sz w:val="24"/>
        </w:rPr>
        <w:t>1.4.</w:t>
        <w:tab/>
      </w:r>
      <w:r>
        <w:rPr>
          <w:rFonts w:ascii="Times New Roman" w:hAnsi="Times New Roman"/>
          <w:b w:val="0"/>
          <w:i w:val="0"/>
          <w:sz w:val="24"/>
        </w:rPr>
        <w:t xml:space="preserve">Manfaat Penelitian </w:t>
      </w:r>
      <w:r>
        <w:rPr>
          <w:rFonts w:ascii="Times New Roman" w:hAnsi="Times New Roman"/>
          <w:sz w:val="24"/>
        </w:rPr>
        <w:tab/>
        <w:t xml:space="preserve"> 4</w:t>
      </w:r>
    </w:p>
    <w:p>
      <w:pPr>
        <w:spacing w:line="300" w:lineRule="auto" w:before="20" w:after="40"/>
        <w:ind w:left="850" w:hanging="567"/>
        <w:jc w:val="left"/>
        <w:tabs>
          <w:tab w:val="left" w:pos="850"/>
          <w:tab w:val="right" w:leader="dot" w:pos="7937"/>
        </w:tabs>
      </w:pPr>
      <w:r>
        <w:rPr>
          <w:rFonts w:ascii="Times New Roman" w:hAnsi="Times New Roman"/>
          <w:sz w:val="24"/>
        </w:rPr>
        <w:t>1.5.</w:t>
        <w:tab/>
      </w:r>
      <w:r>
        <w:rPr>
          <w:rFonts w:ascii="Times New Roman" w:hAnsi="Times New Roman"/>
          <w:b w:val="0"/>
          <w:i w:val="0"/>
          <w:sz w:val="24"/>
        </w:rPr>
        <w:t xml:space="preserve">Batasan Masalah </w:t>
      </w:r>
      <w:r>
        <w:rPr>
          <w:rFonts w:ascii="Times New Roman" w:hAnsi="Times New Roman"/>
          <w:sz w:val="24"/>
        </w:rPr>
        <w:tab/>
        <w:t xml:space="preserve"> 4</w:t>
      </w:r>
    </w:p>
    <w:p>
      <w:pPr>
        <w:spacing w:line="300" w:lineRule="auto" w:before="60" w:after="40"/>
        <w:ind w:left="1191" w:hanging="1191"/>
        <w:jc w:val="left"/>
        <w:tabs>
          <w:tab w:val="left" w:pos="1191"/>
          <w:tab w:val="right" w:leader="dot" w:pos="7937"/>
        </w:tabs>
      </w:pPr>
      <w:r>
        <w:rPr>
          <w:rFonts w:ascii="Times New Roman" w:hAnsi="Times New Roman"/>
          <w:b/>
          <w:sz w:val="24"/>
        </w:rPr>
        <w:t>BAB II</w:t>
        <w:tab/>
        <w:t xml:space="preserve">TINJAUAN PUSTAKA </w:t>
        <w:tab/>
        <w:t xml:space="preserve"> 6</w:t>
      </w:r>
    </w:p>
    <w:p>
      <w:pPr>
        <w:spacing w:line="300" w:lineRule="auto" w:before="20" w:after="40"/>
        <w:ind w:left="850" w:hanging="567"/>
        <w:jc w:val="left"/>
        <w:tabs>
          <w:tab w:val="left" w:pos="850"/>
          <w:tab w:val="right" w:leader="dot" w:pos="7937"/>
        </w:tabs>
      </w:pPr>
      <w:r>
        <w:rPr>
          <w:rFonts w:ascii="Times New Roman" w:hAnsi="Times New Roman"/>
          <w:sz w:val="24"/>
        </w:rPr>
        <w:t>2.1.</w:t>
        <w:tab/>
      </w:r>
      <w:r>
        <w:rPr>
          <w:rFonts w:ascii="Times New Roman" w:hAnsi="Times New Roman"/>
          <w:b w:val="0"/>
          <w:i w:val="0"/>
          <w:sz w:val="24"/>
        </w:rPr>
        <w:t xml:space="preserve">Penelitian Terdahulu </w:t>
      </w:r>
      <w:r>
        <w:rPr>
          <w:rFonts w:ascii="Times New Roman" w:hAnsi="Times New Roman"/>
          <w:sz w:val="24"/>
        </w:rPr>
        <w:tab/>
        <w:t xml:space="preserve"> 6</w:t>
      </w:r>
    </w:p>
    <w:p>
      <w:pPr>
        <w:spacing w:line="300" w:lineRule="auto" w:before="20" w:after="40"/>
        <w:ind w:left="850" w:hanging="567"/>
        <w:jc w:val="left"/>
        <w:tabs>
          <w:tab w:val="left" w:pos="850"/>
          <w:tab w:val="right" w:leader="dot" w:pos="7937"/>
        </w:tabs>
      </w:pPr>
      <w:r>
        <w:rPr>
          <w:rFonts w:ascii="Times New Roman" w:hAnsi="Times New Roman"/>
          <w:sz w:val="24"/>
        </w:rPr>
        <w:t>2.2.</w:t>
        <w:tab/>
      </w:r>
      <w:r>
        <w:rPr>
          <w:rFonts w:ascii="Times New Roman" w:hAnsi="Times New Roman"/>
          <w:b w:val="0"/>
          <w:i w:val="0"/>
          <w:sz w:val="24"/>
        </w:rPr>
        <w:t xml:space="preserve">Landasan Teori </w:t>
      </w:r>
      <w:r>
        <w:rPr>
          <w:rFonts w:ascii="Times New Roman" w:hAnsi="Times New Roman"/>
          <w:sz w:val="24"/>
        </w:rPr>
        <w:tab/>
        <w:t xml:space="preserve"> 9</w:t>
      </w:r>
    </w:p>
    <w:p>
      <w:pPr>
        <w:spacing w:line="300" w:lineRule="auto" w:before="20" w:after="40"/>
        <w:ind w:left="1587" w:hanging="737"/>
        <w:jc w:val="left"/>
        <w:tabs>
          <w:tab w:val="left" w:pos="1587"/>
          <w:tab w:val="right" w:leader="dot" w:pos="7937"/>
        </w:tabs>
      </w:pPr>
      <w:r>
        <w:rPr>
          <w:rFonts w:ascii="Times New Roman" w:hAnsi="Times New Roman"/>
          <w:sz w:val="24"/>
        </w:rPr>
        <w:t>2.2.1.</w:t>
        <w:tab/>
      </w:r>
      <w:r>
        <w:rPr>
          <w:rFonts w:ascii="Times New Roman" w:hAnsi="Times New Roman"/>
          <w:b w:val="0"/>
          <w:i w:val="0"/>
          <w:sz w:val="24"/>
        </w:rPr>
        <w:t xml:space="preserve">Jaringan </w:t>
      </w:r>
      <w:r>
        <w:rPr>
          <w:rFonts w:ascii="Times New Roman" w:hAnsi="Times New Roman"/>
          <w:b w:val="0"/>
          <w:i/>
          <w:sz w:val="24"/>
        </w:rPr>
        <w:t>Blockchain</w:t>
      </w:r>
      <w:r>
        <w:rPr>
          <w:rFonts w:ascii="Times New Roman" w:hAnsi="Times New Roman"/>
          <w:b w:val="0"/>
          <w:i w:val="0"/>
          <w:sz w:val="24"/>
        </w:rPr>
        <w:t xml:space="preserve"> Solana dan Konsensus </w:t>
      </w:r>
      <w:r>
        <w:rPr>
          <w:rFonts w:ascii="Times New Roman" w:hAnsi="Times New Roman"/>
          <w:b w:val="0"/>
          <w:i/>
          <w:sz w:val="24"/>
        </w:rPr>
        <w:t>Proof of History</w:t>
      </w:r>
      <w:r>
        <w:rPr>
          <w:rFonts w:ascii="Times New Roman" w:hAnsi="Times New Roman"/>
          <w:b w:val="0"/>
          <w:i w:val="0"/>
          <w:sz w:val="24"/>
        </w:rPr>
        <w:t xml:space="preserve"> </w:t>
      </w:r>
      <w:r>
        <w:rPr>
          <w:rFonts w:ascii="Times New Roman" w:hAnsi="Times New Roman"/>
          <w:sz w:val="24"/>
        </w:rPr>
        <w:tab/>
        <w:t xml:space="preserve"> 9</w:t>
      </w:r>
    </w:p>
    <w:p>
      <w:pPr>
        <w:spacing w:line="300" w:lineRule="auto" w:before="20" w:after="40"/>
        <w:ind w:left="1587" w:hanging="737"/>
        <w:jc w:val="left"/>
        <w:tabs>
          <w:tab w:val="left" w:pos="1587"/>
          <w:tab w:val="right" w:leader="dot" w:pos="7937"/>
        </w:tabs>
      </w:pPr>
      <w:r>
        <w:rPr>
          <w:rFonts w:ascii="Times New Roman" w:hAnsi="Times New Roman"/>
          <w:sz w:val="24"/>
        </w:rPr>
        <w:t>2.2.2.</w:t>
        <w:tab/>
      </w:r>
      <w:r>
        <w:rPr>
          <w:rFonts w:ascii="Times New Roman" w:hAnsi="Times New Roman"/>
          <w:b w:val="0"/>
          <w:i w:val="0"/>
          <w:sz w:val="24"/>
        </w:rPr>
        <w:t xml:space="preserve">Indikator Teknikal dan Normalisasi Deret Waktu Finansial </w:t>
      </w:r>
      <w:r>
        <w:rPr>
          <w:rFonts w:ascii="Times New Roman" w:hAnsi="Times New Roman"/>
          <w:sz w:val="24"/>
        </w:rPr>
        <w:tab/>
        <w:t xml:space="preserve"> 10</w:t>
      </w:r>
    </w:p>
    <w:p>
      <w:pPr>
        <w:spacing w:line="300" w:lineRule="auto" w:before="20" w:after="40"/>
        <w:ind w:left="1587" w:hanging="737"/>
        <w:jc w:val="left"/>
        <w:tabs>
          <w:tab w:val="left" w:pos="1587"/>
          <w:tab w:val="right" w:leader="dot" w:pos="7937"/>
        </w:tabs>
      </w:pPr>
      <w:r>
        <w:rPr>
          <w:rFonts w:ascii="Times New Roman" w:hAnsi="Times New Roman"/>
          <w:sz w:val="24"/>
        </w:rPr>
        <w:t>2.2.3.</w:t>
        <w:tab/>
      </w:r>
      <w:r>
        <w:rPr>
          <w:rFonts w:ascii="Times New Roman" w:hAnsi="Times New Roman"/>
          <w:b w:val="0"/>
          <w:i/>
          <w:sz w:val="24"/>
        </w:rPr>
        <w:t>Convolutional Neural Network</w:t>
      </w:r>
      <w:r>
        <w:rPr>
          <w:rFonts w:ascii="Times New Roman" w:hAnsi="Times New Roman"/>
          <w:b w:val="0"/>
          <w:i w:val="0"/>
          <w:sz w:val="24"/>
        </w:rPr>
        <w:t xml:space="preserve"> Satu Dimensi (1D-CNN) </w:t>
      </w:r>
      <w:r>
        <w:rPr>
          <w:rFonts w:ascii="Times New Roman" w:hAnsi="Times New Roman"/>
          <w:sz w:val="24"/>
        </w:rPr>
        <w:tab/>
        <w:t xml:space="preserve"> 12</w:t>
      </w:r>
    </w:p>
    <w:p>
      <w:pPr>
        <w:spacing w:line="300" w:lineRule="auto" w:before="20" w:after="40"/>
        <w:ind w:left="1587" w:hanging="737"/>
        <w:jc w:val="left"/>
        <w:tabs>
          <w:tab w:val="left" w:pos="1587"/>
          <w:tab w:val="right" w:leader="dot" w:pos="7937"/>
        </w:tabs>
      </w:pPr>
      <w:r>
        <w:rPr>
          <w:rFonts w:ascii="Times New Roman" w:hAnsi="Times New Roman"/>
          <w:sz w:val="24"/>
        </w:rPr>
        <w:t>2.2.4.</w:t>
        <w:tab/>
      </w:r>
      <w:r>
        <w:rPr>
          <w:rFonts w:ascii="Times New Roman" w:hAnsi="Times New Roman"/>
          <w:b w:val="0"/>
          <w:i w:val="0"/>
          <w:sz w:val="24"/>
        </w:rPr>
        <w:t xml:space="preserve">Arsitektur LSTM, GRU, dan Bidirectional LSTM (BiLSTM) </w:t>
      </w:r>
      <w:r>
        <w:rPr>
          <w:rFonts w:ascii="Times New Roman" w:hAnsi="Times New Roman"/>
          <w:sz w:val="24"/>
        </w:rPr>
        <w:tab/>
        <w:t xml:space="preserve"> 13</w:t>
      </w:r>
    </w:p>
    <w:p>
      <w:pPr>
        <w:spacing w:line="300" w:lineRule="auto" w:before="20" w:after="40"/>
        <w:ind w:left="1587" w:hanging="737"/>
        <w:jc w:val="left"/>
        <w:tabs>
          <w:tab w:val="left" w:pos="1587"/>
          <w:tab w:val="right" w:leader="dot" w:pos="7937"/>
        </w:tabs>
      </w:pPr>
      <w:r>
        <w:rPr>
          <w:rFonts w:ascii="Times New Roman" w:hAnsi="Times New Roman"/>
          <w:sz w:val="24"/>
        </w:rPr>
        <w:t>2.2.5.</w:t>
        <w:tab/>
      </w:r>
      <w:r>
        <w:rPr>
          <w:rFonts w:ascii="Times New Roman" w:hAnsi="Times New Roman"/>
          <w:b w:val="0"/>
          <w:i w:val="0"/>
          <w:sz w:val="24"/>
        </w:rPr>
        <w:t xml:space="preserve">Mekanisme </w:t>
      </w:r>
      <w:r>
        <w:rPr>
          <w:rFonts w:ascii="Times New Roman" w:hAnsi="Times New Roman"/>
          <w:b w:val="0"/>
          <w:i/>
          <w:sz w:val="24"/>
        </w:rPr>
        <w:t>Temporal Attention</w:t>
      </w:r>
      <w:r>
        <w:rPr>
          <w:rFonts w:ascii="Times New Roman" w:hAnsi="Times New Roman"/>
          <w:b w:val="0"/>
          <w:i w:val="0"/>
          <w:sz w:val="24"/>
        </w:rPr>
        <w:t xml:space="preserve"> dan Arsitektur Hibrida </w:t>
      </w:r>
      <w:r>
        <w:rPr>
          <w:rFonts w:ascii="Times New Roman" w:hAnsi="Times New Roman"/>
          <w:sz w:val="24"/>
        </w:rPr>
        <w:tab/>
        <w:t xml:space="preserve"> 15</w:t>
      </w:r>
    </w:p>
    <w:p>
      <w:pPr>
        <w:spacing w:line="300" w:lineRule="auto" w:before="20" w:after="40"/>
        <w:ind w:left="1587" w:hanging="737"/>
        <w:jc w:val="left"/>
        <w:tabs>
          <w:tab w:val="left" w:pos="1587"/>
          <w:tab w:val="right" w:leader="dot" w:pos="7937"/>
        </w:tabs>
      </w:pPr>
      <w:r>
        <w:rPr>
          <w:rFonts w:ascii="Times New Roman" w:hAnsi="Times New Roman"/>
          <w:sz w:val="24"/>
        </w:rPr>
        <w:t>2.2.6.</w:t>
        <w:tab/>
      </w:r>
      <w:r>
        <w:rPr>
          <w:rFonts w:ascii="Times New Roman" w:hAnsi="Times New Roman"/>
          <w:b w:val="0"/>
          <w:i w:val="0"/>
          <w:sz w:val="24"/>
        </w:rPr>
        <w:t xml:space="preserve">Metrik Evaluasi Kinerja Model Prediksi </w:t>
      </w:r>
      <w:r>
        <w:rPr>
          <w:rFonts w:ascii="Times New Roman" w:hAnsi="Times New Roman"/>
          <w:sz w:val="24"/>
        </w:rPr>
        <w:tab/>
        <w:t xml:space="preserve"> 18</w:t>
      </w:r>
    </w:p>
    <w:p>
      <w:pPr>
        <w:spacing w:line="300" w:lineRule="auto" w:before="60" w:after="40"/>
        <w:ind w:left="1191" w:hanging="1191"/>
        <w:jc w:val="left"/>
        <w:tabs>
          <w:tab w:val="left" w:pos="1191"/>
          <w:tab w:val="right" w:leader="dot" w:pos="7937"/>
        </w:tabs>
      </w:pPr>
      <w:r>
        <w:rPr>
          <w:rFonts w:ascii="Times New Roman" w:hAnsi="Times New Roman"/>
          <w:b/>
          <w:sz w:val="24"/>
        </w:rPr>
        <w:t>BAB III</w:t>
        <w:tab/>
        <w:t xml:space="preserve">METODOLOGI PENELITIAN </w:t>
        <w:tab/>
        <w:t xml:space="preserve"> 23</w:t>
      </w:r>
    </w:p>
    <w:p>
      <w:pPr>
        <w:spacing w:line="300" w:lineRule="auto" w:before="20" w:after="40"/>
        <w:ind w:left="850" w:hanging="567"/>
        <w:jc w:val="left"/>
        <w:tabs>
          <w:tab w:val="left" w:pos="850"/>
          <w:tab w:val="right" w:leader="dot" w:pos="7937"/>
        </w:tabs>
      </w:pPr>
      <w:r>
        <w:rPr>
          <w:rFonts w:ascii="Times New Roman" w:hAnsi="Times New Roman"/>
          <w:sz w:val="24"/>
        </w:rPr>
        <w:t>3.1.</w:t>
        <w:tab/>
      </w:r>
      <w:r>
        <w:rPr>
          <w:rFonts w:ascii="Times New Roman" w:hAnsi="Times New Roman"/>
          <w:b w:val="0"/>
          <w:i w:val="0"/>
          <w:sz w:val="24"/>
        </w:rPr>
        <w:t xml:space="preserve">Tipe dan Tahapan Rancangan Penelitian </w:t>
      </w:r>
      <w:r>
        <w:rPr>
          <w:rFonts w:ascii="Times New Roman" w:hAnsi="Times New Roman"/>
          <w:sz w:val="24"/>
        </w:rPr>
        <w:tab/>
        <w:t xml:space="preserve"> 23</w:t>
      </w:r>
    </w:p>
    <w:p>
      <w:pPr>
        <w:spacing w:line="300" w:lineRule="auto" w:before="20" w:after="40"/>
        <w:ind w:left="850" w:hanging="567"/>
        <w:jc w:val="left"/>
        <w:tabs>
          <w:tab w:val="left" w:pos="850"/>
          <w:tab w:val="right" w:leader="dot" w:pos="7937"/>
        </w:tabs>
      </w:pPr>
      <w:r>
        <w:rPr>
          <w:rFonts w:ascii="Times New Roman" w:hAnsi="Times New Roman"/>
          <w:sz w:val="24"/>
        </w:rPr>
        <w:t>3.2.</w:t>
        <w:tab/>
      </w:r>
      <w:r>
        <w:rPr>
          <w:rFonts w:ascii="Times New Roman" w:hAnsi="Times New Roman"/>
          <w:b w:val="0"/>
          <w:i w:val="0"/>
          <w:sz w:val="24"/>
        </w:rPr>
        <w:t xml:space="preserve">Akuisisi Data dan Rekayasa Fitur Multivariat Solana </w:t>
      </w:r>
      <w:r>
        <w:rPr>
          <w:rFonts w:ascii="Times New Roman" w:hAnsi="Times New Roman"/>
          <w:sz w:val="24"/>
        </w:rPr>
        <w:tab/>
        <w:t xml:space="preserve"> 24</w:t>
      </w:r>
    </w:p>
    <w:p>
      <w:pPr>
        <w:spacing w:line="300" w:lineRule="auto" w:before="20" w:after="40"/>
        <w:ind w:left="850" w:hanging="567"/>
        <w:jc w:val="left"/>
        <w:tabs>
          <w:tab w:val="left" w:pos="850"/>
          <w:tab w:val="right" w:leader="dot" w:pos="7937"/>
        </w:tabs>
      </w:pPr>
      <w:r>
        <w:rPr>
          <w:rFonts w:ascii="Times New Roman" w:hAnsi="Times New Roman"/>
          <w:sz w:val="24"/>
        </w:rPr>
        <w:t>3.3.</w:t>
        <w:tab/>
      </w:r>
      <w:r>
        <w:rPr>
          <w:rFonts w:ascii="Times New Roman" w:hAnsi="Times New Roman"/>
          <w:b w:val="0"/>
          <w:i w:val="0"/>
          <w:sz w:val="24"/>
        </w:rPr>
        <w:t xml:space="preserve">Pra-pemrosesan Data, Normalisasi, dan Pembagian Kronologis </w:t>
      </w:r>
      <w:r>
        <w:rPr>
          <w:rFonts w:ascii="Times New Roman" w:hAnsi="Times New Roman"/>
          <w:sz w:val="24"/>
        </w:rPr>
        <w:tab/>
        <w:t xml:space="preserve"> 27</w:t>
      </w:r>
    </w:p>
    <w:p>
      <w:pPr>
        <w:spacing w:line="300" w:lineRule="auto" w:before="20" w:after="40"/>
        <w:ind w:left="850" w:hanging="567"/>
        <w:jc w:val="left"/>
        <w:tabs>
          <w:tab w:val="left" w:pos="850"/>
          <w:tab w:val="right" w:leader="dot" w:pos="7937"/>
        </w:tabs>
      </w:pPr>
      <w:r>
        <w:rPr>
          <w:rFonts w:ascii="Times New Roman" w:hAnsi="Times New Roman"/>
          <w:sz w:val="24"/>
        </w:rPr>
        <w:t>3.4.</w:t>
        <w:tab/>
      </w:r>
      <w:r>
        <w:rPr>
          <w:rFonts w:ascii="Times New Roman" w:hAnsi="Times New Roman"/>
          <w:b w:val="0"/>
          <w:i w:val="0"/>
          <w:sz w:val="24"/>
        </w:rPr>
        <w:t xml:space="preserve">Perancangan Arsitektur Model Hibrida CNN-BiLSTM-Attention </w:t>
      </w:r>
      <w:r>
        <w:rPr>
          <w:rFonts w:ascii="Times New Roman" w:hAnsi="Times New Roman"/>
          <w:sz w:val="24"/>
        </w:rPr>
        <w:tab/>
        <w:t xml:space="preserve"> 29</w:t>
      </w:r>
    </w:p>
    <w:p>
      <w:pPr>
        <w:spacing w:line="300" w:lineRule="auto" w:before="20" w:after="40"/>
        <w:ind w:left="850" w:hanging="567"/>
        <w:jc w:val="left"/>
        <w:tabs>
          <w:tab w:val="left" w:pos="850"/>
          <w:tab w:val="right" w:leader="dot" w:pos="7937"/>
        </w:tabs>
      </w:pPr>
      <w:r>
        <w:rPr>
          <w:rFonts w:ascii="Times New Roman" w:hAnsi="Times New Roman"/>
          <w:sz w:val="24"/>
        </w:rPr>
        <w:t>3.5.</w:t>
        <w:tab/>
      </w:r>
      <w:r>
        <w:rPr>
          <w:rFonts w:ascii="Times New Roman" w:hAnsi="Times New Roman"/>
          <w:b w:val="0"/>
          <w:i w:val="0"/>
          <w:sz w:val="24"/>
        </w:rPr>
        <w:t xml:space="preserve">Skenario Pengujian, Evaluasi, dan Peralatan Pendukung </w:t>
      </w:r>
      <w:r>
        <w:rPr>
          <w:rFonts w:ascii="Times New Roman" w:hAnsi="Times New Roman"/>
          <w:sz w:val="24"/>
        </w:rPr>
        <w:tab/>
        <w:t xml:space="preserve"> 31</w:t>
      </w:r>
    </w:p>
    <w:p>
      <w:pPr>
        <w:spacing w:line="300" w:lineRule="auto" w:before="60" w:after="40"/>
        <w:ind w:left="0" w:firstLine="0"/>
        <w:jc w:val="left"/>
        <w:tabs>
          <w:tab w:val="right" w:leader="dot" w:pos="7937"/>
        </w:tabs>
      </w:pPr>
      <w:r>
        <w:rPr>
          <w:rFonts w:ascii="Times New Roman" w:hAnsi="Times New Roman"/>
          <w:b/>
          <w:sz w:val="24"/>
        </w:rPr>
        <w:t xml:space="preserve">DAFTAR PUSTAKA </w:t>
        <w:tab/>
        <w:t xml:space="preserve"> 34</w:t>
      </w:r>
    </w:p>
    <w:p>
      <w:r>
        <w:br w:type="page"/>
      </w:r>
    </w:p>
    <w:p>
      <w:pPr>
        <w:spacing w:before="0" w:after="240"/>
        <w:jc w:val="center"/>
      </w:pPr>
      <w:r>
        <w:rPr>
          <w:rFonts w:ascii="Times New Roman" w:hAnsi="Times New Roman"/>
          <w:b/>
          <w:sz w:val="28"/>
        </w:rPr>
        <w:t>DAFTAR TABEL</w:t>
      </w:r>
    </w:p>
    <w:p>
      <w:pPr>
        <w:spacing w:line="324" w:lineRule="auto" w:before="40" w:after="60"/>
        <w:ind w:left="1361" w:hanging="1361"/>
        <w:jc w:val="left"/>
        <w:tabs>
          <w:tab w:val="left" w:pos="1361"/>
          <w:tab w:val="right" w:leader="dot" w:pos="7937"/>
        </w:tabs>
      </w:pPr>
      <w:r>
        <w:rPr>
          <w:rFonts w:ascii="Times New Roman" w:hAnsi="Times New Roman"/>
          <w:b/>
          <w:sz w:val="24"/>
        </w:rPr>
        <w:t>Tabel 2.1</w:t>
        <w:tab/>
      </w:r>
      <w:r>
        <w:rPr>
          <w:rFonts w:ascii="Times New Roman" w:hAnsi="Times New Roman"/>
          <w:b w:val="0"/>
          <w:i w:val="0"/>
          <w:sz w:val="24"/>
        </w:rPr>
        <w:t xml:space="preserve">Ringkasan dan Perbandingan Penelitian Terdahulu (2021–2026) </w:t>
      </w:r>
      <w:r>
        <w:rPr>
          <w:rFonts w:ascii="Times New Roman" w:hAnsi="Times New Roman"/>
          <w:sz w:val="24"/>
        </w:rPr>
        <w:tab/>
        <w:t xml:space="preserve"> 7</w:t>
      </w:r>
    </w:p>
    <w:p>
      <w:pPr>
        <w:spacing w:line="324" w:lineRule="auto" w:before="40" w:after="60"/>
        <w:ind w:left="1361" w:hanging="1361"/>
        <w:jc w:val="left"/>
        <w:tabs>
          <w:tab w:val="left" w:pos="1361"/>
          <w:tab w:val="right" w:leader="dot" w:pos="7937"/>
        </w:tabs>
      </w:pPr>
      <w:r>
        <w:rPr>
          <w:rFonts w:ascii="Times New Roman" w:hAnsi="Times New Roman"/>
          <w:b/>
          <w:sz w:val="24"/>
        </w:rPr>
        <w:t>Tabel 2.2</w:t>
        <w:tab/>
      </w:r>
      <w:r>
        <w:rPr>
          <w:rFonts w:ascii="Times New Roman" w:hAnsi="Times New Roman"/>
          <w:b w:val="0"/>
          <w:i w:val="0"/>
          <w:sz w:val="24"/>
        </w:rPr>
        <w:t xml:space="preserve">Kriteria Interpretasi Akurasi Prediksi Berdasarkan Nilai MAPE </w:t>
      </w:r>
      <w:r>
        <w:rPr>
          <w:rFonts w:ascii="Times New Roman" w:hAnsi="Times New Roman"/>
          <w:sz w:val="24"/>
        </w:rPr>
        <w:tab/>
        <w:t xml:space="preserve"> 20</w:t>
      </w:r>
    </w:p>
    <w:p>
      <w:pPr>
        <w:spacing w:line="324" w:lineRule="auto" w:before="40" w:after="60"/>
        <w:ind w:left="1361" w:hanging="1361"/>
        <w:jc w:val="left"/>
        <w:tabs>
          <w:tab w:val="left" w:pos="1361"/>
          <w:tab w:val="right" w:leader="dot" w:pos="7937"/>
        </w:tabs>
      </w:pPr>
      <w:r>
        <w:rPr>
          <w:rFonts w:ascii="Times New Roman" w:hAnsi="Times New Roman"/>
          <w:b/>
          <w:sz w:val="24"/>
        </w:rPr>
        <w:t>Tabel 3.1</w:t>
        <w:tab/>
      </w:r>
      <w:r>
        <w:rPr>
          <w:rFonts w:ascii="Times New Roman" w:hAnsi="Times New Roman"/>
          <w:b w:val="0"/>
          <w:i w:val="0"/>
          <w:sz w:val="24"/>
        </w:rPr>
        <w:t xml:space="preserve">Spesifikasi Atribut Fitur Multivariat Dataset Solana (SOL-USD) </w:t>
      </w:r>
      <w:r>
        <w:rPr>
          <w:rFonts w:ascii="Times New Roman" w:hAnsi="Times New Roman"/>
          <w:sz w:val="24"/>
        </w:rPr>
        <w:tab/>
        <w:t xml:space="preserve"> 24</w:t>
      </w:r>
    </w:p>
    <w:p>
      <w:pPr>
        <w:spacing w:line="324" w:lineRule="auto" w:before="40" w:after="60"/>
        <w:ind w:left="1361" w:hanging="1361"/>
        <w:jc w:val="left"/>
        <w:tabs>
          <w:tab w:val="left" w:pos="1361"/>
          <w:tab w:val="right" w:leader="dot" w:pos="7937"/>
        </w:tabs>
      </w:pPr>
      <w:r>
        <w:rPr>
          <w:rFonts w:ascii="Times New Roman" w:hAnsi="Times New Roman"/>
          <w:b/>
          <w:sz w:val="24"/>
        </w:rPr>
        <w:t>Tabel 3.2</w:t>
        <w:tab/>
      </w:r>
      <w:r>
        <w:rPr>
          <w:rFonts w:ascii="Times New Roman" w:hAnsi="Times New Roman"/>
          <w:b w:val="0"/>
          <w:i w:val="0"/>
          <w:sz w:val="24"/>
        </w:rPr>
        <w:t xml:space="preserve">Statistik Deskriptif dan Skema Pembagian Kronologis Dataset </w:t>
      </w:r>
      <w:r>
        <w:rPr>
          <w:rFonts w:ascii="Times New Roman" w:hAnsi="Times New Roman"/>
          <w:sz w:val="24"/>
        </w:rPr>
        <w:tab/>
        <w:t xml:space="preserve"> 28</w:t>
      </w:r>
    </w:p>
    <w:p>
      <w:pPr>
        <w:spacing w:line="324" w:lineRule="auto" w:before="40" w:after="60"/>
        <w:ind w:left="1361" w:hanging="1361"/>
        <w:jc w:val="left"/>
        <w:tabs>
          <w:tab w:val="left" w:pos="1361"/>
          <w:tab w:val="right" w:leader="dot" w:pos="7937"/>
        </w:tabs>
      </w:pPr>
      <w:r>
        <w:rPr>
          <w:rFonts w:ascii="Times New Roman" w:hAnsi="Times New Roman"/>
          <w:b/>
          <w:sz w:val="24"/>
        </w:rPr>
        <w:t>Tabel 3.3</w:t>
        <w:tab/>
      </w:r>
      <w:r>
        <w:rPr>
          <w:rFonts w:ascii="Times New Roman" w:hAnsi="Times New Roman"/>
          <w:b w:val="0"/>
          <w:i w:val="0"/>
          <w:sz w:val="24"/>
        </w:rPr>
        <w:t xml:space="preserve">Konfigurasi Hiperparameter dan Arsitektur Model yang Dikomparasikan </w:t>
      </w:r>
      <w:r>
        <w:rPr>
          <w:rFonts w:ascii="Times New Roman" w:hAnsi="Times New Roman"/>
          <w:sz w:val="24"/>
        </w:rPr>
        <w:tab/>
        <w:t xml:space="preserve"> 29</w:t>
      </w:r>
    </w:p>
    <w:p>
      <w:pPr>
        <w:spacing w:line="324" w:lineRule="auto" w:before="40" w:after="60"/>
        <w:ind w:left="1361" w:hanging="1361"/>
        <w:jc w:val="left"/>
        <w:tabs>
          <w:tab w:val="left" w:pos="1361"/>
          <w:tab w:val="right" w:leader="dot" w:pos="7937"/>
        </w:tabs>
      </w:pPr>
      <w:r>
        <w:rPr>
          <w:rFonts w:ascii="Times New Roman" w:hAnsi="Times New Roman"/>
          <w:b/>
          <w:sz w:val="24"/>
        </w:rPr>
        <w:t>Tabel 3.4</w:t>
        <w:tab/>
      </w:r>
      <w:r>
        <w:rPr>
          <w:rFonts w:ascii="Times New Roman" w:hAnsi="Times New Roman"/>
          <w:b w:val="0"/>
          <w:i w:val="0"/>
          <w:sz w:val="24"/>
        </w:rPr>
        <w:t>Hasil Riset Pendahuluan (</w:t>
      </w:r>
      <w:r>
        <w:rPr>
          <w:rFonts w:ascii="Times New Roman" w:hAnsi="Times New Roman"/>
          <w:b w:val="0"/>
          <w:i/>
          <w:sz w:val="24"/>
        </w:rPr>
        <w:t>Pilot Study</w:t>
      </w:r>
      <w:r>
        <w:rPr>
          <w:rFonts w:ascii="Times New Roman" w:hAnsi="Times New Roman"/>
          <w:b w:val="0"/>
          <w:i w:val="0"/>
          <w:sz w:val="24"/>
        </w:rPr>
        <w:t xml:space="preserve">) pada Data Uji Solana </w:t>
      </w:r>
      <w:r>
        <w:rPr>
          <w:rFonts w:ascii="Times New Roman" w:hAnsi="Times New Roman"/>
          <w:sz w:val="24"/>
        </w:rPr>
        <w:tab/>
        <w:t xml:space="preserve"> 32</w:t>
      </w:r>
    </w:p>
    <w:p>
      <w:pPr>
        <w:spacing w:before="440" w:after="240"/>
        <w:jc w:val="center"/>
      </w:pPr>
      <w:r>
        <w:rPr>
          <w:rFonts w:ascii="Times New Roman" w:hAnsi="Times New Roman"/>
          <w:b/>
          <w:sz w:val="28"/>
        </w:rPr>
        <w:t>DAFTAR GAMBAR</w:t>
      </w:r>
    </w:p>
    <w:p>
      <w:pPr>
        <w:spacing w:line="324" w:lineRule="auto" w:before="40" w:after="60"/>
        <w:ind w:left="1361" w:hanging="1361"/>
        <w:jc w:val="left"/>
        <w:tabs>
          <w:tab w:val="left" w:pos="1361"/>
          <w:tab w:val="right" w:leader="dot" w:pos="7937"/>
        </w:tabs>
      </w:pPr>
      <w:r>
        <w:rPr>
          <w:rFonts w:ascii="Times New Roman" w:hAnsi="Times New Roman"/>
          <w:b/>
          <w:sz w:val="24"/>
        </w:rPr>
        <w:t>Gambar 2.1</w:t>
        <w:tab/>
      </w:r>
      <w:r>
        <w:rPr>
          <w:rFonts w:ascii="Times New Roman" w:hAnsi="Times New Roman"/>
          <w:b w:val="0"/>
          <w:i w:val="0"/>
          <w:sz w:val="24"/>
        </w:rPr>
        <w:t xml:space="preserve">Arsitektur Model Hibrida CNN-BiLSTM dengan Mekanisme </w:t>
      </w:r>
      <w:r>
        <w:rPr>
          <w:rFonts w:ascii="Times New Roman" w:hAnsi="Times New Roman"/>
          <w:b w:val="0"/>
          <w:i/>
          <w:sz w:val="24"/>
        </w:rPr>
        <w:t>Temporal Attention</w:t>
      </w:r>
      <w:r>
        <w:rPr>
          <w:rFonts w:ascii="Times New Roman" w:hAnsi="Times New Roman"/>
          <w:b w:val="0"/>
          <w:i w:val="0"/>
          <w:sz w:val="24"/>
        </w:rPr>
        <w:t xml:space="preserve"> </w:t>
      </w:r>
      <w:r>
        <w:rPr>
          <w:rFonts w:ascii="Times New Roman" w:hAnsi="Times New Roman"/>
          <w:sz w:val="24"/>
        </w:rPr>
        <w:tab/>
        <w:t xml:space="preserve"> 17</w:t>
      </w:r>
    </w:p>
    <w:p>
      <w:pPr>
        <w:spacing w:line="324" w:lineRule="auto" w:before="40" w:after="60"/>
        <w:ind w:left="1361" w:hanging="1361"/>
        <w:jc w:val="left"/>
        <w:tabs>
          <w:tab w:val="left" w:pos="1361"/>
          <w:tab w:val="right" w:leader="dot" w:pos="7937"/>
        </w:tabs>
      </w:pPr>
      <w:r>
        <w:rPr>
          <w:rFonts w:ascii="Times New Roman" w:hAnsi="Times New Roman"/>
          <w:b/>
          <w:sz w:val="24"/>
        </w:rPr>
        <w:t>Gambar 2.2</w:t>
        <w:tab/>
      </w:r>
      <w:r>
        <w:rPr>
          <w:rFonts w:ascii="Times New Roman" w:hAnsi="Times New Roman"/>
          <w:b w:val="0"/>
          <w:i w:val="0"/>
          <w:sz w:val="24"/>
        </w:rPr>
        <w:t>Peta Konsep Penelitian (</w:t>
      </w:r>
      <w:r>
        <w:rPr>
          <w:rFonts w:ascii="Times New Roman" w:hAnsi="Times New Roman"/>
          <w:b w:val="0"/>
          <w:i/>
          <w:sz w:val="24"/>
        </w:rPr>
        <w:t>Research Mind Map</w:t>
      </w:r>
      <w:r>
        <w:rPr>
          <w:rFonts w:ascii="Times New Roman" w:hAnsi="Times New Roman"/>
          <w:b w:val="0"/>
          <w:i w:val="0"/>
          <w:sz w:val="24"/>
        </w:rPr>
        <w:t xml:space="preserve">) Prediksi Harga Solana </w:t>
      </w:r>
      <w:r>
        <w:rPr>
          <w:rFonts w:ascii="Times New Roman" w:hAnsi="Times New Roman"/>
          <w:sz w:val="24"/>
        </w:rPr>
        <w:tab/>
        <w:t xml:space="preserve"> 21</w:t>
      </w:r>
    </w:p>
    <w:p>
      <w:pPr>
        <w:spacing w:line="324" w:lineRule="auto" w:before="40" w:after="60"/>
        <w:ind w:left="1361" w:hanging="1361"/>
        <w:jc w:val="left"/>
        <w:tabs>
          <w:tab w:val="left" w:pos="1361"/>
          <w:tab w:val="right" w:leader="dot" w:pos="7937"/>
        </w:tabs>
      </w:pPr>
      <w:r>
        <w:rPr>
          <w:rFonts w:ascii="Times New Roman" w:hAnsi="Times New Roman"/>
          <w:b/>
          <w:sz w:val="24"/>
        </w:rPr>
        <w:t>Gambar 3.1</w:t>
        <w:tab/>
      </w:r>
      <w:r>
        <w:rPr>
          <w:rFonts w:ascii="Times New Roman" w:hAnsi="Times New Roman"/>
          <w:b w:val="0"/>
          <w:i w:val="0"/>
          <w:sz w:val="24"/>
        </w:rPr>
        <w:t xml:space="preserve">Diagram Alir Tahapan Metodologi Penelitian </w:t>
      </w:r>
      <w:r>
        <w:rPr>
          <w:rFonts w:ascii="Times New Roman" w:hAnsi="Times New Roman"/>
          <w:sz w:val="24"/>
        </w:rPr>
        <w:tab/>
        <w:t xml:space="preserve"> 23</w:t>
      </w:r>
    </w:p>
    <w:p>
      <w:pPr>
        <w:spacing w:line="324" w:lineRule="auto" w:before="40" w:after="60"/>
        <w:ind w:left="1361" w:hanging="1361"/>
        <w:jc w:val="left"/>
        <w:tabs>
          <w:tab w:val="left" w:pos="1361"/>
          <w:tab w:val="right" w:leader="dot" w:pos="7937"/>
        </w:tabs>
      </w:pPr>
      <w:r>
        <w:rPr>
          <w:rFonts w:ascii="Times New Roman" w:hAnsi="Times New Roman"/>
          <w:b/>
          <w:sz w:val="24"/>
        </w:rPr>
        <w:t>Gambar 3.2</w:t>
        <w:tab/>
      </w:r>
      <w:r>
        <w:rPr>
          <w:rFonts w:ascii="Times New Roman" w:hAnsi="Times New Roman"/>
          <w:b w:val="0"/>
          <w:i w:val="0"/>
          <w:sz w:val="24"/>
        </w:rPr>
        <w:t xml:space="preserve">Dinamika Harga Historis Solana (SOL-USD) dan Indikator Teknikal </w:t>
      </w:r>
      <w:r>
        <w:rPr>
          <w:rFonts w:ascii="Times New Roman" w:hAnsi="Times New Roman"/>
          <w:sz w:val="24"/>
        </w:rPr>
        <w:tab/>
        <w:t xml:space="preserve"> 26</w:t>
      </w:r>
    </w:p>
    <w:p>
      <w:pPr>
        <w:spacing w:line="324" w:lineRule="auto" w:before="40" w:after="60"/>
        <w:ind w:left="1361" w:hanging="1361"/>
        <w:jc w:val="left"/>
        <w:tabs>
          <w:tab w:val="left" w:pos="1361"/>
          <w:tab w:val="right" w:leader="dot" w:pos="7937"/>
        </w:tabs>
      </w:pPr>
      <w:r>
        <w:rPr>
          <w:rFonts w:ascii="Times New Roman" w:hAnsi="Times New Roman"/>
          <w:b/>
          <w:sz w:val="24"/>
        </w:rPr>
        <w:t>Gambar 3.3</w:t>
        <w:tab/>
      </w:r>
      <w:r>
        <w:rPr>
          <w:rFonts w:ascii="Times New Roman" w:hAnsi="Times New Roman"/>
          <w:b w:val="0"/>
          <w:i w:val="0"/>
          <w:sz w:val="24"/>
        </w:rPr>
        <w:t xml:space="preserve">Matriks Korelasi Pearson Fitur Multivariat dan Indikator Teknikal Solana </w:t>
      </w:r>
      <w:r>
        <w:rPr>
          <w:rFonts w:ascii="Times New Roman" w:hAnsi="Times New Roman"/>
          <w:sz w:val="24"/>
        </w:rPr>
        <w:tab/>
        <w:t xml:space="preserve"> 27</w:t>
      </w:r>
    </w:p>
    <w:p>
      <w:pPr>
        <w:spacing w:line="324" w:lineRule="auto" w:before="40" w:after="60"/>
        <w:ind w:left="1361" w:hanging="1361"/>
        <w:jc w:val="left"/>
        <w:tabs>
          <w:tab w:val="left" w:pos="1361"/>
          <w:tab w:val="right" w:leader="dot" w:pos="7937"/>
        </w:tabs>
      </w:pPr>
      <w:r>
        <w:rPr>
          <w:rFonts w:ascii="Times New Roman" w:hAnsi="Times New Roman"/>
          <w:b/>
          <w:sz w:val="24"/>
        </w:rPr>
        <w:t>Gambar 3.4</w:t>
        <w:tab/>
      </w:r>
      <w:r>
        <w:rPr>
          <w:rFonts w:ascii="Times New Roman" w:hAnsi="Times New Roman"/>
          <w:b w:val="0"/>
          <w:i w:val="0"/>
          <w:sz w:val="24"/>
        </w:rPr>
        <w:t xml:space="preserve">Perbandingan Harga Aktual vs Prediksi Model pada Riset Kecil </w:t>
      </w:r>
      <w:r>
        <w:rPr>
          <w:rFonts w:ascii="Times New Roman" w:hAnsi="Times New Roman"/>
          <w:sz w:val="24"/>
        </w:rPr>
        <w:tab/>
        <w:t xml:space="preserve"> 33</w:t>
      </w:r>
    </w:p>
    <w:p>
      <w:pPr>
        <w:sectPr>
          <w:footerReference w:type="default" r:id="rId10"/>
          <w:pgSz w:w="11906" w:h="16838"/>
          <w:pgMar w:top="1701" w:right="1701" w:bottom="1701" w:left="2268" w:header="720" w:footer="720" w:gutter="0"/>
          <w:cols w:space="720"/>
          <w:docGrid w:linePitch="360"/>
          <w:pgNumType w:fmt="lowerRoman" w:start="1"/>
        </w:sectPr>
      </w:pPr>
    </w:p>
    <w:p>
      <w:pPr>
        <w:keepNext/>
        <w:spacing w:before="0" w:after="280" w:line="360" w:lineRule="auto"/>
        <w:jc w:val="center"/>
      </w:pPr>
      <w:r>
        <w:rPr>
          <w:rFonts w:ascii="Times New Roman" w:hAnsi="Times New Roman"/>
          <w:b/>
          <w:sz w:val="28"/>
        </w:rPr>
        <w:t>BAB I</w:t>
        <w:br/>
        <w:t>PENDAHULUAN</w:t>
      </w:r>
    </w:p>
    <w:p>
      <w:pPr>
        <w:keepNext/>
        <w:spacing w:before="200" w:after="80" w:line="360" w:lineRule="auto"/>
        <w:jc w:val="left"/>
      </w:pPr>
      <w:r>
        <w:rPr>
          <w:rFonts w:ascii="Times New Roman" w:hAnsi="Times New Roman"/>
          <w:b/>
          <w:sz w:val="24"/>
        </w:rPr>
        <w:t xml:space="preserve">1.1.  </w:t>
      </w:r>
      <w:r>
        <w:rPr>
          <w:rFonts w:ascii="Times New Roman" w:hAnsi="Times New Roman"/>
          <w:b/>
          <w:i w:val="0"/>
          <w:sz w:val="24"/>
        </w:rPr>
        <w:t>Latar Belakang</w:t>
      </w:r>
    </w:p>
    <w:p>
      <w:pPr>
        <w:spacing w:line="360" w:lineRule="auto" w:after="120"/>
        <w:ind w:firstLine="567"/>
        <w:jc w:val="both"/>
      </w:pPr>
      <w:r>
        <w:rPr>
          <w:rFonts w:ascii="Times New Roman" w:hAnsi="Times New Roman"/>
          <w:b w:val="0"/>
          <w:i w:val="0"/>
          <w:sz w:val="24"/>
        </w:rPr>
        <w:t>Transformasi ekosistem keuangan digital dalam satu dekade terakhir telah menempatkan aset kripto (</w:t>
      </w:r>
      <w:r>
        <w:rPr>
          <w:rFonts w:ascii="Times New Roman" w:hAnsi="Times New Roman"/>
          <w:b w:val="0"/>
          <w:i/>
          <w:sz w:val="24"/>
        </w:rPr>
        <w:t>cryptocurrency</w:t>
      </w:r>
      <w:r>
        <w:rPr>
          <w:rFonts w:ascii="Times New Roman" w:hAnsi="Times New Roman"/>
          <w:b w:val="0"/>
          <w:i w:val="0"/>
          <w:sz w:val="24"/>
        </w:rPr>
        <w:t xml:space="preserve">) sebagai salah satu instrumen investasi global dengan pertumbuhan kapitalisasi pasar paling pesat [1], [2]. Di antara ribuan aset kripto yang beredar, Solana (SOL) muncul sebagai infrastruktur </w:t>
      </w:r>
      <w:r>
        <w:rPr>
          <w:rFonts w:ascii="Times New Roman" w:hAnsi="Times New Roman"/>
          <w:b w:val="0"/>
          <w:i/>
          <w:sz w:val="24"/>
        </w:rPr>
        <w:t>blockchain</w:t>
      </w:r>
      <w:r>
        <w:rPr>
          <w:rFonts w:ascii="Times New Roman" w:hAnsi="Times New Roman"/>
          <w:b w:val="0"/>
          <w:i w:val="0"/>
          <w:sz w:val="24"/>
        </w:rPr>
        <w:t xml:space="preserve"> lapisan pertama (Layer-1) generasi ketiga yang menawarkan terobosan arsitektural melalui perpaduan mekanisme konsensus </w:t>
      </w:r>
      <w:r>
        <w:rPr>
          <w:rFonts w:ascii="Times New Roman" w:hAnsi="Times New Roman"/>
          <w:b w:val="0"/>
          <w:i/>
          <w:sz w:val="24"/>
        </w:rPr>
        <w:t>Proof of History</w:t>
      </w:r>
      <w:r>
        <w:rPr>
          <w:rFonts w:ascii="Times New Roman" w:hAnsi="Times New Roman"/>
          <w:b w:val="0"/>
          <w:i w:val="0"/>
          <w:sz w:val="24"/>
        </w:rPr>
        <w:t xml:space="preserve"> (PoH) dan </w:t>
      </w:r>
      <w:r>
        <w:rPr>
          <w:rFonts w:ascii="Times New Roman" w:hAnsi="Times New Roman"/>
          <w:b w:val="0"/>
          <w:i/>
          <w:sz w:val="24"/>
        </w:rPr>
        <w:t>Proof of Stake</w:t>
      </w:r>
      <w:r>
        <w:rPr>
          <w:rFonts w:ascii="Times New Roman" w:hAnsi="Times New Roman"/>
          <w:b w:val="0"/>
          <w:i w:val="0"/>
          <w:sz w:val="24"/>
        </w:rPr>
        <w:t xml:space="preserve"> (PoS) [3], [4]. Arsitektur PoH memungkinkan pencatatan urutan waktu transaksi secara kriptografis sebelum proses konsensus berlangsung, sehingga jaringan Solana mampu mencapai kapasitas pemrosesan ribuan transaksi per detik (</w:t>
      </w:r>
      <w:r>
        <w:rPr>
          <w:rFonts w:ascii="Times New Roman" w:hAnsi="Times New Roman"/>
          <w:b w:val="0"/>
          <w:i/>
          <w:sz w:val="24"/>
        </w:rPr>
        <w:t>high-throughput</w:t>
      </w:r>
      <w:r>
        <w:rPr>
          <w:rFonts w:ascii="Times New Roman" w:hAnsi="Times New Roman"/>
          <w:b w:val="0"/>
          <w:i w:val="0"/>
          <w:sz w:val="24"/>
        </w:rPr>
        <w:t>) dengan biaya transaksi yang sangat rendah [3], [5]. Keunggulan teknis ini menjadikan Solana sebagai tulang punggung utama bagi aktivitas bursa terdesentralisasi (</w:t>
      </w:r>
      <w:r>
        <w:rPr>
          <w:rFonts w:ascii="Times New Roman" w:hAnsi="Times New Roman"/>
          <w:b w:val="0"/>
          <w:i/>
          <w:sz w:val="24"/>
        </w:rPr>
        <w:t>Decentralized Exchange</w:t>
      </w:r>
      <w:r>
        <w:rPr>
          <w:rFonts w:ascii="Times New Roman" w:hAnsi="Times New Roman"/>
          <w:b w:val="0"/>
          <w:i w:val="0"/>
          <w:sz w:val="24"/>
        </w:rPr>
        <w:t xml:space="preserve"> / DEX), protokol keuangan terdesentralisasi (</w:t>
      </w:r>
      <w:r>
        <w:rPr>
          <w:rFonts w:ascii="Times New Roman" w:hAnsi="Times New Roman"/>
          <w:b w:val="0"/>
          <w:i/>
          <w:sz w:val="24"/>
        </w:rPr>
        <w:t>Decentralized Finance</w:t>
      </w:r>
      <w:r>
        <w:rPr>
          <w:rFonts w:ascii="Times New Roman" w:hAnsi="Times New Roman"/>
          <w:b w:val="0"/>
          <w:i w:val="0"/>
          <w:sz w:val="24"/>
        </w:rPr>
        <w:t xml:space="preserve"> / DeFi), hingga efisiensi kompresi status aset digital </w:t>
      </w:r>
      <w:r>
        <w:rPr>
          <w:rFonts w:ascii="Times New Roman" w:hAnsi="Times New Roman"/>
          <w:b w:val="0"/>
          <w:i/>
          <w:sz w:val="24"/>
        </w:rPr>
        <w:t>Non-Fungible Token</w:t>
      </w:r>
      <w:r>
        <w:rPr>
          <w:rFonts w:ascii="Times New Roman" w:hAnsi="Times New Roman"/>
          <w:b w:val="0"/>
          <w:i w:val="0"/>
          <w:sz w:val="24"/>
        </w:rPr>
        <w:t xml:space="preserve"> (NFT) [6], [7].</w:t>
      </w:r>
    </w:p>
    <w:p>
      <w:pPr>
        <w:spacing w:line="360" w:lineRule="auto" w:after="120"/>
        <w:ind w:firstLine="567"/>
        <w:jc w:val="both"/>
      </w:pPr>
      <w:r>
        <w:rPr>
          <w:rFonts w:ascii="Times New Roman" w:hAnsi="Times New Roman"/>
          <w:b w:val="0"/>
          <w:i w:val="0"/>
          <w:sz w:val="24"/>
        </w:rPr>
        <w:t xml:space="preserve">Tingginya intensitas aktivitas </w:t>
      </w:r>
      <w:r>
        <w:rPr>
          <w:rFonts w:ascii="Times New Roman" w:hAnsi="Times New Roman"/>
          <w:b w:val="0"/>
          <w:i/>
          <w:sz w:val="24"/>
        </w:rPr>
        <w:t>on-chain</w:t>
      </w:r>
      <w:r>
        <w:rPr>
          <w:rFonts w:ascii="Times New Roman" w:hAnsi="Times New Roman"/>
          <w:b w:val="0"/>
          <w:i w:val="0"/>
          <w:sz w:val="24"/>
        </w:rPr>
        <w:t xml:space="preserve"> dan likuiditas perdagangan pada ekosistem Solana membawa konsekuensi langsung terhadap dinamika harga pasarnya di bursa global (SOL-USD). Berbeda dengan instrumen pasar modal konvensional atau aset kripto generasi pertama seperti Bitcoin yang relatif lebih matang, pergerakan harga Solana menunjukkan tingkat volatilitas yang jauh lebih agresif, bersifat non-linier, non-stasioner, dan sangat sensitif terhadap guncangan likuiditas maupun kepadatan transaksi jaringan [5], [8], [9]. Berdasarkan data perdagangan historis pada periode Januari 2021 hingga September 2026, harga penutupan harian Solana tercatat pernah menyentuh titik terendah sebesar 2,99 USD sebelum melonjak tajam hingga 261,87 USD dengan simpangan baku mencapai 66,82 USD. Karakteristik fluktuasi ekstrem ini menyulitkan metode ekonometrika linier tradisional seperti Autoregressive Integrated Moving Average (ARIMA) atau Generalized Autoregressive Conditional Heteroskedasticity (GARCH) dalam menangkap pola perubahan harga jangka pendek maupun jangka menengah secara presisi [9], [10].</w:t>
      </w:r>
    </w:p>
    <w:p>
      <w:pPr>
        <w:spacing w:line="360" w:lineRule="auto" w:after="120"/>
        <w:ind w:firstLine="567"/>
        <w:jc w:val="both"/>
      </w:pPr>
      <w:r>
        <w:rPr>
          <w:rFonts w:ascii="Times New Roman" w:hAnsi="Times New Roman"/>
          <w:b w:val="0"/>
          <w:i w:val="0"/>
          <w:sz w:val="24"/>
        </w:rPr>
        <w:t>Untuk mengatasi keterbatasan pendekatan statistik linier, pemanfaatan algoritma pembelajaran dalam (</w:t>
      </w:r>
      <w:r>
        <w:rPr>
          <w:rFonts w:ascii="Times New Roman" w:hAnsi="Times New Roman"/>
          <w:b w:val="0"/>
          <w:i/>
          <w:sz w:val="24"/>
        </w:rPr>
        <w:t>Deep Learning</w:t>
      </w:r>
      <w:r>
        <w:rPr>
          <w:rFonts w:ascii="Times New Roman" w:hAnsi="Times New Roman"/>
          <w:b w:val="0"/>
          <w:i w:val="0"/>
          <w:sz w:val="24"/>
        </w:rPr>
        <w:t>) berbasis jaringan saraf berulang (</w:t>
      </w:r>
      <w:r>
        <w:rPr>
          <w:rFonts w:ascii="Times New Roman" w:hAnsi="Times New Roman"/>
          <w:b w:val="0"/>
          <w:i/>
          <w:sz w:val="24"/>
        </w:rPr>
        <w:t>Recurrent Neural Network</w:t>
      </w:r>
      <w:r>
        <w:rPr>
          <w:rFonts w:ascii="Times New Roman" w:hAnsi="Times New Roman"/>
          <w:b w:val="0"/>
          <w:i w:val="0"/>
          <w:sz w:val="24"/>
        </w:rPr>
        <w:t xml:space="preserve"> / RNN), khususnya </w:t>
      </w:r>
      <w:r>
        <w:rPr>
          <w:rFonts w:ascii="Times New Roman" w:hAnsi="Times New Roman"/>
          <w:b w:val="0"/>
          <w:i/>
          <w:sz w:val="24"/>
        </w:rPr>
        <w:t>Long Short-Term Memory</w:t>
      </w:r>
      <w:r>
        <w:rPr>
          <w:rFonts w:ascii="Times New Roman" w:hAnsi="Times New Roman"/>
          <w:b w:val="0"/>
          <w:i w:val="0"/>
          <w:sz w:val="24"/>
        </w:rPr>
        <w:t xml:space="preserve"> (LSTM) dan </w:t>
      </w:r>
      <w:r>
        <w:rPr>
          <w:rFonts w:ascii="Times New Roman" w:hAnsi="Times New Roman"/>
          <w:b w:val="0"/>
          <w:i/>
          <w:sz w:val="24"/>
        </w:rPr>
        <w:t>Gated Recurrent Unit</w:t>
      </w:r>
      <w:r>
        <w:rPr>
          <w:rFonts w:ascii="Times New Roman" w:hAnsi="Times New Roman"/>
          <w:b w:val="0"/>
          <w:i w:val="0"/>
          <w:sz w:val="24"/>
        </w:rPr>
        <w:t xml:space="preserve"> (GRU), telah menjadi paradigma dominan dalam peramalan deret waktu finansial dan pasar kripto [11], [12], [13], [14], [15]. Sejumlah penelitian terbaru pada tahun 2025 hingga 2026 telah menguji penerapan varian LSTM, </w:t>
      </w:r>
      <w:r>
        <w:rPr>
          <w:rFonts w:ascii="Times New Roman" w:hAnsi="Times New Roman"/>
          <w:b w:val="0"/>
          <w:i/>
          <w:sz w:val="24"/>
        </w:rPr>
        <w:t>Stacked Ensemble</w:t>
      </w:r>
      <w:r>
        <w:rPr>
          <w:rFonts w:ascii="Times New Roman" w:hAnsi="Times New Roman"/>
          <w:b w:val="0"/>
          <w:i w:val="0"/>
          <w:sz w:val="24"/>
        </w:rPr>
        <w:t xml:space="preserve">, dan </w:t>
      </w:r>
      <w:r>
        <w:rPr>
          <w:rFonts w:ascii="Times New Roman" w:hAnsi="Times New Roman"/>
          <w:b w:val="0"/>
          <w:i/>
          <w:sz w:val="24"/>
        </w:rPr>
        <w:t>Temporal Fusion Transformer</w:t>
      </w:r>
      <w:r>
        <w:rPr>
          <w:rFonts w:ascii="Times New Roman" w:hAnsi="Times New Roman"/>
          <w:b w:val="0"/>
          <w:i w:val="0"/>
          <w:sz w:val="24"/>
        </w:rPr>
        <w:t xml:space="preserve"> untuk memprediksi pergerakan harga maupun volatilitas Solana [16], [17], [18], [19], [20], [21]. Meskipun memberikan hasil yang menjanjikan, telaah kritis terhadap literatur yang ada menunjukkan tiga keterbatasan metodologis yang signifikan. Pertama, mayoritas model prediksi harga Solana masih bertumpu pada fitur harga historis univariat [16], [18], [20], sehingga gagal menangkap sinyal jenuh beli (</w:t>
      </w:r>
      <w:r>
        <w:rPr>
          <w:rFonts w:ascii="Times New Roman" w:hAnsi="Times New Roman"/>
          <w:b w:val="0"/>
          <w:i/>
          <w:sz w:val="24"/>
        </w:rPr>
        <w:t>overbought</w:t>
      </w:r>
      <w:r>
        <w:rPr>
          <w:rFonts w:ascii="Times New Roman" w:hAnsi="Times New Roman"/>
          <w:b w:val="0"/>
          <w:i w:val="0"/>
          <w:sz w:val="24"/>
        </w:rPr>
        <w:t>), jenuh jual (</w:t>
      </w:r>
      <w:r>
        <w:rPr>
          <w:rFonts w:ascii="Times New Roman" w:hAnsi="Times New Roman"/>
          <w:b w:val="0"/>
          <w:i/>
          <w:sz w:val="24"/>
        </w:rPr>
        <w:t>oversold</w:t>
      </w:r>
      <w:r>
        <w:rPr>
          <w:rFonts w:ascii="Times New Roman" w:hAnsi="Times New Roman"/>
          <w:b w:val="0"/>
          <w:i w:val="0"/>
          <w:sz w:val="24"/>
        </w:rPr>
        <w:t>), serta divergensi momentum dan tekanan volume transaksi yang tercermin melalui indikator teknikal pasar [19], [22].</w:t>
      </w:r>
    </w:p>
    <w:p>
      <w:pPr>
        <w:spacing w:line="360" w:lineRule="auto" w:after="120"/>
        <w:ind w:firstLine="567"/>
        <w:jc w:val="both"/>
      </w:pPr>
      <w:r>
        <w:rPr>
          <w:rFonts w:ascii="Times New Roman" w:hAnsi="Times New Roman"/>
          <w:b w:val="0"/>
          <w:i w:val="0"/>
          <w:sz w:val="24"/>
        </w:rPr>
        <w:t xml:space="preserve">Kedua, arsitektur LSTM, GRU, maupun Bidirectional LSTM (BiLSTM) standar yang digunakan pada berbagai studi terdahulu [12], [13], [23], [24] memproses matriks deret waktu secara langsung tanpa adanya lapisan ekstraksi fitur morfologi lokal lintas variabel. Diash dkk. [25] serta Mushliha [26] membuktikan bahwa penyisipan lapisan </w:t>
      </w:r>
      <w:r>
        <w:rPr>
          <w:rFonts w:ascii="Times New Roman" w:hAnsi="Times New Roman"/>
          <w:b w:val="0"/>
          <w:i/>
          <w:sz w:val="24"/>
        </w:rPr>
        <w:t>Convolutional Neural Network</w:t>
      </w:r>
      <w:r>
        <w:rPr>
          <w:rFonts w:ascii="Times New Roman" w:hAnsi="Times New Roman"/>
          <w:b w:val="0"/>
          <w:i w:val="0"/>
          <w:sz w:val="24"/>
        </w:rPr>
        <w:t xml:space="preserve"> satu dimensi (1D-CNN) sebelum lapisan BiLSTM mampu mengekstraksi fitur spasial-lokal antar-indikator dan mereduksi derau frekuensi tinggi secara efektif. Ketiga, baik model RNN standar maupun model hibrida CNN-BiLSTM konvensional masih memadatkan seluruh informasi sekuensial sepanjang jendela waktu (</w:t>
      </w:r>
      <w:r>
        <w:rPr>
          <w:rFonts w:ascii="Times New Roman" w:hAnsi="Times New Roman"/>
          <w:b w:val="0"/>
          <w:i/>
          <w:sz w:val="24"/>
        </w:rPr>
        <w:t>time steps</w:t>
      </w:r>
      <w:r>
        <w:rPr>
          <w:rFonts w:ascii="Times New Roman" w:hAnsi="Times New Roman"/>
          <w:b w:val="0"/>
          <w:i w:val="0"/>
          <w:sz w:val="24"/>
        </w:rPr>
        <w:t>) ke dalam satu vektor status tersembunyi terakhir (</w:t>
      </w:r>
      <w:r>
        <w:rPr>
          <w:rFonts w:ascii="Times New Roman" w:hAnsi="Times New Roman"/>
          <w:b w:val="0"/>
          <w:i/>
          <w:sz w:val="24"/>
        </w:rPr>
        <w:t>last hidden state</w:t>
      </w:r>
      <w:r>
        <w:rPr>
          <w:rFonts w:ascii="Times New Roman" w:hAnsi="Times New Roman"/>
          <w:b w:val="0"/>
          <w:i w:val="0"/>
          <w:sz w:val="24"/>
        </w:rPr>
        <w:t>) secara seragam. Akibatnya, ketika terjadi lonjakan harga mendadak pada pasar Solana, informasi penting pada langkah waktu historis tertentu mengalami degradasi memori dan memicu keterlambatan fase prediksi (</w:t>
      </w:r>
      <w:r>
        <w:rPr>
          <w:rFonts w:ascii="Times New Roman" w:hAnsi="Times New Roman"/>
          <w:b w:val="0"/>
          <w:i/>
          <w:sz w:val="24"/>
        </w:rPr>
        <w:t>phase lagging</w:t>
      </w:r>
      <w:r>
        <w:rPr>
          <w:rFonts w:ascii="Times New Roman" w:hAnsi="Times New Roman"/>
          <w:b w:val="0"/>
          <w:i w:val="0"/>
          <w:sz w:val="24"/>
        </w:rPr>
        <w:t>) [27], [28], [29], [30].</w:t>
      </w:r>
    </w:p>
    <w:p>
      <w:pPr>
        <w:spacing w:line="360" w:lineRule="auto" w:after="120"/>
        <w:ind w:firstLine="567"/>
        <w:jc w:val="both"/>
      </w:pPr>
      <w:r>
        <w:rPr>
          <w:rFonts w:ascii="Times New Roman" w:hAnsi="Times New Roman"/>
          <w:b w:val="0"/>
          <w:i w:val="0"/>
          <w:sz w:val="24"/>
        </w:rPr>
        <w:t xml:space="preserve">Berdasarkan kebutuhan akan model prediktif yang mampu mengekstraksi interaksi lokal lintas indikator teknikal sekaligus menyeleksi langkah waktu paling berpengaruh pada dinamika pasar Solana yang sangat fluktuatif, diperlukan pengembangan arsitektur hibrida CNN-BiLSTM dengan mekanisme </w:t>
      </w:r>
      <w:r>
        <w:rPr>
          <w:rFonts w:ascii="Times New Roman" w:hAnsi="Times New Roman"/>
          <w:b w:val="0"/>
          <w:i/>
          <w:sz w:val="24"/>
        </w:rPr>
        <w:t>Temporal Attention</w:t>
      </w:r>
      <w:r>
        <w:rPr>
          <w:rFonts w:ascii="Times New Roman" w:hAnsi="Times New Roman"/>
          <w:b w:val="0"/>
          <w:i w:val="0"/>
          <w:sz w:val="24"/>
        </w:rPr>
        <w:t xml:space="preserve"> berbasis indikator teknikal multivariat yang dikaji secara komprehensif dalam penelitian ini.</w:t>
      </w:r>
    </w:p>
    <w:p>
      <w:pPr>
        <w:keepNext/>
        <w:spacing w:before="200" w:after="80" w:line="360" w:lineRule="auto"/>
        <w:jc w:val="left"/>
      </w:pPr>
      <w:r>
        <w:rPr>
          <w:rFonts w:ascii="Times New Roman" w:hAnsi="Times New Roman"/>
          <w:b/>
          <w:sz w:val="24"/>
        </w:rPr>
        <w:t xml:space="preserve">1.2.  </w:t>
      </w:r>
      <w:r>
        <w:rPr>
          <w:rFonts w:ascii="Times New Roman" w:hAnsi="Times New Roman"/>
          <w:b/>
          <w:i w:val="0"/>
          <w:sz w:val="24"/>
        </w:rPr>
        <w:t>Rumusan Masalah</w:t>
      </w:r>
    </w:p>
    <w:p>
      <w:pPr>
        <w:spacing w:line="360" w:lineRule="auto" w:after="120"/>
        <w:jc w:val="both"/>
      </w:pPr>
      <w:r>
        <w:rPr>
          <w:rFonts w:ascii="Times New Roman" w:hAnsi="Times New Roman"/>
          <w:b w:val="0"/>
          <w:i w:val="0"/>
          <w:sz w:val="24"/>
        </w:rPr>
        <w:t>Berdasarkan uraian latar belakang di atas, rumusan masalah yang diajukan dalam penelitian ini adalah sebagai berikut:</w:t>
      </w:r>
    </w:p>
    <w:p>
      <w:pPr>
        <w:spacing w:line="360" w:lineRule="auto" w:after="80"/>
        <w:ind w:left="425" w:hanging="425"/>
        <w:jc w:val="both"/>
      </w:pPr>
      <w:r>
        <w:rPr>
          <w:rFonts w:ascii="Times New Roman" w:hAnsi="Times New Roman"/>
          <w:sz w:val="24"/>
        </w:rPr>
        <w:t xml:space="preserve">1. </w:t>
      </w:r>
      <w:r>
        <w:rPr>
          <w:rFonts w:ascii="Times New Roman" w:hAnsi="Times New Roman"/>
          <w:b w:val="0"/>
          <w:i w:val="0"/>
          <w:sz w:val="24"/>
        </w:rPr>
        <w:t xml:space="preserve">Bagaimana merancang dan mengonstruksi representasi fitur multivariat yang menggabungkan data historis pasar Solana (Open, High, Low, Close, Volume) dengan sembilan indikator teknikal (EMA-14, EMA-50, RSI-14, MACD, MACD Signal, </w:t>
      </w:r>
      <w:r>
        <w:rPr>
          <w:rFonts w:ascii="Times New Roman" w:hAnsi="Times New Roman"/>
          <w:b w:val="0"/>
          <w:i/>
          <w:sz w:val="24"/>
        </w:rPr>
        <w:t>Bollinger Bands</w:t>
      </w:r>
      <w:r>
        <w:rPr>
          <w:rFonts w:ascii="Times New Roman" w:hAnsi="Times New Roman"/>
          <w:b w:val="0"/>
          <w:i w:val="0"/>
          <w:sz w:val="24"/>
        </w:rPr>
        <w:t xml:space="preserve"> Upper, </w:t>
      </w:r>
      <w:r>
        <w:rPr>
          <w:rFonts w:ascii="Times New Roman" w:hAnsi="Times New Roman"/>
          <w:b w:val="0"/>
          <w:i/>
          <w:sz w:val="24"/>
        </w:rPr>
        <w:t>Bollinger Bands</w:t>
      </w:r>
      <w:r>
        <w:rPr>
          <w:rFonts w:ascii="Times New Roman" w:hAnsi="Times New Roman"/>
          <w:b w:val="0"/>
          <w:i w:val="0"/>
          <w:sz w:val="24"/>
        </w:rPr>
        <w:t xml:space="preserve"> Lower, ATR-14, dan OBV) agar siap diproses oleh model pembelajaran dalam?</w:t>
      </w:r>
    </w:p>
    <w:p>
      <w:pPr>
        <w:spacing w:line="360" w:lineRule="auto" w:after="80"/>
        <w:ind w:left="425" w:hanging="425"/>
        <w:jc w:val="both"/>
      </w:pPr>
      <w:r>
        <w:rPr>
          <w:rFonts w:ascii="Times New Roman" w:hAnsi="Times New Roman"/>
          <w:sz w:val="24"/>
        </w:rPr>
        <w:t xml:space="preserve">2. </w:t>
      </w:r>
      <w:r>
        <w:rPr>
          <w:rFonts w:ascii="Times New Roman" w:hAnsi="Times New Roman"/>
          <w:b w:val="0"/>
          <w:i w:val="0"/>
          <w:sz w:val="24"/>
        </w:rPr>
        <w:t xml:space="preserve">Bagaimana membangun arsitektur model hibrida </w:t>
      </w:r>
      <w:r>
        <w:rPr>
          <w:rFonts w:ascii="Times New Roman" w:hAnsi="Times New Roman"/>
          <w:b w:val="0"/>
          <w:i/>
          <w:sz w:val="24"/>
        </w:rPr>
        <w:t>Convolutional Neural Network</w:t>
      </w:r>
      <w:r>
        <w:rPr>
          <w:rFonts w:ascii="Times New Roman" w:hAnsi="Times New Roman"/>
          <w:b w:val="0"/>
          <w:i w:val="0"/>
          <w:sz w:val="24"/>
        </w:rPr>
        <w:t xml:space="preserve"> - </w:t>
      </w:r>
      <w:r>
        <w:rPr>
          <w:rFonts w:ascii="Times New Roman" w:hAnsi="Times New Roman"/>
          <w:b w:val="0"/>
          <w:i/>
          <w:sz w:val="24"/>
        </w:rPr>
        <w:t>Bidirectional Long Short-Term Memory</w:t>
      </w:r>
      <w:r>
        <w:rPr>
          <w:rFonts w:ascii="Times New Roman" w:hAnsi="Times New Roman"/>
          <w:b w:val="0"/>
          <w:i w:val="0"/>
          <w:sz w:val="24"/>
        </w:rPr>
        <w:t xml:space="preserve"> yang diintegrasikan dengan mekanisme </w:t>
      </w:r>
      <w:r>
        <w:rPr>
          <w:rFonts w:ascii="Times New Roman" w:hAnsi="Times New Roman"/>
          <w:b w:val="0"/>
          <w:i/>
          <w:sz w:val="24"/>
        </w:rPr>
        <w:t>Temporal Attention</w:t>
      </w:r>
      <w:r>
        <w:rPr>
          <w:rFonts w:ascii="Times New Roman" w:hAnsi="Times New Roman"/>
          <w:b w:val="0"/>
          <w:i w:val="0"/>
          <w:sz w:val="24"/>
        </w:rPr>
        <w:t xml:space="preserve"> (CNN-BiLSTM-Attention) untuk memprediksi harga penutupan harian Solana (SOL-USD)?</w:t>
      </w:r>
    </w:p>
    <w:p>
      <w:pPr>
        <w:spacing w:line="360" w:lineRule="auto" w:after="80"/>
        <w:ind w:left="425" w:hanging="425"/>
        <w:jc w:val="both"/>
      </w:pPr>
      <w:r>
        <w:rPr>
          <w:rFonts w:ascii="Times New Roman" w:hAnsi="Times New Roman"/>
          <w:sz w:val="24"/>
        </w:rPr>
        <w:t xml:space="preserve">3. </w:t>
      </w:r>
      <w:r>
        <w:rPr>
          <w:rFonts w:ascii="Times New Roman" w:hAnsi="Times New Roman"/>
          <w:b w:val="0"/>
          <w:i w:val="0"/>
          <w:sz w:val="24"/>
        </w:rPr>
        <w:t xml:space="preserve">Seberapa besar peningkatan performa akurasi model hibrida CNN-BiLSTM-Attention yang diusulkan apabila dibandingkan secara adil terhadap model pembanding (LSTM, GRU, BiLSTM, dan CNN-BiLSTM tanpa Attention) berdasarkan metrik MAE, RMSE, MAPE, R² Score, dan </w:t>
      </w:r>
      <w:r>
        <w:rPr>
          <w:rFonts w:ascii="Times New Roman" w:hAnsi="Times New Roman"/>
          <w:b w:val="0"/>
          <w:i/>
          <w:sz w:val="24"/>
        </w:rPr>
        <w:t>Directional Accuracy</w:t>
      </w:r>
      <w:r>
        <w:rPr>
          <w:rFonts w:ascii="Times New Roman" w:hAnsi="Times New Roman"/>
          <w:b w:val="0"/>
          <w:i w:val="0"/>
          <w:sz w:val="24"/>
        </w:rPr>
        <w:t xml:space="preserve"> (DA)?</w:t>
      </w:r>
    </w:p>
    <w:p>
      <w:pPr>
        <w:spacing w:line="360" w:lineRule="auto" w:after="80"/>
        <w:ind w:left="425" w:hanging="425"/>
        <w:jc w:val="both"/>
      </w:pPr>
      <w:r>
        <w:rPr>
          <w:rFonts w:ascii="Times New Roman" w:hAnsi="Times New Roman"/>
          <w:sz w:val="24"/>
        </w:rPr>
        <w:t xml:space="preserve">4. </w:t>
      </w:r>
      <w:r>
        <w:rPr>
          <w:rFonts w:ascii="Times New Roman" w:hAnsi="Times New Roman"/>
          <w:b w:val="0"/>
          <w:i w:val="0"/>
          <w:sz w:val="24"/>
        </w:rPr>
        <w:t>Bagaimana pengaruh penggunaan fitur indikator teknikal multivariat dibandingkan input harga univariat (</w:t>
      </w:r>
      <w:r>
        <w:rPr>
          <w:rFonts w:ascii="Times New Roman" w:hAnsi="Times New Roman"/>
          <w:b w:val="0"/>
          <w:i/>
          <w:sz w:val="24"/>
        </w:rPr>
        <w:t>ablation study</w:t>
      </w:r>
      <w:r>
        <w:rPr>
          <w:rFonts w:ascii="Times New Roman" w:hAnsi="Times New Roman"/>
          <w:b w:val="0"/>
          <w:i w:val="0"/>
          <w:sz w:val="24"/>
        </w:rPr>
        <w:t>) serta bagaimana distribusi bobot perhatian temporal (α_t) dalam mengidentifikasi langkah waktu historis yang paling menentukan prediksi harga Solana?</w:t>
      </w:r>
    </w:p>
    <w:p>
      <w:pPr>
        <w:keepNext/>
        <w:spacing w:before="200" w:after="80" w:line="360" w:lineRule="auto"/>
        <w:jc w:val="left"/>
      </w:pPr>
      <w:r>
        <w:rPr>
          <w:rFonts w:ascii="Times New Roman" w:hAnsi="Times New Roman"/>
          <w:b/>
          <w:sz w:val="24"/>
        </w:rPr>
        <w:t xml:space="preserve">1.3.  </w:t>
      </w:r>
      <w:r>
        <w:rPr>
          <w:rFonts w:ascii="Times New Roman" w:hAnsi="Times New Roman"/>
          <w:b/>
          <w:i w:val="0"/>
          <w:sz w:val="24"/>
        </w:rPr>
        <w:t>Tujuan Penelitian</w:t>
      </w:r>
    </w:p>
    <w:p>
      <w:pPr>
        <w:spacing w:line="360" w:lineRule="auto" w:after="120"/>
        <w:jc w:val="both"/>
      </w:pPr>
      <w:r>
        <w:rPr>
          <w:rFonts w:ascii="Times New Roman" w:hAnsi="Times New Roman"/>
          <w:b w:val="0"/>
          <w:i w:val="0"/>
          <w:sz w:val="24"/>
        </w:rPr>
        <w:t>Sejalan dengan rumusan masalah yang telah ditetapkan, tujuan yang hendak dicapai dalam penelitian ini meliputi:</w:t>
      </w:r>
    </w:p>
    <w:p>
      <w:pPr>
        <w:spacing w:line="360" w:lineRule="auto" w:after="80"/>
        <w:ind w:left="425" w:hanging="425"/>
        <w:jc w:val="both"/>
      </w:pPr>
      <w:r>
        <w:rPr>
          <w:rFonts w:ascii="Times New Roman" w:hAnsi="Times New Roman"/>
          <w:sz w:val="24"/>
        </w:rPr>
        <w:t xml:space="preserve">1. </w:t>
      </w:r>
      <w:r>
        <w:rPr>
          <w:rFonts w:ascii="Times New Roman" w:hAnsi="Times New Roman"/>
          <w:b w:val="0"/>
          <w:i w:val="0"/>
          <w:sz w:val="24"/>
        </w:rPr>
        <w:t>Menghasilkan dataset deret waktu multivariat Solana (SOL-USD) yang terstandarisasi dan terintegrasi dengan sembilan indikator teknikal tren, momentum, volatilitas, dan volume perdagangan.</w:t>
      </w:r>
    </w:p>
    <w:p>
      <w:pPr>
        <w:spacing w:line="360" w:lineRule="auto" w:after="80"/>
        <w:ind w:left="425" w:hanging="425"/>
        <w:jc w:val="both"/>
      </w:pPr>
      <w:r>
        <w:rPr>
          <w:rFonts w:ascii="Times New Roman" w:hAnsi="Times New Roman"/>
          <w:sz w:val="24"/>
        </w:rPr>
        <w:t xml:space="preserve">2. </w:t>
      </w:r>
      <w:r>
        <w:rPr>
          <w:rFonts w:ascii="Times New Roman" w:hAnsi="Times New Roman"/>
          <w:b w:val="0"/>
          <w:i w:val="0"/>
          <w:sz w:val="24"/>
        </w:rPr>
        <w:t xml:space="preserve">Mengembangkan dan mengimplementasikan arsitektur model hibrida CNN-BiLSTM-Attention yang memadukan ekstraksi fitur lokal 1D-CNN, pemodelan konteks sekuensial dua arah BiLSTM, serta pembobotan selektif Temporal </w:t>
      </w:r>
      <w:r>
        <w:rPr>
          <w:rFonts w:ascii="Times New Roman" w:hAnsi="Times New Roman"/>
          <w:b w:val="0"/>
          <w:i/>
          <w:sz w:val="24"/>
        </w:rPr>
        <w:t>Bahdanau Attention</w:t>
      </w:r>
      <w:r>
        <w:rPr>
          <w:rFonts w:ascii="Times New Roman" w:hAnsi="Times New Roman"/>
          <w:b w:val="0"/>
          <w:i w:val="0"/>
          <w:sz w:val="24"/>
        </w:rPr>
        <w:t>.</w:t>
      </w:r>
    </w:p>
    <w:p>
      <w:pPr>
        <w:spacing w:line="360" w:lineRule="auto" w:after="80"/>
        <w:ind w:left="425" w:hanging="425"/>
        <w:jc w:val="both"/>
      </w:pPr>
      <w:r>
        <w:rPr>
          <w:rFonts w:ascii="Times New Roman" w:hAnsi="Times New Roman"/>
          <w:sz w:val="24"/>
        </w:rPr>
        <w:t xml:space="preserve">3. </w:t>
      </w:r>
      <w:r>
        <w:rPr>
          <w:rFonts w:ascii="Times New Roman" w:hAnsi="Times New Roman"/>
          <w:b w:val="0"/>
          <w:i w:val="0"/>
          <w:sz w:val="24"/>
        </w:rPr>
        <w:t xml:space="preserve">Mengevaluasi dan membandingkan secara kuantitatif tingkat kesalahan prediksi serta ketepatan arah pergerakan harga antara model CNN-BiLSTM-Attention terhadap model LSTM, GRU, BiLSTM, dan CNN-BiLSTM menggunakan metrik MAE, RMSE, MAPE, R², dan </w:t>
      </w:r>
      <w:r>
        <w:rPr>
          <w:rFonts w:ascii="Times New Roman" w:hAnsi="Times New Roman"/>
          <w:b w:val="0"/>
          <w:i/>
          <w:sz w:val="24"/>
        </w:rPr>
        <w:t>Directional Accuracy</w:t>
      </w:r>
      <w:r>
        <w:rPr>
          <w:rFonts w:ascii="Times New Roman" w:hAnsi="Times New Roman"/>
          <w:b w:val="0"/>
          <w:i w:val="0"/>
          <w:sz w:val="24"/>
        </w:rPr>
        <w:t>.</w:t>
      </w:r>
    </w:p>
    <w:p>
      <w:pPr>
        <w:spacing w:line="360" w:lineRule="auto" w:after="80"/>
        <w:ind w:left="425" w:hanging="425"/>
        <w:jc w:val="both"/>
      </w:pPr>
      <w:r>
        <w:rPr>
          <w:rFonts w:ascii="Times New Roman" w:hAnsi="Times New Roman"/>
          <w:sz w:val="24"/>
        </w:rPr>
        <w:t xml:space="preserve">4. </w:t>
      </w:r>
      <w:r>
        <w:rPr>
          <w:rFonts w:ascii="Times New Roman" w:hAnsi="Times New Roman"/>
          <w:b w:val="0"/>
          <w:i w:val="0"/>
          <w:sz w:val="24"/>
        </w:rPr>
        <w:t>Menganalisis kontribusi fitur indikator teknikal melalui pengujian ablasi (univariat lawan multivariat) serta memvisualisasikan distribusi bobot perhatian temporal pada jendela pengamatan 20 hari.</w:t>
      </w:r>
    </w:p>
    <w:p>
      <w:pPr>
        <w:keepNext/>
        <w:spacing w:before="200" w:after="80" w:line="360" w:lineRule="auto"/>
        <w:jc w:val="left"/>
      </w:pPr>
      <w:r>
        <w:rPr>
          <w:rFonts w:ascii="Times New Roman" w:hAnsi="Times New Roman"/>
          <w:b/>
          <w:sz w:val="24"/>
        </w:rPr>
        <w:t xml:space="preserve">1.4.  </w:t>
      </w:r>
      <w:r>
        <w:rPr>
          <w:rFonts w:ascii="Times New Roman" w:hAnsi="Times New Roman"/>
          <w:b/>
          <w:i w:val="0"/>
          <w:sz w:val="24"/>
        </w:rPr>
        <w:t>Manfaat Penelitian</w:t>
      </w:r>
    </w:p>
    <w:p>
      <w:pPr>
        <w:spacing w:line="360" w:lineRule="auto" w:after="120"/>
        <w:jc w:val="both"/>
      </w:pPr>
      <w:r>
        <w:rPr>
          <w:rFonts w:ascii="Times New Roman" w:hAnsi="Times New Roman"/>
          <w:b w:val="0"/>
          <w:i w:val="0"/>
          <w:sz w:val="24"/>
        </w:rPr>
        <w:t>Hasil dari pelaksanaan penelitian ini diharapkan dapat memberikan dampak positif dan kontribusi nyata pada dua aspek utama:</w:t>
      </w:r>
    </w:p>
    <w:p>
      <w:pPr>
        <w:spacing w:line="360" w:lineRule="auto" w:after="80"/>
        <w:ind w:left="425" w:hanging="425"/>
        <w:jc w:val="both"/>
      </w:pPr>
      <w:r>
        <w:rPr>
          <w:rFonts w:ascii="Times New Roman" w:hAnsi="Times New Roman"/>
          <w:sz w:val="24"/>
        </w:rPr>
        <w:t xml:space="preserve">1. </w:t>
      </w:r>
      <w:r>
        <w:rPr>
          <w:rFonts w:ascii="Times New Roman" w:hAnsi="Times New Roman"/>
          <w:b/>
          <w:i w:val="0"/>
          <w:sz w:val="24"/>
        </w:rPr>
        <w:t>Manfaat Keilmuan (Akademis):</w:t>
      </w:r>
      <w:r>
        <w:rPr>
          <w:rFonts w:ascii="Times New Roman" w:hAnsi="Times New Roman"/>
          <w:b w:val="0"/>
          <w:i w:val="0"/>
          <w:sz w:val="24"/>
        </w:rPr>
        <w:t xml:space="preserve"> Memperkaya khazanah literatur di bidang kecerdasan buatan dan pemodelan deret waktu finansial, khususnya mengenai efektivitas penggabungan konvolusi satu dimensi (1D-CNN), jaringan rekuren dua arah (BiLSTM), dan mekanisme perhatian temporal (</w:t>
      </w:r>
      <w:r>
        <w:rPr>
          <w:rFonts w:ascii="Times New Roman" w:hAnsi="Times New Roman"/>
          <w:b w:val="0"/>
          <w:i/>
          <w:sz w:val="24"/>
        </w:rPr>
        <w:t>Temporal Attention</w:t>
      </w:r>
      <w:r>
        <w:rPr>
          <w:rFonts w:ascii="Times New Roman" w:hAnsi="Times New Roman"/>
          <w:b w:val="0"/>
          <w:i w:val="0"/>
          <w:sz w:val="24"/>
        </w:rPr>
        <w:t>) dalam mereduksi efek keterlambatan fase (</w:t>
      </w:r>
      <w:r>
        <w:rPr>
          <w:rFonts w:ascii="Times New Roman" w:hAnsi="Times New Roman"/>
          <w:b w:val="0"/>
          <w:i/>
          <w:sz w:val="24"/>
        </w:rPr>
        <w:t>phase lagging</w:t>
      </w:r>
      <w:r>
        <w:rPr>
          <w:rFonts w:ascii="Times New Roman" w:hAnsi="Times New Roman"/>
          <w:b w:val="0"/>
          <w:i w:val="0"/>
          <w:sz w:val="24"/>
        </w:rPr>
        <w:t>) pada prediksi aset kripto berkecepatan tinggi.</w:t>
      </w:r>
    </w:p>
    <w:p>
      <w:pPr>
        <w:spacing w:line="360" w:lineRule="auto" w:after="80"/>
        <w:ind w:left="425" w:hanging="425"/>
        <w:jc w:val="both"/>
      </w:pPr>
      <w:r>
        <w:rPr>
          <w:rFonts w:ascii="Times New Roman" w:hAnsi="Times New Roman"/>
          <w:sz w:val="24"/>
        </w:rPr>
        <w:t xml:space="preserve">2. </w:t>
      </w:r>
      <w:r>
        <w:rPr>
          <w:rFonts w:ascii="Times New Roman" w:hAnsi="Times New Roman"/>
          <w:b/>
          <w:i w:val="0"/>
          <w:sz w:val="24"/>
        </w:rPr>
        <w:t>Manfaat Praktis (Bagi Pemangku Kepentingan):</w:t>
      </w:r>
      <w:r>
        <w:rPr>
          <w:rFonts w:ascii="Times New Roman" w:hAnsi="Times New Roman"/>
          <w:b w:val="0"/>
          <w:i w:val="0"/>
          <w:sz w:val="24"/>
        </w:rPr>
        <w:t xml:space="preserve"> Menyediakan kerangka kerja analisis prediktif yang terukur dan transparan bagi pelaku pasar, analis kuantitatif, serta pengembang sistem pendukung keputusan investasi aset digital dalam memitigasi risiko volatilitas ekstrem pada ekosistem Solana.</w:t>
      </w:r>
    </w:p>
    <w:p>
      <w:pPr>
        <w:keepNext/>
        <w:spacing w:before="200" w:after="80" w:line="360" w:lineRule="auto"/>
        <w:jc w:val="left"/>
      </w:pPr>
      <w:r>
        <w:rPr>
          <w:rFonts w:ascii="Times New Roman" w:hAnsi="Times New Roman"/>
          <w:b/>
          <w:sz w:val="24"/>
        </w:rPr>
        <w:t xml:space="preserve">1.5.  </w:t>
      </w:r>
      <w:r>
        <w:rPr>
          <w:rFonts w:ascii="Times New Roman" w:hAnsi="Times New Roman"/>
          <w:b/>
          <w:i w:val="0"/>
          <w:sz w:val="24"/>
        </w:rPr>
        <w:t>Batasan Masalah</w:t>
      </w:r>
    </w:p>
    <w:p>
      <w:pPr>
        <w:spacing w:line="360" w:lineRule="auto" w:after="120"/>
        <w:jc w:val="both"/>
      </w:pPr>
      <w:r>
        <w:rPr>
          <w:rFonts w:ascii="Times New Roman" w:hAnsi="Times New Roman"/>
          <w:b w:val="0"/>
          <w:i w:val="0"/>
          <w:sz w:val="24"/>
        </w:rPr>
        <w:t>Agar ruang lingkup penelitian tetap terfokus dan terukur secara metodologis, ditetapkan batasan-batasan masalah sebagai berikut:</w:t>
      </w:r>
    </w:p>
    <w:p>
      <w:pPr>
        <w:spacing w:line="360" w:lineRule="auto" w:after="80"/>
        <w:ind w:left="425" w:hanging="425"/>
        <w:jc w:val="both"/>
      </w:pPr>
      <w:r>
        <w:rPr>
          <w:rFonts w:ascii="Times New Roman" w:hAnsi="Times New Roman"/>
          <w:sz w:val="24"/>
        </w:rPr>
        <w:t xml:space="preserve">1. </w:t>
      </w:r>
      <w:r>
        <w:rPr>
          <w:rFonts w:ascii="Times New Roman" w:hAnsi="Times New Roman"/>
          <w:b w:val="0"/>
          <w:i w:val="0"/>
          <w:sz w:val="24"/>
        </w:rPr>
        <w:t>Objek penelitian difokuskan pada pasangan perdagangan aset kripto Solana terhadap Dolar Amerika Serikat (SOL-USD) dengan resolusi waktu penutupan harian (</w:t>
      </w:r>
      <w:r>
        <w:rPr>
          <w:rFonts w:ascii="Times New Roman" w:hAnsi="Times New Roman"/>
          <w:b w:val="0"/>
          <w:i/>
          <w:sz w:val="24"/>
        </w:rPr>
        <w:t>daily timeframe</w:t>
      </w:r>
      <w:r>
        <w:rPr>
          <w:rFonts w:ascii="Times New Roman" w:hAnsi="Times New Roman"/>
          <w:b w:val="0"/>
          <w:i w:val="0"/>
          <w:sz w:val="24"/>
        </w:rPr>
        <w:t>).</w:t>
      </w:r>
    </w:p>
    <w:p>
      <w:pPr>
        <w:spacing w:line="360" w:lineRule="auto" w:after="80"/>
        <w:ind w:left="425" w:hanging="425"/>
        <w:jc w:val="both"/>
      </w:pPr>
      <w:r>
        <w:rPr>
          <w:rFonts w:ascii="Times New Roman" w:hAnsi="Times New Roman"/>
          <w:sz w:val="24"/>
        </w:rPr>
        <w:t xml:space="preserve">2. </w:t>
      </w:r>
      <w:r>
        <w:rPr>
          <w:rFonts w:ascii="Times New Roman" w:hAnsi="Times New Roman"/>
          <w:b w:val="0"/>
          <w:i w:val="0"/>
          <w:sz w:val="24"/>
        </w:rPr>
        <w:t>Rentang waktu data historis yang digunakan mencakup periode 1 Januari 2021 hingga 30 September 2026 (2.099 observasi mentah dan 2.080 observasi bersih pasca-ekstraksi indikator teknikal).</w:t>
      </w:r>
    </w:p>
    <w:p>
      <w:pPr>
        <w:spacing w:line="360" w:lineRule="auto" w:after="80"/>
        <w:ind w:left="425" w:hanging="425"/>
        <w:jc w:val="both"/>
      </w:pPr>
      <w:r>
        <w:rPr>
          <w:rFonts w:ascii="Times New Roman" w:hAnsi="Times New Roman"/>
          <w:sz w:val="24"/>
        </w:rPr>
        <w:t xml:space="preserve">3. </w:t>
      </w:r>
      <w:r>
        <w:rPr>
          <w:rFonts w:ascii="Times New Roman" w:hAnsi="Times New Roman"/>
          <w:b w:val="0"/>
          <w:i w:val="0"/>
          <w:sz w:val="24"/>
        </w:rPr>
        <w:t>Fitur input multivariat dibatasi pada 14 variabel yang terdiri atas lima atribut pasar primer (Close, Open, High, Low, Volume) dan sembilan indikator teknikal (EMA-14, EMA-50, RSI-14, MACD, MACD Signal, BB Upper, BB Lower, ATR-14, dan OBV), tanpa menyertakan analisis sentimen media sosial.</w:t>
      </w:r>
    </w:p>
    <w:p>
      <w:pPr>
        <w:spacing w:line="360" w:lineRule="auto" w:after="80"/>
        <w:ind w:left="425" w:hanging="425"/>
        <w:jc w:val="both"/>
      </w:pPr>
      <w:r>
        <w:rPr>
          <w:rFonts w:ascii="Times New Roman" w:hAnsi="Times New Roman"/>
          <w:sz w:val="24"/>
        </w:rPr>
        <w:t xml:space="preserve">4. </w:t>
      </w:r>
      <w:r>
        <w:rPr>
          <w:rFonts w:ascii="Times New Roman" w:hAnsi="Times New Roman"/>
          <w:b w:val="0"/>
          <w:i w:val="0"/>
          <w:sz w:val="24"/>
        </w:rPr>
        <w:t>Panjang jendela pengamatan masa lalu (</w:t>
      </w:r>
      <w:r>
        <w:rPr>
          <w:rFonts w:ascii="Times New Roman" w:hAnsi="Times New Roman"/>
          <w:b w:val="0"/>
          <w:i/>
          <w:sz w:val="24"/>
        </w:rPr>
        <w:t>lookback window</w:t>
      </w:r>
      <w:r>
        <w:rPr>
          <w:rFonts w:ascii="Times New Roman" w:hAnsi="Times New Roman"/>
          <w:b w:val="0"/>
          <w:i w:val="0"/>
          <w:sz w:val="24"/>
        </w:rPr>
        <w:t xml:space="preserve"> / </w:t>
      </w:r>
      <w:r>
        <w:rPr>
          <w:rFonts w:ascii="Times New Roman" w:hAnsi="Times New Roman"/>
          <w:b w:val="0"/>
          <w:i/>
          <w:sz w:val="24"/>
        </w:rPr>
        <w:t>time steps</w:t>
      </w:r>
      <w:r>
        <w:rPr>
          <w:rFonts w:ascii="Times New Roman" w:hAnsi="Times New Roman"/>
          <w:b w:val="0"/>
          <w:i w:val="0"/>
          <w:sz w:val="24"/>
        </w:rPr>
        <w:t>) ditetapkan sebesar T = 20 hari perdagangan untuk memprediksi harga penutupan satu langkah ke depan (t + 1).</w:t>
      </w:r>
    </w:p>
    <w:p>
      <w:pPr>
        <w:spacing w:line="360" w:lineRule="auto" w:after="80"/>
        <w:ind w:left="425" w:hanging="425"/>
        <w:jc w:val="both"/>
      </w:pPr>
      <w:r>
        <w:rPr>
          <w:rFonts w:ascii="Times New Roman" w:hAnsi="Times New Roman"/>
          <w:sz w:val="24"/>
        </w:rPr>
        <w:t xml:space="preserve">5. </w:t>
      </w:r>
      <w:r>
        <w:rPr>
          <w:rFonts w:ascii="Times New Roman" w:hAnsi="Times New Roman"/>
          <w:b w:val="0"/>
          <w:i w:val="0"/>
          <w:sz w:val="24"/>
        </w:rPr>
        <w:t>Pembagian dataset dilakukan secara kronologis (</w:t>
      </w:r>
      <w:r>
        <w:rPr>
          <w:rFonts w:ascii="Times New Roman" w:hAnsi="Times New Roman"/>
          <w:b w:val="0"/>
          <w:i/>
          <w:sz w:val="24"/>
        </w:rPr>
        <w:t>chronological split</w:t>
      </w:r>
      <w:r>
        <w:rPr>
          <w:rFonts w:ascii="Times New Roman" w:hAnsi="Times New Roman"/>
          <w:b w:val="0"/>
          <w:i w:val="0"/>
          <w:sz w:val="24"/>
        </w:rPr>
        <w:t>) dengan proporsi 70% data latih (1.456 hari), 15% data validasi (312 hari), dan 15% data uji (312 hari).</w:t>
      </w:r>
    </w:p>
    <w:p>
      <w:r>
        <w:br w:type="page"/>
      </w:r>
    </w:p>
    <w:p>
      <w:pPr>
        <w:keepNext/>
        <w:spacing w:before="0" w:after="280" w:line="360" w:lineRule="auto"/>
        <w:jc w:val="center"/>
      </w:pPr>
      <w:r>
        <w:rPr>
          <w:rFonts w:ascii="Times New Roman" w:hAnsi="Times New Roman"/>
          <w:b/>
          <w:sz w:val="28"/>
        </w:rPr>
        <w:t>BAB II</w:t>
        <w:br/>
        <w:t>TINJAUAN PUSTAKA</w:t>
      </w:r>
    </w:p>
    <w:p>
      <w:pPr>
        <w:keepNext/>
        <w:spacing w:before="200" w:after="80" w:line="360" w:lineRule="auto"/>
        <w:jc w:val="left"/>
      </w:pPr>
      <w:r>
        <w:rPr>
          <w:rFonts w:ascii="Times New Roman" w:hAnsi="Times New Roman"/>
          <w:b/>
          <w:sz w:val="24"/>
        </w:rPr>
        <w:t xml:space="preserve">2.1.  </w:t>
      </w:r>
      <w:r>
        <w:rPr>
          <w:rFonts w:ascii="Times New Roman" w:hAnsi="Times New Roman"/>
          <w:b/>
          <w:i w:val="0"/>
          <w:sz w:val="24"/>
        </w:rPr>
        <w:t>Penelitian Terdahulu</w:t>
      </w:r>
    </w:p>
    <w:p>
      <w:pPr>
        <w:spacing w:line="360" w:lineRule="auto" w:after="120"/>
        <w:ind w:firstLine="567"/>
        <w:jc w:val="both"/>
      </w:pPr>
      <w:r>
        <w:rPr>
          <w:rFonts w:ascii="Times New Roman" w:hAnsi="Times New Roman"/>
          <w:b w:val="0"/>
          <w:i w:val="0"/>
          <w:sz w:val="24"/>
        </w:rPr>
        <w:t>Kajian terhadap penelitian terdahulu bertujuan untuk memetakan perkembangan mutakhir (</w:t>
      </w:r>
      <w:r>
        <w:rPr>
          <w:rFonts w:ascii="Times New Roman" w:hAnsi="Times New Roman"/>
          <w:b w:val="0"/>
          <w:i/>
          <w:sz w:val="24"/>
        </w:rPr>
        <w:t>state-of-the-art</w:t>
      </w:r>
      <w:r>
        <w:rPr>
          <w:rFonts w:ascii="Times New Roman" w:hAnsi="Times New Roman"/>
          <w:b w:val="0"/>
          <w:i w:val="0"/>
          <w:sz w:val="24"/>
        </w:rPr>
        <w:t>) metode prediksi harga aset kripto serta mengidentifikasi celah penelitian (</w:t>
      </w:r>
      <w:r>
        <w:rPr>
          <w:rFonts w:ascii="Times New Roman" w:hAnsi="Times New Roman"/>
          <w:b w:val="0"/>
          <w:i/>
          <w:sz w:val="24"/>
        </w:rPr>
        <w:t>research gap</w:t>
      </w:r>
      <w:r>
        <w:rPr>
          <w:rFonts w:ascii="Times New Roman" w:hAnsi="Times New Roman"/>
          <w:b w:val="0"/>
          <w:i w:val="0"/>
          <w:sz w:val="24"/>
        </w:rPr>
        <w:t xml:space="preserve">) yang menjadi dasar kebaruan studi ini. Penelitian awal oleh Hamayel dan Owda [11] memperkenalkan komparasi algoritma LSTM, GRU, dan BiLSTM untuk memprediksi harga Bitcoin, Ethereum, dan Litecoin. Pada literatur nasional terakreditasi SINTA, Rizkilloh dan Widiyanesti [1] menerapkan algoritma LSTM pada data harga </w:t>
      </w:r>
      <w:r>
        <w:rPr>
          <w:rFonts w:ascii="Times New Roman" w:hAnsi="Times New Roman"/>
          <w:b w:val="0"/>
          <w:i/>
          <w:sz w:val="24"/>
        </w:rPr>
        <w:t>cryptocurrency</w:t>
      </w:r>
      <w:r>
        <w:rPr>
          <w:rFonts w:ascii="Times New Roman" w:hAnsi="Times New Roman"/>
          <w:b w:val="0"/>
          <w:i w:val="0"/>
          <w:sz w:val="24"/>
        </w:rPr>
        <w:t>, disusul oleh studi Priadinata dkk. [12], Yanimaharta dan Santoso [13], Andromeda dan Winarsih [14], serta Munir dkk. [31] yang mengevaluasi kinerja LSTM, GRU, dan BiLSTM secara sistematis. Lebih lanjut, Aldo dkk. [32] meneliti optimasi hiperparameter LSTM pada pasangan TRX-USD, Fadillah dkk. [33] menguji kemampuan GRU pada harga penutupan pasar kripto, sedangkan Alamsyah [34] serta Susanto dkk. [35] membandingkan varian jaringan rekuren bertumpuk terhadap arsitektur CNN-LSTM dan Transformer.</w:t>
      </w:r>
    </w:p>
    <w:p>
      <w:pPr>
        <w:spacing w:line="360" w:lineRule="auto" w:after="120"/>
        <w:ind w:firstLine="567"/>
        <w:jc w:val="both"/>
      </w:pPr>
      <w:r>
        <w:rPr>
          <w:rFonts w:ascii="Times New Roman" w:hAnsi="Times New Roman"/>
          <w:b w:val="0"/>
          <w:i w:val="0"/>
          <w:sz w:val="24"/>
        </w:rPr>
        <w:t>Di lingkungan Fakultas Ilmu Komputer UPN "Veteran" Jawa Timur, penelitian oleh Malik, Parlika, dan Kartini [24] membuktikan peran krusial pemodelan BiLSTM pada dataset kripto multivariat, sementara Diash, Nathania, Idhom, dan Trimono [25] berhasil menunjukkan bahwa penggabungan arsitektur hibrida CNN-BiLSTM pada prediksi harga Ethereum mampu menekan tingkat kesalahan secara signifikan dibandingkan model tunggal. Di sisi lain, Rahmat dkk. [15] serta Sabrina, Rahmat, dan Puspaningrum [36] menegaskan pentingnya perancangan arsitektur prediktif yang sistematis dan evaluasi multi-metrik yang ketat untuk menjamin generalisasi model pada data riil.</w:t>
      </w:r>
    </w:p>
    <w:p>
      <w:pPr>
        <w:spacing w:line="360" w:lineRule="auto" w:after="120"/>
        <w:ind w:firstLine="567"/>
        <w:jc w:val="both"/>
      </w:pPr>
      <w:r>
        <w:rPr>
          <w:rFonts w:ascii="Times New Roman" w:hAnsi="Times New Roman"/>
          <w:b w:val="0"/>
          <w:i w:val="0"/>
          <w:sz w:val="24"/>
        </w:rPr>
        <w:t xml:space="preserve">Khusus pada objek aset kripto Solana (SOL-USD), penelitian mulai berkembang pesat sejak tahun 2025 hingga 2026. Aldo dkk. [16] mengevaluasi varian arsitektur LSTM pada pasangan SOL/USD, sedangkan Pane dkk. [17] mengusulkan metode </w:t>
      </w:r>
      <w:r>
        <w:rPr>
          <w:rFonts w:ascii="Times New Roman" w:hAnsi="Times New Roman"/>
          <w:b w:val="0"/>
          <w:i/>
          <w:sz w:val="24"/>
        </w:rPr>
        <w:t>Stacked Ensemble</w:t>
      </w:r>
      <w:r>
        <w:rPr>
          <w:rFonts w:ascii="Times New Roman" w:hAnsi="Times New Roman"/>
          <w:b w:val="0"/>
          <w:i w:val="0"/>
          <w:sz w:val="24"/>
        </w:rPr>
        <w:t xml:space="preserve"> berbasis fitur lag dan </w:t>
      </w:r>
      <w:r>
        <w:rPr>
          <w:rFonts w:ascii="Times New Roman" w:hAnsi="Times New Roman"/>
          <w:b w:val="0"/>
          <w:i/>
          <w:sz w:val="24"/>
        </w:rPr>
        <w:t>Exponential Moving Average</w:t>
      </w:r>
      <w:r>
        <w:rPr>
          <w:rFonts w:ascii="Times New Roman" w:hAnsi="Times New Roman"/>
          <w:b w:val="0"/>
          <w:i w:val="0"/>
          <w:sz w:val="24"/>
        </w:rPr>
        <w:t xml:space="preserve"> (EMA). Herdian [18] dan Prasetyo dkk. [20] mengimplementasikan kerangka kerja LSTM untuk prediksi harga Solana jangka pendek menggunakan data Yahoo Finance, sementara Arya dkk. [19] mulai mengeksplorasi penggunaan indikator trading dasar pada LSTM untuk Ethereum dan Solana. Akan tetapi, penelitian-penelitian spesifik Solana tersebut belum mengintegrasikan lapisan ekstraksi fitur lokal 1D-CNN, pemodelan konteks dua arah BiLSTM, sekaligus mekanisme </w:t>
      </w:r>
      <w:r>
        <w:rPr>
          <w:rFonts w:ascii="Times New Roman" w:hAnsi="Times New Roman"/>
          <w:b w:val="0"/>
          <w:i/>
          <w:sz w:val="24"/>
        </w:rPr>
        <w:t>Temporal Attention</w:t>
      </w:r>
      <w:r>
        <w:rPr>
          <w:rFonts w:ascii="Times New Roman" w:hAnsi="Times New Roman"/>
          <w:b w:val="0"/>
          <w:i w:val="0"/>
          <w:sz w:val="24"/>
        </w:rPr>
        <w:t xml:space="preserve"> sebagaimana dikembangkan pada kerangka kerja hibrida mutakhir [27], [28], [29], [37]. Perbandingan rinci penelitian terdahulu disajikan pada Tabel 2.1.</w:t>
      </w:r>
    </w:p>
    <w:p>
      <w:pPr>
        <w:keepNext/>
        <w:spacing w:before="160" w:after="60" w:line="276" w:lineRule="auto"/>
        <w:jc w:val="left"/>
      </w:pPr>
      <w:r>
        <w:rPr>
          <w:rFonts w:ascii="Times New Roman" w:hAnsi="Times New Roman"/>
          <w:b/>
          <w:sz w:val="24"/>
        </w:rPr>
        <w:t xml:space="preserve">Tabel 2.1 </w:t>
      </w:r>
      <w:r>
        <w:rPr>
          <w:rFonts w:ascii="Times New Roman" w:hAnsi="Times New Roman"/>
          <w:b/>
          <w:i w:val="0"/>
          <w:sz w:val="24"/>
        </w:rPr>
        <w:t>Ringkasan dan Perbandingan Penelitian Terdahulu (2021–2026)</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1F2"/>
            <w:vAlign w:val="center"/>
          </w:tcPr>
          <w:p>
            <w:pPr>
              <w:spacing w:line="276" w:lineRule="auto" w:before="60" w:after="60"/>
              <w:jc w:val="center"/>
            </w:pPr>
            <w:r>
              <w:rPr>
                <w:rFonts w:ascii="Times New Roman" w:hAnsi="Times New Roman"/>
                <w:b/>
                <w:sz w:val="17"/>
              </w:rPr>
              <w:t>No</w:t>
            </w:r>
          </w:p>
        </w:tc>
        <w:tc>
          <w:tcPr>
            <w:tcW w:type="dxa" w:w="1323"/>
            <w:shd w:fill="D9E1F2"/>
            <w:vAlign w:val="center"/>
          </w:tcPr>
          <w:p>
            <w:pPr>
              <w:spacing w:line="276" w:lineRule="auto" w:before="60" w:after="60"/>
              <w:jc w:val="center"/>
            </w:pPr>
            <w:r>
              <w:rPr>
                <w:rFonts w:ascii="Times New Roman" w:hAnsi="Times New Roman"/>
                <w:b/>
                <w:sz w:val="17"/>
              </w:rPr>
              <w:t>Penulis &amp; Tahun [Ref]</w:t>
            </w:r>
          </w:p>
        </w:tc>
        <w:tc>
          <w:tcPr>
            <w:tcW w:type="dxa" w:w="1323"/>
            <w:shd w:fill="D9E1F2"/>
            <w:vAlign w:val="center"/>
          </w:tcPr>
          <w:p>
            <w:pPr>
              <w:spacing w:line="276" w:lineRule="auto" w:before="60" w:after="60"/>
              <w:jc w:val="center"/>
            </w:pPr>
            <w:r>
              <w:rPr>
                <w:rFonts w:ascii="Times New Roman" w:hAnsi="Times New Roman"/>
                <w:b/>
                <w:sz w:val="17"/>
              </w:rPr>
              <w:t>Objek &amp; Dataset</w:t>
            </w:r>
          </w:p>
        </w:tc>
        <w:tc>
          <w:tcPr>
            <w:tcW w:type="dxa" w:w="1323"/>
            <w:shd w:fill="D9E1F2"/>
            <w:vAlign w:val="center"/>
          </w:tcPr>
          <w:p>
            <w:pPr>
              <w:spacing w:line="276" w:lineRule="auto" w:before="60" w:after="60"/>
              <w:jc w:val="center"/>
            </w:pPr>
            <w:r>
              <w:rPr>
                <w:rFonts w:ascii="Times New Roman" w:hAnsi="Times New Roman"/>
                <w:b/>
                <w:sz w:val="17"/>
              </w:rPr>
              <w:t>Metode / Model</w:t>
            </w:r>
          </w:p>
        </w:tc>
        <w:tc>
          <w:tcPr>
            <w:tcW w:type="dxa" w:w="1323"/>
            <w:shd w:fill="D9E1F2"/>
            <w:vAlign w:val="center"/>
          </w:tcPr>
          <w:p>
            <w:pPr>
              <w:spacing w:line="276" w:lineRule="auto" w:before="60" w:after="60"/>
              <w:jc w:val="center"/>
            </w:pPr>
            <w:r>
              <w:rPr>
                <w:rFonts w:ascii="Times New Roman" w:hAnsi="Times New Roman"/>
                <w:b/>
                <w:sz w:val="17"/>
              </w:rPr>
              <w:t>Hasil Utama</w:t>
            </w:r>
          </w:p>
        </w:tc>
        <w:tc>
          <w:tcPr>
            <w:tcW w:type="dxa" w:w="1323"/>
            <w:shd w:fill="D9E1F2"/>
            <w:vAlign w:val="center"/>
          </w:tcPr>
          <w:p>
            <w:pPr>
              <w:spacing w:line="276" w:lineRule="auto" w:before="60" w:after="60"/>
              <w:jc w:val="center"/>
            </w:pPr>
            <w:r>
              <w:rPr>
                <w:rFonts w:ascii="Times New Roman" w:hAnsi="Times New Roman"/>
                <w:b/>
                <w:sz w:val="17"/>
              </w:rPr>
              <w:t>Perbedaan dengan Penelitian Ini</w:t>
            </w:r>
          </w:p>
        </w:tc>
      </w:tr>
      <w:tr>
        <w:tc>
          <w:tcPr>
            <w:tcW w:type="dxa" w:w="1323"/>
            <w:vAlign w:val="center"/>
          </w:tcPr>
          <w:p>
            <w:pPr>
              <w:spacing w:line="276" w:lineRule="auto" w:before="40" w:after="40"/>
            </w:pPr>
            <w:r>
              <w:rPr>
                <w:rFonts w:ascii="Times New Roman" w:hAnsi="Times New Roman"/>
                <w:sz w:val="17"/>
              </w:rPr>
              <w:t>1</w:t>
            </w:r>
          </w:p>
        </w:tc>
        <w:tc>
          <w:tcPr>
            <w:tcW w:type="dxa" w:w="1323"/>
            <w:vAlign w:val="center"/>
          </w:tcPr>
          <w:p>
            <w:pPr>
              <w:spacing w:line="276" w:lineRule="auto" w:before="40" w:after="40"/>
            </w:pPr>
            <w:r>
              <w:rPr>
                <w:rFonts w:ascii="Times New Roman" w:hAnsi="Times New Roman"/>
                <w:sz w:val="17"/>
              </w:rPr>
              <w:t>M. F. Rizkilloh &amp; S. Widiyanesti (2022) [1] — Jurnal RESTI (SINTA 2)</w:t>
            </w:r>
          </w:p>
        </w:tc>
        <w:tc>
          <w:tcPr>
            <w:tcW w:type="dxa" w:w="1323"/>
            <w:vAlign w:val="center"/>
          </w:tcPr>
          <w:p>
            <w:pPr>
              <w:spacing w:line="276" w:lineRule="auto" w:before="40" w:after="40"/>
            </w:pPr>
            <w:r>
              <w:rPr>
                <w:rFonts w:ascii="Times New Roman" w:hAnsi="Times New Roman"/>
                <w:sz w:val="17"/>
              </w:rPr>
              <w:t>Cryptocurrency (Data Historis Harian)</w:t>
            </w:r>
          </w:p>
        </w:tc>
        <w:tc>
          <w:tcPr>
            <w:tcW w:type="dxa" w:w="1323"/>
            <w:vAlign w:val="center"/>
          </w:tcPr>
          <w:p>
            <w:pPr>
              <w:spacing w:line="276" w:lineRule="auto" w:before="40" w:after="40"/>
            </w:pPr>
            <w:r>
              <w:rPr>
                <w:rFonts w:ascii="Times New Roman" w:hAnsi="Times New Roman"/>
                <w:sz w:val="17"/>
              </w:rPr>
              <w:t>Long Short-Term Memory (LSTM)</w:t>
            </w:r>
          </w:p>
        </w:tc>
        <w:tc>
          <w:tcPr>
            <w:tcW w:type="dxa" w:w="1323"/>
            <w:vAlign w:val="center"/>
          </w:tcPr>
          <w:p>
            <w:pPr>
              <w:spacing w:line="276" w:lineRule="auto" w:before="40" w:after="40"/>
            </w:pPr>
            <w:r>
              <w:rPr>
                <w:rFonts w:ascii="Times New Roman" w:hAnsi="Times New Roman"/>
                <w:sz w:val="17"/>
              </w:rPr>
              <w:t>Model LSTM mampu mengikuti pola tren harga kripto dengan tingkat kesalahan rendah.</w:t>
            </w:r>
          </w:p>
        </w:tc>
        <w:tc>
          <w:tcPr>
            <w:tcW w:type="dxa" w:w="1323"/>
            <w:vAlign w:val="center"/>
          </w:tcPr>
          <w:p>
            <w:pPr>
              <w:spacing w:line="276" w:lineRule="auto" w:before="40" w:after="40"/>
            </w:pPr>
            <w:r>
              <w:rPr>
                <w:rFonts w:ascii="Times New Roman" w:hAnsi="Times New Roman"/>
                <w:sz w:val="17"/>
              </w:rPr>
              <w:t>Penelitian ini menambahkan ekstraksi 1D-CNN, BiLSTM dua arah, Temporal Attention, serta 9 indikator teknikal pada objek Solana.</w:t>
            </w:r>
          </w:p>
        </w:tc>
      </w:tr>
      <w:tr>
        <w:tc>
          <w:tcPr>
            <w:tcW w:type="dxa" w:w="1323"/>
            <w:vAlign w:val="center"/>
          </w:tcPr>
          <w:p>
            <w:pPr>
              <w:spacing w:line="276" w:lineRule="auto" w:before="40" w:after="40"/>
            </w:pPr>
            <w:r>
              <w:rPr>
                <w:rFonts w:ascii="Times New Roman" w:hAnsi="Times New Roman"/>
                <w:sz w:val="17"/>
              </w:rPr>
              <w:t>2</w:t>
            </w:r>
          </w:p>
        </w:tc>
        <w:tc>
          <w:tcPr>
            <w:tcW w:type="dxa" w:w="1323"/>
            <w:vAlign w:val="center"/>
          </w:tcPr>
          <w:p>
            <w:pPr>
              <w:spacing w:line="276" w:lineRule="auto" w:before="40" w:after="40"/>
            </w:pPr>
            <w:r>
              <w:rPr>
                <w:rFonts w:ascii="Times New Roman" w:hAnsi="Times New Roman"/>
                <w:sz w:val="17"/>
              </w:rPr>
              <w:t>P. L. Seabe dkk. (2023) [2] — Fractal and Fractional (Scopus Q1)</w:t>
            </w:r>
          </w:p>
        </w:tc>
        <w:tc>
          <w:tcPr>
            <w:tcW w:type="dxa" w:w="1323"/>
            <w:vAlign w:val="center"/>
          </w:tcPr>
          <w:p>
            <w:pPr>
              <w:spacing w:line="276" w:lineRule="auto" w:before="40" w:after="40"/>
            </w:pPr>
            <w:r>
              <w:rPr>
                <w:rFonts w:ascii="Times New Roman" w:hAnsi="Times New Roman"/>
                <w:sz w:val="17"/>
              </w:rPr>
              <w:t>BTC, ETH, dan LTC (Data Historis)</w:t>
            </w:r>
          </w:p>
        </w:tc>
        <w:tc>
          <w:tcPr>
            <w:tcW w:type="dxa" w:w="1323"/>
            <w:vAlign w:val="center"/>
          </w:tcPr>
          <w:p>
            <w:pPr>
              <w:spacing w:line="276" w:lineRule="auto" w:before="40" w:after="40"/>
            </w:pPr>
            <w:r>
              <w:rPr>
                <w:rFonts w:ascii="Times New Roman" w:hAnsi="Times New Roman"/>
                <w:sz w:val="17"/>
              </w:rPr>
              <w:t>LSTM, GRU, dan BiLSTM</w:t>
            </w:r>
          </w:p>
        </w:tc>
        <w:tc>
          <w:tcPr>
            <w:tcW w:type="dxa" w:w="1323"/>
            <w:vAlign w:val="center"/>
          </w:tcPr>
          <w:p>
            <w:pPr>
              <w:spacing w:line="276" w:lineRule="auto" w:before="40" w:after="40"/>
            </w:pPr>
            <w:r>
              <w:rPr>
                <w:rFonts w:ascii="Times New Roman" w:hAnsi="Times New Roman"/>
                <w:sz w:val="17"/>
              </w:rPr>
              <w:t>BiLSTM mengungguli LSTM dan GRU dengan MAPE terendah pada ketiga aset.</w:t>
            </w:r>
          </w:p>
        </w:tc>
        <w:tc>
          <w:tcPr>
            <w:tcW w:type="dxa" w:w="1323"/>
            <w:vAlign w:val="center"/>
          </w:tcPr>
          <w:p>
            <w:pPr>
              <w:spacing w:line="276" w:lineRule="auto" w:before="40" w:after="40"/>
            </w:pPr>
            <w:r>
              <w:rPr>
                <w:rFonts w:ascii="Times New Roman" w:hAnsi="Times New Roman"/>
                <w:sz w:val="17"/>
              </w:rPr>
              <w:t>Penelitian ini mengintegrasikan mekanisme Attention dan lapisan konvolusi 1D-CNN serta mengukur Directional Accuracy (DA).</w:t>
            </w:r>
          </w:p>
        </w:tc>
      </w:tr>
      <w:tr>
        <w:tc>
          <w:tcPr>
            <w:tcW w:type="dxa" w:w="1323"/>
            <w:vAlign w:val="center"/>
          </w:tcPr>
          <w:p>
            <w:pPr>
              <w:spacing w:line="276" w:lineRule="auto" w:before="40" w:after="40"/>
            </w:pPr>
            <w:r>
              <w:rPr>
                <w:rFonts w:ascii="Times New Roman" w:hAnsi="Times New Roman"/>
                <w:sz w:val="17"/>
              </w:rPr>
              <w:t>3</w:t>
            </w:r>
          </w:p>
        </w:tc>
        <w:tc>
          <w:tcPr>
            <w:tcW w:type="dxa" w:w="1323"/>
            <w:vAlign w:val="center"/>
          </w:tcPr>
          <w:p>
            <w:pPr>
              <w:spacing w:line="276" w:lineRule="auto" w:before="40" w:after="40"/>
            </w:pPr>
            <w:r>
              <w:rPr>
                <w:rFonts w:ascii="Times New Roman" w:hAnsi="Times New Roman"/>
                <w:sz w:val="17"/>
              </w:rPr>
              <w:t>I. P. B. Priadinata dkk. (2025) [12] — SinkrOn (SINTA 2)</w:t>
            </w:r>
          </w:p>
        </w:tc>
        <w:tc>
          <w:tcPr>
            <w:tcW w:type="dxa" w:w="1323"/>
            <w:vAlign w:val="center"/>
          </w:tcPr>
          <w:p>
            <w:pPr>
              <w:spacing w:line="276" w:lineRule="auto" w:before="40" w:after="40"/>
            </w:pPr>
            <w:r>
              <w:rPr>
                <w:rFonts w:ascii="Times New Roman" w:hAnsi="Times New Roman"/>
                <w:sz w:val="17"/>
              </w:rPr>
              <w:t>Cryptocurrency Time Series</w:t>
            </w:r>
          </w:p>
        </w:tc>
        <w:tc>
          <w:tcPr>
            <w:tcW w:type="dxa" w:w="1323"/>
            <w:vAlign w:val="center"/>
          </w:tcPr>
          <w:p>
            <w:pPr>
              <w:spacing w:line="276" w:lineRule="auto" w:before="40" w:after="40"/>
            </w:pPr>
            <w:r>
              <w:rPr>
                <w:rFonts w:ascii="Times New Roman" w:hAnsi="Times New Roman"/>
                <w:sz w:val="17"/>
              </w:rPr>
              <w:t>Komparasi LSTM, GRU, dan BiLSTM</w:t>
            </w:r>
          </w:p>
        </w:tc>
        <w:tc>
          <w:tcPr>
            <w:tcW w:type="dxa" w:w="1323"/>
            <w:vAlign w:val="center"/>
          </w:tcPr>
          <w:p>
            <w:pPr>
              <w:spacing w:line="276" w:lineRule="auto" w:before="40" w:after="40"/>
            </w:pPr>
            <w:r>
              <w:rPr>
                <w:rFonts w:ascii="Times New Roman" w:hAnsi="Times New Roman"/>
                <w:sz w:val="17"/>
              </w:rPr>
              <w:t>Menunjukkan keunggulan struktur gerbang rekuren dua arah pada volatilitas tinggi.</w:t>
            </w:r>
          </w:p>
        </w:tc>
        <w:tc>
          <w:tcPr>
            <w:tcW w:type="dxa" w:w="1323"/>
            <w:vAlign w:val="center"/>
          </w:tcPr>
          <w:p>
            <w:pPr>
              <w:spacing w:line="276" w:lineRule="auto" w:before="40" w:after="40"/>
            </w:pPr>
            <w:r>
              <w:rPr>
                <w:rFonts w:ascii="Times New Roman" w:hAnsi="Times New Roman"/>
                <w:sz w:val="17"/>
              </w:rPr>
              <w:t>Penelitian ini melakukan ekstraksi morfologi lokal antar-indikator dengan 1D-CNN sebelum masuk ke BiLSTM.</w:t>
            </w:r>
          </w:p>
        </w:tc>
      </w:tr>
      <w:tr>
        <w:tc>
          <w:tcPr>
            <w:tcW w:type="dxa" w:w="1323"/>
            <w:vAlign w:val="center"/>
          </w:tcPr>
          <w:p>
            <w:pPr>
              <w:spacing w:line="276" w:lineRule="auto" w:before="40" w:after="40"/>
            </w:pPr>
            <w:r>
              <w:rPr>
                <w:rFonts w:ascii="Times New Roman" w:hAnsi="Times New Roman"/>
                <w:sz w:val="17"/>
              </w:rPr>
              <w:t>4</w:t>
            </w:r>
          </w:p>
        </w:tc>
        <w:tc>
          <w:tcPr>
            <w:tcW w:type="dxa" w:w="1323"/>
            <w:vAlign w:val="center"/>
          </w:tcPr>
          <w:p>
            <w:pPr>
              <w:spacing w:line="276" w:lineRule="auto" w:before="40" w:after="40"/>
            </w:pPr>
            <w:r>
              <w:rPr>
                <w:rFonts w:ascii="Times New Roman" w:hAnsi="Times New Roman"/>
                <w:sz w:val="17"/>
              </w:rPr>
              <w:t>D. Aldo dkk. (2025) [16] — IEEE ITIS</w:t>
            </w:r>
          </w:p>
        </w:tc>
        <w:tc>
          <w:tcPr>
            <w:tcW w:type="dxa" w:w="1323"/>
            <w:vAlign w:val="center"/>
          </w:tcPr>
          <w:p>
            <w:pPr>
              <w:spacing w:line="276" w:lineRule="auto" w:before="40" w:after="40"/>
            </w:pPr>
            <w:r>
              <w:rPr>
                <w:rFonts w:ascii="Times New Roman" w:hAnsi="Times New Roman"/>
                <w:sz w:val="17"/>
              </w:rPr>
              <w:t>Solana (SOL/USD)</w:t>
            </w:r>
          </w:p>
        </w:tc>
        <w:tc>
          <w:tcPr>
            <w:tcW w:type="dxa" w:w="1323"/>
            <w:vAlign w:val="center"/>
          </w:tcPr>
          <w:p>
            <w:pPr>
              <w:spacing w:line="276" w:lineRule="auto" w:before="40" w:after="40"/>
            </w:pPr>
            <w:r>
              <w:rPr>
                <w:rFonts w:ascii="Times New Roman" w:hAnsi="Times New Roman"/>
                <w:sz w:val="17"/>
              </w:rPr>
              <w:t>Varian Arsitektur LSTM</w:t>
            </w:r>
          </w:p>
        </w:tc>
        <w:tc>
          <w:tcPr>
            <w:tcW w:type="dxa" w:w="1323"/>
            <w:vAlign w:val="center"/>
          </w:tcPr>
          <w:p>
            <w:pPr>
              <w:spacing w:line="276" w:lineRule="auto" w:before="40" w:after="40"/>
            </w:pPr>
            <w:r>
              <w:rPr>
                <w:rFonts w:ascii="Times New Roman" w:hAnsi="Times New Roman"/>
                <w:sz w:val="17"/>
              </w:rPr>
              <w:t>Mengidentifikasi konfigurasi lapisan LSTM terbaik untuk peramalan harga Solana.</w:t>
            </w:r>
          </w:p>
        </w:tc>
        <w:tc>
          <w:tcPr>
            <w:tcW w:type="dxa" w:w="1323"/>
            <w:vAlign w:val="center"/>
          </w:tcPr>
          <w:p>
            <w:pPr>
              <w:spacing w:line="276" w:lineRule="auto" w:before="40" w:after="40"/>
            </w:pPr>
            <w:r>
              <w:rPr>
                <w:rFonts w:ascii="Times New Roman" w:hAnsi="Times New Roman"/>
                <w:sz w:val="17"/>
              </w:rPr>
              <w:t>Penelitian ini mengatasi keterbatasan LSTM satu arah pada Solana melalui hibridisasi CNN-BiLSTM-Attention dan studi ablasi.</w:t>
            </w:r>
          </w:p>
        </w:tc>
      </w:tr>
      <w:tr>
        <w:tc>
          <w:tcPr>
            <w:tcW w:type="dxa" w:w="1323"/>
            <w:vAlign w:val="center"/>
          </w:tcPr>
          <w:p>
            <w:pPr>
              <w:spacing w:line="276" w:lineRule="auto" w:before="40" w:after="40"/>
            </w:pPr>
            <w:r>
              <w:rPr>
                <w:rFonts w:ascii="Times New Roman" w:hAnsi="Times New Roman"/>
                <w:sz w:val="17"/>
              </w:rPr>
              <w:t>5</w:t>
            </w:r>
          </w:p>
        </w:tc>
        <w:tc>
          <w:tcPr>
            <w:tcW w:type="dxa" w:w="1323"/>
            <w:vAlign w:val="center"/>
          </w:tcPr>
          <w:p>
            <w:pPr>
              <w:spacing w:line="276" w:lineRule="auto" w:before="40" w:after="40"/>
            </w:pPr>
            <w:r>
              <w:rPr>
                <w:rFonts w:ascii="Times New Roman" w:hAnsi="Times New Roman"/>
                <w:sz w:val="17"/>
              </w:rPr>
              <w:t>J. S. Pane dkk. (2025) [17] — IEEE ICTS</w:t>
            </w:r>
          </w:p>
        </w:tc>
        <w:tc>
          <w:tcPr>
            <w:tcW w:type="dxa" w:w="1323"/>
            <w:vAlign w:val="center"/>
          </w:tcPr>
          <w:p>
            <w:pPr>
              <w:spacing w:line="276" w:lineRule="auto" w:before="40" w:after="40"/>
            </w:pPr>
            <w:r>
              <w:rPr>
                <w:rFonts w:ascii="Times New Roman" w:hAnsi="Times New Roman"/>
                <w:sz w:val="17"/>
              </w:rPr>
              <w:t>Solana (SOL/USD)</w:t>
            </w:r>
          </w:p>
        </w:tc>
        <w:tc>
          <w:tcPr>
            <w:tcW w:type="dxa" w:w="1323"/>
            <w:vAlign w:val="center"/>
          </w:tcPr>
          <w:p>
            <w:pPr>
              <w:spacing w:line="276" w:lineRule="auto" w:before="40" w:after="40"/>
            </w:pPr>
            <w:r>
              <w:rPr>
                <w:rFonts w:ascii="Times New Roman" w:hAnsi="Times New Roman"/>
                <w:sz w:val="17"/>
              </w:rPr>
              <w:t>Stacked Ensemble Learning (Lag &amp; EMA)</w:t>
            </w:r>
          </w:p>
        </w:tc>
        <w:tc>
          <w:tcPr>
            <w:tcW w:type="dxa" w:w="1323"/>
            <w:vAlign w:val="center"/>
          </w:tcPr>
          <w:p>
            <w:pPr>
              <w:spacing w:line="276" w:lineRule="auto" w:before="40" w:after="40"/>
            </w:pPr>
            <w:r>
              <w:rPr>
                <w:rFonts w:ascii="Times New Roman" w:hAnsi="Times New Roman"/>
                <w:sz w:val="17"/>
              </w:rPr>
              <w:t>Penambahan fitur EMA dan lag meningkatkan akurasi prediksi harga Solana.</w:t>
            </w:r>
          </w:p>
        </w:tc>
        <w:tc>
          <w:tcPr>
            <w:tcW w:type="dxa" w:w="1323"/>
            <w:vAlign w:val="center"/>
          </w:tcPr>
          <w:p>
            <w:pPr>
              <w:spacing w:line="276" w:lineRule="auto" w:before="40" w:after="40"/>
            </w:pPr>
            <w:r>
              <w:rPr>
                <w:rFonts w:ascii="Times New Roman" w:hAnsi="Times New Roman"/>
                <w:sz w:val="17"/>
              </w:rPr>
              <w:t>Penelitian ini memperkaya fitur EMA dengan osilator momentum (RSI, MACD), volatilitas (BB, ATR), dan volume (OBV).</w:t>
            </w:r>
          </w:p>
        </w:tc>
      </w:tr>
      <w:tr>
        <w:tc>
          <w:tcPr>
            <w:tcW w:type="dxa" w:w="1323"/>
            <w:vAlign w:val="center"/>
          </w:tcPr>
          <w:p>
            <w:pPr>
              <w:spacing w:line="276" w:lineRule="auto" w:before="40" w:after="40"/>
            </w:pPr>
            <w:r>
              <w:rPr>
                <w:rFonts w:ascii="Times New Roman" w:hAnsi="Times New Roman"/>
                <w:sz w:val="17"/>
              </w:rPr>
              <w:t>6</w:t>
            </w:r>
          </w:p>
        </w:tc>
        <w:tc>
          <w:tcPr>
            <w:tcW w:type="dxa" w:w="1323"/>
            <w:vAlign w:val="center"/>
          </w:tcPr>
          <w:p>
            <w:pPr>
              <w:spacing w:line="276" w:lineRule="auto" w:before="40" w:after="40"/>
            </w:pPr>
            <w:r>
              <w:rPr>
                <w:rFonts w:ascii="Times New Roman" w:hAnsi="Times New Roman"/>
                <w:sz w:val="17"/>
              </w:rPr>
              <w:t>C. Herdian (2026) [18] — Jurnal SOSTECH (SINTA 3)</w:t>
            </w:r>
          </w:p>
        </w:tc>
        <w:tc>
          <w:tcPr>
            <w:tcW w:type="dxa" w:w="1323"/>
            <w:vAlign w:val="center"/>
          </w:tcPr>
          <w:p>
            <w:pPr>
              <w:spacing w:line="276" w:lineRule="auto" w:before="40" w:after="40"/>
            </w:pPr>
            <w:r>
              <w:rPr>
                <w:rFonts w:ascii="Times New Roman" w:hAnsi="Times New Roman"/>
                <w:sz w:val="17"/>
              </w:rPr>
              <w:t>Solana (SOL-USD)</w:t>
            </w:r>
          </w:p>
        </w:tc>
        <w:tc>
          <w:tcPr>
            <w:tcW w:type="dxa" w:w="1323"/>
            <w:vAlign w:val="center"/>
          </w:tcPr>
          <w:p>
            <w:pPr>
              <w:spacing w:line="276" w:lineRule="auto" w:before="40" w:after="40"/>
            </w:pPr>
            <w:r>
              <w:rPr>
                <w:rFonts w:ascii="Times New Roman" w:hAnsi="Times New Roman"/>
                <w:sz w:val="17"/>
              </w:rPr>
              <w:t>Framework LSTM Jangka Pendek</w:t>
            </w:r>
          </w:p>
        </w:tc>
        <w:tc>
          <w:tcPr>
            <w:tcW w:type="dxa" w:w="1323"/>
            <w:vAlign w:val="center"/>
          </w:tcPr>
          <w:p>
            <w:pPr>
              <w:spacing w:line="276" w:lineRule="auto" w:before="40" w:after="40"/>
            </w:pPr>
            <w:r>
              <w:rPr>
                <w:rFonts w:ascii="Times New Roman" w:hAnsi="Times New Roman"/>
                <w:sz w:val="17"/>
              </w:rPr>
              <w:t>LSTM efektif untuk estimasi jangka pendek namun sensitif terhadap lonjakan ekstrem.</w:t>
            </w:r>
          </w:p>
        </w:tc>
        <w:tc>
          <w:tcPr>
            <w:tcW w:type="dxa" w:w="1323"/>
            <w:vAlign w:val="center"/>
          </w:tcPr>
          <w:p>
            <w:pPr>
              <w:spacing w:line="276" w:lineRule="auto" w:before="40" w:after="40"/>
            </w:pPr>
            <w:r>
              <w:rPr>
                <w:rFonts w:ascii="Times New Roman" w:hAnsi="Times New Roman"/>
                <w:sz w:val="17"/>
              </w:rPr>
              <w:t>Penelitian ini menyertakan mekanisme Temporal Attention untuk menekan keterlambatan fase (phase lagging) saat terjadi lonjakan harga.</w:t>
            </w:r>
          </w:p>
        </w:tc>
      </w:tr>
      <w:tr>
        <w:tc>
          <w:tcPr>
            <w:tcW w:type="dxa" w:w="1323"/>
            <w:vAlign w:val="center"/>
          </w:tcPr>
          <w:p>
            <w:pPr>
              <w:spacing w:line="276" w:lineRule="auto" w:before="40" w:after="40"/>
            </w:pPr>
            <w:r>
              <w:rPr>
                <w:rFonts w:ascii="Times New Roman" w:hAnsi="Times New Roman"/>
                <w:sz w:val="17"/>
              </w:rPr>
              <w:t>7</w:t>
            </w:r>
          </w:p>
        </w:tc>
        <w:tc>
          <w:tcPr>
            <w:tcW w:type="dxa" w:w="1323"/>
            <w:vAlign w:val="center"/>
          </w:tcPr>
          <w:p>
            <w:pPr>
              <w:spacing w:line="276" w:lineRule="auto" w:before="40" w:after="40"/>
            </w:pPr>
            <w:r>
              <w:rPr>
                <w:rFonts w:ascii="Times New Roman" w:hAnsi="Times New Roman"/>
                <w:sz w:val="17"/>
              </w:rPr>
              <w:t>Arya dkk. (2026) [19] — Jurnal BETRIK (SINTA 3)</w:t>
            </w:r>
          </w:p>
        </w:tc>
        <w:tc>
          <w:tcPr>
            <w:tcW w:type="dxa" w:w="1323"/>
            <w:vAlign w:val="center"/>
          </w:tcPr>
          <w:p>
            <w:pPr>
              <w:spacing w:line="276" w:lineRule="auto" w:before="40" w:after="40"/>
            </w:pPr>
            <w:r>
              <w:rPr>
                <w:rFonts w:ascii="Times New Roman" w:hAnsi="Times New Roman"/>
                <w:sz w:val="17"/>
              </w:rPr>
              <w:t>Ethereum &amp; Solana</w:t>
            </w:r>
          </w:p>
        </w:tc>
        <w:tc>
          <w:tcPr>
            <w:tcW w:type="dxa" w:w="1323"/>
            <w:vAlign w:val="center"/>
          </w:tcPr>
          <w:p>
            <w:pPr>
              <w:spacing w:line="276" w:lineRule="auto" w:before="40" w:after="40"/>
            </w:pPr>
            <w:r>
              <w:rPr>
                <w:rFonts w:ascii="Times New Roman" w:hAnsi="Times New Roman"/>
                <w:sz w:val="17"/>
              </w:rPr>
              <w:t>LSTM Berbasis Indikator Trading</w:t>
            </w:r>
          </w:p>
        </w:tc>
        <w:tc>
          <w:tcPr>
            <w:tcW w:type="dxa" w:w="1323"/>
            <w:vAlign w:val="center"/>
          </w:tcPr>
          <w:p>
            <w:pPr>
              <w:spacing w:line="276" w:lineRule="auto" w:before="40" w:after="40"/>
            </w:pPr>
            <w:r>
              <w:rPr>
                <w:rFonts w:ascii="Times New Roman" w:hAnsi="Times New Roman"/>
                <w:sz w:val="17"/>
              </w:rPr>
              <w:t>Penggunaan indikator trading meningkatkan akurasi dibanding data harga murni.</w:t>
            </w:r>
          </w:p>
        </w:tc>
        <w:tc>
          <w:tcPr>
            <w:tcW w:type="dxa" w:w="1323"/>
            <w:vAlign w:val="center"/>
          </w:tcPr>
          <w:p>
            <w:pPr>
              <w:spacing w:line="276" w:lineRule="auto" w:before="40" w:after="40"/>
            </w:pPr>
            <w:r>
              <w:rPr>
                <w:rFonts w:ascii="Times New Roman" w:hAnsi="Times New Roman"/>
                <w:sz w:val="17"/>
              </w:rPr>
              <w:t>Penelitian ini membandingkan 5 arsitektur sekaligus (LSTM, GRU, BiLSTM, CNN-BiLSTM, dan CNN-BiLSTM-Attention).</w:t>
            </w:r>
          </w:p>
        </w:tc>
      </w:tr>
      <w:tr>
        <w:tc>
          <w:tcPr>
            <w:tcW w:type="dxa" w:w="1323"/>
            <w:vAlign w:val="center"/>
          </w:tcPr>
          <w:p>
            <w:pPr>
              <w:spacing w:line="276" w:lineRule="auto" w:before="40" w:after="40"/>
            </w:pPr>
            <w:r>
              <w:rPr>
                <w:rFonts w:ascii="Times New Roman" w:hAnsi="Times New Roman"/>
                <w:sz w:val="17"/>
              </w:rPr>
              <w:t>8</w:t>
            </w:r>
          </w:p>
        </w:tc>
        <w:tc>
          <w:tcPr>
            <w:tcW w:type="dxa" w:w="1323"/>
            <w:vAlign w:val="center"/>
          </w:tcPr>
          <w:p>
            <w:pPr>
              <w:spacing w:line="276" w:lineRule="auto" w:before="40" w:after="40"/>
            </w:pPr>
            <w:r>
              <w:rPr>
                <w:rFonts w:ascii="Times New Roman" w:hAnsi="Times New Roman"/>
                <w:sz w:val="17"/>
              </w:rPr>
              <w:t>G. R. Malik, R. Parlika, &amp; K. Kartini (2026) [24] — Jurnal Fasilkom (SINTA 3)</w:t>
            </w:r>
          </w:p>
        </w:tc>
        <w:tc>
          <w:tcPr>
            <w:tcW w:type="dxa" w:w="1323"/>
            <w:vAlign w:val="center"/>
          </w:tcPr>
          <w:p>
            <w:pPr>
              <w:spacing w:line="276" w:lineRule="auto" w:before="40" w:after="40"/>
            </w:pPr>
            <w:r>
              <w:rPr>
                <w:rFonts w:ascii="Times New Roman" w:hAnsi="Times New Roman"/>
                <w:sz w:val="17"/>
              </w:rPr>
              <w:t>Bitcoin (BTC)</w:t>
            </w:r>
          </w:p>
        </w:tc>
        <w:tc>
          <w:tcPr>
            <w:tcW w:type="dxa" w:w="1323"/>
            <w:vAlign w:val="center"/>
          </w:tcPr>
          <w:p>
            <w:pPr>
              <w:spacing w:line="276" w:lineRule="auto" w:before="40" w:after="40"/>
            </w:pPr>
            <w:r>
              <w:rPr>
                <w:rFonts w:ascii="Times New Roman" w:hAnsi="Times New Roman"/>
                <w:sz w:val="17"/>
              </w:rPr>
              <w:t>BiLSTM Berbasis Dataset Multivariat</w:t>
            </w:r>
          </w:p>
        </w:tc>
        <w:tc>
          <w:tcPr>
            <w:tcW w:type="dxa" w:w="1323"/>
            <w:vAlign w:val="center"/>
          </w:tcPr>
          <w:p>
            <w:pPr>
              <w:spacing w:line="276" w:lineRule="auto" w:before="40" w:after="40"/>
            </w:pPr>
            <w:r>
              <w:rPr>
                <w:rFonts w:ascii="Times New Roman" w:hAnsi="Times New Roman"/>
                <w:sz w:val="17"/>
              </w:rPr>
              <w:t>BiLSTM multivariat memberikan generalisasi yang lebih stabil pada data uji.</w:t>
            </w:r>
          </w:p>
        </w:tc>
        <w:tc>
          <w:tcPr>
            <w:tcW w:type="dxa" w:w="1323"/>
            <w:vAlign w:val="center"/>
          </w:tcPr>
          <w:p>
            <w:pPr>
              <w:spacing w:line="276" w:lineRule="auto" w:before="40" w:after="40"/>
            </w:pPr>
            <w:r>
              <w:rPr>
                <w:rFonts w:ascii="Times New Roman" w:hAnsi="Times New Roman"/>
                <w:sz w:val="17"/>
              </w:rPr>
              <w:t>Penelitian ini menerapkan kerangka hibrida CNN-BiLSTM-Attention pada karakteristik unik jaringan Solana.</w:t>
            </w:r>
          </w:p>
        </w:tc>
      </w:tr>
      <w:tr>
        <w:tc>
          <w:tcPr>
            <w:tcW w:type="dxa" w:w="1323"/>
            <w:vAlign w:val="center"/>
          </w:tcPr>
          <w:p>
            <w:pPr>
              <w:spacing w:line="276" w:lineRule="auto" w:before="40" w:after="40"/>
            </w:pPr>
            <w:r>
              <w:rPr>
                <w:rFonts w:ascii="Times New Roman" w:hAnsi="Times New Roman"/>
                <w:sz w:val="17"/>
              </w:rPr>
              <w:t>9</w:t>
            </w:r>
          </w:p>
        </w:tc>
        <w:tc>
          <w:tcPr>
            <w:tcW w:type="dxa" w:w="1323"/>
            <w:vAlign w:val="center"/>
          </w:tcPr>
          <w:p>
            <w:pPr>
              <w:spacing w:line="276" w:lineRule="auto" w:before="40" w:after="40"/>
            </w:pPr>
            <w:r>
              <w:rPr>
                <w:rFonts w:ascii="Times New Roman" w:hAnsi="Times New Roman"/>
                <w:sz w:val="17"/>
              </w:rPr>
              <w:t>H. D. Diash, V. Nathania, M. Idhom, &amp; T. Trimono (2025) [25] — JAIC (SINTA 2)</w:t>
            </w:r>
          </w:p>
        </w:tc>
        <w:tc>
          <w:tcPr>
            <w:tcW w:type="dxa" w:w="1323"/>
            <w:vAlign w:val="center"/>
          </w:tcPr>
          <w:p>
            <w:pPr>
              <w:spacing w:line="276" w:lineRule="auto" w:before="40" w:after="40"/>
            </w:pPr>
            <w:r>
              <w:rPr>
                <w:rFonts w:ascii="Times New Roman" w:hAnsi="Times New Roman"/>
                <w:sz w:val="17"/>
              </w:rPr>
              <w:t>Ethereum (ETH-USD)</w:t>
            </w:r>
          </w:p>
        </w:tc>
        <w:tc>
          <w:tcPr>
            <w:tcW w:type="dxa" w:w="1323"/>
            <w:vAlign w:val="center"/>
          </w:tcPr>
          <w:p>
            <w:pPr>
              <w:spacing w:line="276" w:lineRule="auto" w:before="40" w:after="40"/>
            </w:pPr>
            <w:r>
              <w:rPr>
                <w:rFonts w:ascii="Times New Roman" w:hAnsi="Times New Roman"/>
                <w:sz w:val="17"/>
              </w:rPr>
              <w:t>Hibrida CNN-BiLSTM</w:t>
            </w:r>
          </w:p>
        </w:tc>
        <w:tc>
          <w:tcPr>
            <w:tcW w:type="dxa" w:w="1323"/>
            <w:vAlign w:val="center"/>
          </w:tcPr>
          <w:p>
            <w:pPr>
              <w:spacing w:line="276" w:lineRule="auto" w:before="40" w:after="40"/>
            </w:pPr>
            <w:r>
              <w:rPr>
                <w:rFonts w:ascii="Times New Roman" w:hAnsi="Times New Roman"/>
                <w:sz w:val="17"/>
              </w:rPr>
              <w:t>Arsitektur CNN-BiLSTM menurunkan RMSE dan MAPE secara konsisten dibanding model tunggal.</w:t>
            </w:r>
          </w:p>
        </w:tc>
        <w:tc>
          <w:tcPr>
            <w:tcW w:type="dxa" w:w="1323"/>
            <w:vAlign w:val="center"/>
          </w:tcPr>
          <w:p>
            <w:pPr>
              <w:spacing w:line="276" w:lineRule="auto" w:before="40" w:after="40"/>
            </w:pPr>
            <w:r>
              <w:rPr>
                <w:rFonts w:ascii="Times New Roman" w:hAnsi="Times New Roman"/>
                <w:sz w:val="17"/>
              </w:rPr>
              <w:t>Penelitian ini memperluas arsitektur CNN-BiLSTM dengan menambahkan lapisan Temporal Bahdanau Attention dan 14 fitur multivariat pada Solana.</w:t>
            </w:r>
          </w:p>
        </w:tc>
      </w:tr>
      <w:tr>
        <w:tc>
          <w:tcPr>
            <w:tcW w:type="dxa" w:w="1323"/>
            <w:vAlign w:val="center"/>
          </w:tcPr>
          <w:p>
            <w:pPr>
              <w:spacing w:line="276" w:lineRule="auto" w:before="40" w:after="40"/>
            </w:pPr>
            <w:r>
              <w:rPr>
                <w:rFonts w:ascii="Times New Roman" w:hAnsi="Times New Roman"/>
                <w:sz w:val="17"/>
              </w:rPr>
              <w:t>10</w:t>
            </w:r>
          </w:p>
        </w:tc>
        <w:tc>
          <w:tcPr>
            <w:tcW w:type="dxa" w:w="1323"/>
            <w:vAlign w:val="center"/>
          </w:tcPr>
          <w:p>
            <w:pPr>
              <w:spacing w:line="276" w:lineRule="auto" w:before="40" w:after="40"/>
            </w:pPr>
            <w:r>
              <w:rPr>
                <w:rFonts w:ascii="Times New Roman" w:hAnsi="Times New Roman"/>
                <w:sz w:val="17"/>
              </w:rPr>
              <w:t>Penelitian Ini — M. B. Arigusna &amp; B. Rahmat (2026)</w:t>
            </w:r>
          </w:p>
        </w:tc>
        <w:tc>
          <w:tcPr>
            <w:tcW w:type="dxa" w:w="1323"/>
            <w:vAlign w:val="center"/>
          </w:tcPr>
          <w:p>
            <w:pPr>
              <w:spacing w:line="276" w:lineRule="auto" w:before="40" w:after="40"/>
            </w:pPr>
            <w:r>
              <w:rPr>
                <w:rFonts w:ascii="Times New Roman" w:hAnsi="Times New Roman"/>
                <w:sz w:val="17"/>
              </w:rPr>
              <w:t>Solana (SOL-USD) 2.080 Hari (2021–2026)</w:t>
            </w:r>
          </w:p>
        </w:tc>
        <w:tc>
          <w:tcPr>
            <w:tcW w:type="dxa" w:w="1323"/>
            <w:vAlign w:val="center"/>
          </w:tcPr>
          <w:p>
            <w:pPr>
              <w:spacing w:line="276" w:lineRule="auto" w:before="40" w:after="40"/>
            </w:pPr>
            <w:r>
              <w:rPr>
                <w:rFonts w:ascii="Times New Roman" w:hAnsi="Times New Roman"/>
                <w:sz w:val="17"/>
              </w:rPr>
              <w:t>Hibrida CNN-BiLSTM + Temporal Attention</w:t>
            </w:r>
          </w:p>
        </w:tc>
        <w:tc>
          <w:tcPr>
            <w:tcW w:type="dxa" w:w="1323"/>
            <w:vAlign w:val="center"/>
          </w:tcPr>
          <w:p>
            <w:pPr>
              <w:spacing w:line="276" w:lineRule="auto" w:before="40" w:after="40"/>
            </w:pPr>
            <w:r>
              <w:rPr>
                <w:rFonts w:ascii="Times New Roman" w:hAnsi="Times New Roman"/>
                <w:sz w:val="17"/>
              </w:rPr>
              <w:t>Test MAE $1,54; RMSE $2,09; MAPE 1,62%; R² 0,9912; Directional Accuracy 77,88%.</w:t>
            </w:r>
          </w:p>
        </w:tc>
        <w:tc>
          <w:tcPr>
            <w:tcW w:type="dxa" w:w="1323"/>
            <w:vAlign w:val="center"/>
          </w:tcPr>
          <w:p>
            <w:pPr>
              <w:spacing w:line="276" w:lineRule="auto" w:before="40" w:after="40"/>
            </w:pPr>
            <w:r>
              <w:rPr>
                <w:rFonts w:ascii="Times New Roman" w:hAnsi="Times New Roman"/>
                <w:sz w:val="17"/>
              </w:rPr>
              <w:t>Menggabungkan 14 fitur multivariat, 1D-CNN, BiLSTM, Temporal Attention, komparasi 5 model, dan studi ablasi univariat vs multivariat.</w:t>
            </w:r>
          </w:p>
        </w:tc>
      </w:tr>
    </w:tbl>
    <w:p>
      <w:pPr>
        <w:spacing w:line="360" w:lineRule="auto" w:after="120"/>
        <w:ind w:firstLine="567"/>
        <w:jc w:val="both"/>
      </w:pPr>
      <w:r>
        <w:rPr>
          <w:rFonts w:ascii="Times New Roman" w:hAnsi="Times New Roman"/>
          <w:b w:val="0"/>
          <w:i w:val="0"/>
          <w:sz w:val="24"/>
        </w:rPr>
        <w:t xml:space="preserve">Berdasarkan Tabel 2.1 di atas, dapat dianalisis secara komprehensif bahwa perkembangan penelitian prediksi harga aset kripto dari tahun 2022 hingga 2026 memperlihatkan pergeseran metodologis dari model rekuren tunggal (LSTM dan GRU) menuju model rekuren dua arah (BiLSTM) dan model hibrida konvolusional (CNN-BiLSTM). Baris ke-4 hingga baris ke-7 pada Tabel 2.1 menunjukkan bahwa penelitian terkini yang secara spesifik meneliti objek Solana (SOL-USD) pada tahun 2025–2026 masih didominasi oleh arsitektur LSTM satu arah atau ansambel fitur rata-rata bergerak sederhana tanpa penyaringan konvolusional 1D-CNN dan tanpa pembobotan selektif </w:t>
      </w:r>
      <w:r>
        <w:rPr>
          <w:rFonts w:ascii="Times New Roman" w:hAnsi="Times New Roman"/>
          <w:b w:val="0"/>
          <w:i/>
          <w:sz w:val="24"/>
        </w:rPr>
        <w:t>Temporal Attention</w:t>
      </w:r>
      <w:r>
        <w:rPr>
          <w:rFonts w:ascii="Times New Roman" w:hAnsi="Times New Roman"/>
          <w:b w:val="0"/>
          <w:i w:val="0"/>
          <w:sz w:val="24"/>
        </w:rPr>
        <w:t>. Di sisi lain, studi Diash dkk. [25] pada baris ke-9 telah membuktikan efektivitas hibridisasi CNN-BiLSTM pada Ethereum, namun belum mengintegrasikan mekanisme Attention maupun osilator momentum dan volatilitas. Oleh karena itu, sebagaimana dirangkum pada baris ke-10 Tabel 2.1, penelitian ini mengisi celah penelitian (</w:t>
      </w:r>
      <w:r>
        <w:rPr>
          <w:rFonts w:ascii="Times New Roman" w:hAnsi="Times New Roman"/>
          <w:b w:val="0"/>
          <w:i/>
          <w:sz w:val="24"/>
        </w:rPr>
        <w:t>research gap</w:t>
      </w:r>
      <w:r>
        <w:rPr>
          <w:rFonts w:ascii="Times New Roman" w:hAnsi="Times New Roman"/>
          <w:b w:val="0"/>
          <w:i w:val="0"/>
          <w:sz w:val="24"/>
        </w:rPr>
        <w:t xml:space="preserve">) tersebut dengan menyinergikan 14 fitur indikator teknikal multivariat, ekstraksi lokal 1D-CNN, pemodelan konteks dua arah BiLSTM, dan mekanisme Temporal </w:t>
      </w:r>
      <w:r>
        <w:rPr>
          <w:rFonts w:ascii="Times New Roman" w:hAnsi="Times New Roman"/>
          <w:b w:val="0"/>
          <w:i/>
          <w:sz w:val="24"/>
        </w:rPr>
        <w:t>Bahdanau Attention</w:t>
      </w:r>
      <w:r>
        <w:rPr>
          <w:rFonts w:ascii="Times New Roman" w:hAnsi="Times New Roman"/>
          <w:b w:val="0"/>
          <w:i w:val="0"/>
          <w:sz w:val="24"/>
        </w:rPr>
        <w:t xml:space="preserve"> pada objek Solana, serta melengkapinya dengan evaluasi </w:t>
      </w:r>
      <w:r>
        <w:rPr>
          <w:rFonts w:ascii="Times New Roman" w:hAnsi="Times New Roman"/>
          <w:b w:val="0"/>
          <w:i/>
          <w:sz w:val="24"/>
        </w:rPr>
        <w:t>Directional Accuracy</w:t>
      </w:r>
      <w:r>
        <w:rPr>
          <w:rFonts w:ascii="Times New Roman" w:hAnsi="Times New Roman"/>
          <w:b w:val="0"/>
          <w:i w:val="0"/>
          <w:sz w:val="24"/>
        </w:rPr>
        <w:t xml:space="preserve"> (DA) dan studi ablasi.</w:t>
      </w:r>
    </w:p>
    <w:p>
      <w:pPr>
        <w:keepNext/>
        <w:spacing w:before="200" w:after="80" w:line="360" w:lineRule="auto"/>
        <w:jc w:val="left"/>
      </w:pPr>
      <w:r>
        <w:rPr>
          <w:rFonts w:ascii="Times New Roman" w:hAnsi="Times New Roman"/>
          <w:b/>
          <w:sz w:val="24"/>
        </w:rPr>
        <w:t xml:space="preserve">2.2.  </w:t>
      </w:r>
      <w:r>
        <w:rPr>
          <w:rFonts w:ascii="Times New Roman" w:hAnsi="Times New Roman"/>
          <w:b/>
          <w:i w:val="0"/>
          <w:sz w:val="24"/>
        </w:rPr>
        <w:t>Landasan Teori</w:t>
      </w:r>
    </w:p>
    <w:p>
      <w:pPr>
        <w:keepNext/>
        <w:spacing w:before="200" w:after="80" w:line="360" w:lineRule="auto"/>
        <w:jc w:val="left"/>
      </w:pPr>
      <w:r>
        <w:rPr>
          <w:rFonts w:ascii="Times New Roman" w:hAnsi="Times New Roman"/>
          <w:b/>
          <w:sz w:val="24"/>
        </w:rPr>
        <w:t xml:space="preserve">2.2.1.  </w:t>
      </w:r>
      <w:r>
        <w:rPr>
          <w:rFonts w:ascii="Times New Roman" w:hAnsi="Times New Roman"/>
          <w:b/>
          <w:i w:val="0"/>
          <w:sz w:val="24"/>
        </w:rPr>
        <w:t xml:space="preserve">Jaringan </w:t>
      </w:r>
      <w:r>
        <w:rPr>
          <w:rFonts w:ascii="Times New Roman" w:hAnsi="Times New Roman"/>
          <w:b/>
          <w:i/>
          <w:sz w:val="24"/>
        </w:rPr>
        <w:t>Blockchain</w:t>
      </w:r>
      <w:r>
        <w:rPr>
          <w:rFonts w:ascii="Times New Roman" w:hAnsi="Times New Roman"/>
          <w:b/>
          <w:i w:val="0"/>
          <w:sz w:val="24"/>
        </w:rPr>
        <w:t xml:space="preserve"> Solana dan Konsensus </w:t>
      </w:r>
      <w:r>
        <w:rPr>
          <w:rFonts w:ascii="Times New Roman" w:hAnsi="Times New Roman"/>
          <w:b/>
          <w:i/>
          <w:sz w:val="24"/>
        </w:rPr>
        <w:t>Proof of History</w:t>
      </w:r>
    </w:p>
    <w:p>
      <w:pPr>
        <w:spacing w:line="360" w:lineRule="auto" w:after="120"/>
        <w:ind w:firstLine="567"/>
        <w:jc w:val="both"/>
      </w:pPr>
      <w:r>
        <w:rPr>
          <w:rFonts w:ascii="Times New Roman" w:hAnsi="Times New Roman"/>
          <w:b w:val="0"/>
          <w:i w:val="0"/>
          <w:sz w:val="24"/>
        </w:rPr>
        <w:t xml:space="preserve">Solana merupakan platform </w:t>
      </w:r>
      <w:r>
        <w:rPr>
          <w:rFonts w:ascii="Times New Roman" w:hAnsi="Times New Roman"/>
          <w:b w:val="0"/>
          <w:i/>
          <w:sz w:val="24"/>
        </w:rPr>
        <w:t>blockchain</w:t>
      </w:r>
      <w:r>
        <w:rPr>
          <w:rFonts w:ascii="Times New Roman" w:hAnsi="Times New Roman"/>
          <w:b w:val="0"/>
          <w:i w:val="0"/>
          <w:sz w:val="24"/>
        </w:rPr>
        <w:t xml:space="preserve"> berkinerja tinggi yang dirancang untuk mendukung aplikasi terdesentralisasi dan sistem keuangan berskala global tanpa mengorbankan desentralisasi maupun keamanan [3], [4]. Inovasi inti Solana terletak pada protokol </w:t>
      </w:r>
      <w:r>
        <w:rPr>
          <w:rFonts w:ascii="Times New Roman" w:hAnsi="Times New Roman"/>
          <w:b w:val="0"/>
          <w:i/>
          <w:sz w:val="24"/>
        </w:rPr>
        <w:t>Proof of History</w:t>
      </w:r>
      <w:r>
        <w:rPr>
          <w:rFonts w:ascii="Times New Roman" w:hAnsi="Times New Roman"/>
          <w:b w:val="0"/>
          <w:i w:val="0"/>
          <w:sz w:val="24"/>
        </w:rPr>
        <w:t xml:space="preserve"> (PoH), yaitu fungsi penundaan terverifikasi (</w:t>
      </w:r>
      <w:r>
        <w:rPr>
          <w:rFonts w:ascii="Times New Roman" w:hAnsi="Times New Roman"/>
          <w:b w:val="0"/>
          <w:i/>
          <w:sz w:val="24"/>
        </w:rPr>
        <w:t>Verifiable Delay Function</w:t>
      </w:r>
      <w:r>
        <w:rPr>
          <w:rFonts w:ascii="Times New Roman" w:hAnsi="Times New Roman"/>
          <w:b w:val="0"/>
          <w:i w:val="0"/>
          <w:sz w:val="24"/>
        </w:rPr>
        <w:t xml:space="preserve"> / VDF) berbasis fungsi hash berurutan SHA-256 yang menciptakan stempel waktu kriptografis pada setiap peristiwa di dalam jaringan sebelum divalidasi melalui mekanisme konsensus </w:t>
      </w:r>
      <w:r>
        <w:rPr>
          <w:rFonts w:ascii="Times New Roman" w:hAnsi="Times New Roman"/>
          <w:b w:val="0"/>
          <w:i/>
          <w:sz w:val="24"/>
        </w:rPr>
        <w:t>Proof of Stake</w:t>
      </w:r>
      <w:r>
        <w:rPr>
          <w:rFonts w:ascii="Times New Roman" w:hAnsi="Times New Roman"/>
          <w:b w:val="0"/>
          <w:i w:val="0"/>
          <w:sz w:val="24"/>
        </w:rPr>
        <w:t xml:space="preserve"> (PoS) [3], [5]. Berkat arsitektur ini, waktu blok Solana dapat ditekan hingga sekitar 400 milidetik dengan kapasitas ribuan transaksi per detik. Namun, tingginya kecepatan eksekusi transaksi otomatis (termasuk perdagangan algoritmik dan bot likuiditas DEX) menyebabkan harga pasar token SOL mengalami dinamika mikrostruktur yang sangat reaktif dan fluktuatif [6], [8].</w:t>
      </w:r>
    </w:p>
    <w:p>
      <w:pPr>
        <w:keepNext/>
        <w:spacing w:before="200" w:after="80" w:line="360" w:lineRule="auto"/>
        <w:jc w:val="left"/>
      </w:pPr>
      <w:r>
        <w:rPr>
          <w:rFonts w:ascii="Times New Roman" w:hAnsi="Times New Roman"/>
          <w:b/>
          <w:sz w:val="24"/>
        </w:rPr>
        <w:t xml:space="preserve">2.2.2.  </w:t>
      </w:r>
      <w:r>
        <w:rPr>
          <w:rFonts w:ascii="Times New Roman" w:hAnsi="Times New Roman"/>
          <w:b/>
          <w:i w:val="0"/>
          <w:sz w:val="24"/>
        </w:rPr>
        <w:t>Indikator Teknikal dan Normalisasi Deret Waktu Finansial</w:t>
      </w:r>
    </w:p>
    <w:p>
      <w:pPr>
        <w:spacing w:line="360" w:lineRule="auto" w:after="120"/>
        <w:ind w:firstLine="567"/>
        <w:jc w:val="both"/>
      </w:pPr>
      <w:r>
        <w:rPr>
          <w:rFonts w:ascii="Times New Roman" w:hAnsi="Times New Roman"/>
          <w:b w:val="0"/>
          <w:i w:val="0"/>
          <w:sz w:val="24"/>
        </w:rPr>
        <w:t xml:space="preserve">Indikator teknikal merupakan transformasi matematis atas data harga (Open, High, Low, Close) dan volume perdagangan historis yang dirancang untuk mengukur arah tren, kecepatan momentum, tingkat volatilitas, serta akumulasi likuiditas pasar [22], [38], [39]. Indikator </w:t>
      </w:r>
      <w:r>
        <w:rPr>
          <w:rFonts w:ascii="Times New Roman" w:hAnsi="Times New Roman"/>
          <w:b w:val="0"/>
          <w:i/>
          <w:sz w:val="24"/>
        </w:rPr>
        <w:t>Exponential Moving Average</w:t>
      </w:r>
      <w:r>
        <w:rPr>
          <w:rFonts w:ascii="Times New Roman" w:hAnsi="Times New Roman"/>
          <w:b w:val="0"/>
          <w:i w:val="0"/>
          <w:sz w:val="24"/>
        </w:rPr>
        <w:t xml:space="preserve"> (EMA) memberikan bobot eksponensial pada observasi terbaru untuk mereduksi keterlambatan sinyal tren sebagaimana dinyatakan pada Persamaan (2.1):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EMA</m:t>
                  </m:r>
                </m:e>
                <m:sub>
                  <m:r>
                    <w:rPr>
                      <w:rFonts w:ascii="Cambria Math" w:hAnsi="Cambria Math"/>
                    </w:rPr>
                    <m:t>t</m:t>
                  </m:r>
                </m:sub>
              </m:sSub>
              <m:r>
                <m:rPr>
                  <m:sty m:val="p"/>
                </m:rPr>
                <w:rPr>
                  <w:rFonts w:ascii="Cambria Math" w:hAnsi="Cambria Math"/>
                </w:rPr>
                <m:t> = </m:t>
              </m:r>
              <m:r>
                <w:rPr>
                  <w:rFonts w:ascii="Cambria Math" w:hAnsi="Cambria Math"/>
                </w:rPr>
                <m:t>α</m:t>
              </m:r>
              <m:r>
                <m:rPr>
                  <m:sty m:val="p"/>
                </m:rPr>
                <w:rPr>
                  <w:rFonts w:ascii="Cambria Math" w:hAnsi="Cambria Math"/>
                </w:rPr>
                <m:t>⋅</m:t>
              </m:r>
              <m:sSub>
                <m:e>
                  <m:r>
                    <w:rPr>
                      <w:rFonts w:ascii="Cambria Math" w:hAnsi="Cambria Math"/>
                    </w:rPr>
                    <m:t>P</m:t>
                  </m:r>
                </m:e>
                <m:sub>
                  <m:r>
                    <w:rPr>
                      <w:rFonts w:ascii="Cambria Math" w:hAnsi="Cambria Math"/>
                    </w:rPr>
                    <m:t>t</m:t>
                  </m:r>
                </m:sub>
              </m:sSub>
              <m:r>
                <m:rPr>
                  <m:sty m:val="p"/>
                </m:rPr>
                <w:rPr>
                  <w:rFonts w:ascii="Cambria Math" w:hAnsi="Cambria Math"/>
                </w:rPr>
                <m:t> + </m:t>
              </m:r>
              <m:d>
                <m:dPr>
                  <m:begChr m:val="("/>
                  <m:endChr m:val=")"/>
                </m:dPr>
                <m:e>
                  <m:r>
                    <m:rPr>
                      <m:sty m:val="p"/>
                    </m:rPr>
                    <w:rPr>
                      <w:rFonts w:ascii="Cambria Math" w:hAnsi="Cambria Math"/>
                    </w:rPr>
                    <m:t>1 − </m:t>
                  </m:r>
                  <m:r>
                    <w:rPr>
                      <w:rFonts w:ascii="Cambria Math" w:hAnsi="Cambria Math"/>
                    </w:rPr>
                    <m:t>α</m:t>
                  </m:r>
                </m:e>
              </m:d>
              <m:r>
                <m:rPr>
                  <m:sty m:val="p"/>
                </m:rPr>
                <w:rPr>
                  <w:rFonts w:ascii="Cambria Math" w:hAnsi="Cambria Math"/>
                </w:rPr>
                <m:t>⋅</m:t>
              </m:r>
              <m:sSub>
                <m:e>
                  <m:r>
                    <m:rPr>
                      <m:sty m:val="p"/>
                    </m:rPr>
                    <w:rPr>
                      <w:rFonts w:ascii="Cambria Math" w:hAnsi="Cambria Math"/>
                    </w:rPr>
                    <m:t>EMA</m:t>
                  </m:r>
                </m:e>
                <m:sub>
                  <m:r>
                    <w:rPr>
                      <w:rFonts w:ascii="Cambria Math" w:hAnsi="Cambria Math"/>
                    </w:rPr>
                    <m:t>t</m:t>
                  </m:r>
                  <m:r>
                    <m:rPr>
                      <m:sty m:val="p"/>
                    </m:rPr>
                    <w:rPr>
                      <w:rFonts w:ascii="Cambria Math" w:hAnsi="Cambria Math"/>
                    </w:rPr>
                    <m:t>−1</m:t>
                  </m:r>
                </m:sub>
              </m:sSub>
              <m:r>
                <m:rPr>
                  <m:sty m:val="p"/>
                </m:rPr>
                <w:rPr>
                  <w:rFonts w:ascii="Cambria Math" w:hAnsi="Cambria Math"/>
                </w:rPr>
                <m:t> ,   </m:t>
              </m:r>
              <m:r>
                <w:rPr>
                  <w:rFonts w:ascii="Cambria Math" w:hAnsi="Cambria Math"/>
                </w:rPr>
                <m:t>α</m:t>
              </m:r>
              <m:r>
                <m:rPr>
                  <m:sty m:val="p"/>
                </m:rPr>
                <w:rPr>
                  <w:rFonts w:ascii="Cambria Math" w:hAnsi="Cambria Math"/>
                </w:rPr>
                <m:t> = </m:t>
              </m:r>
              <m:f>
                <m:num>
                  <m:r>
                    <m:rPr>
                      <m:sty m:val="p"/>
                    </m:rPr>
                    <w:rPr>
                      <w:rFonts w:ascii="Cambria Math" w:hAnsi="Cambria Math"/>
                    </w:rPr>
                    <m:t>2</m:t>
                  </m:r>
                </m:num>
                <m:den>
                  <m:r>
                    <w:rPr>
                      <w:rFonts w:ascii="Cambria Math" w:hAnsi="Cambria Math"/>
                    </w:rPr>
                    <m:t>k</m:t>
                  </m:r>
                  <m:r>
                    <m:rPr>
                      <m:sty m:val="p"/>
                    </m:rPr>
                    <w:rPr>
                      <w:rFonts w:ascii="Cambria Math" w:hAnsi="Cambria Math"/>
                    </w:rPr>
                    <m:t> + 1</m:t>
                  </m:r>
                </m:den>
              </m:f>
            </m:oMath>
          </w:p>
        </w:tc>
        <w:tc>
          <w:tcPr>
            <w:tcW w:type="dxa" w:w="1020"/>
            <w:vAlign w:val="center"/>
          </w:tcPr>
          <w:p>
            <w:pPr>
              <w:spacing w:before="80" w:after="80"/>
              <w:jc w:val="right"/>
            </w:pPr>
            <w:r>
              <w:rPr>
                <w:rFonts w:ascii="Times New Roman" w:hAnsi="Times New Roman"/>
                <w:sz w:val="24"/>
              </w:rPr>
              <w:t>(2.1)</w:t>
            </w:r>
          </w:p>
        </w:tc>
      </w:tr>
    </w:tbl>
    <w:p>
      <w:pPr>
        <w:spacing w:before="60" w:after="120" w:line="360" w:lineRule="auto"/>
        <w:ind w:firstLine="567"/>
        <w:jc w:val="both"/>
      </w:pPr>
      <w:r>
        <w:rPr>
          <w:rFonts w:ascii="Times New Roman" w:hAnsi="Times New Roman"/>
          <w:b w:val="0"/>
          <w:i w:val="0"/>
          <w:sz w:val="24"/>
        </w:rPr>
        <w:t xml:space="preserve">Berdasarkan Persamaan (2.1) di atas, variabel </w:t>
      </w:r>
      <w:r>
        <w:rPr>
          <w:rFonts w:ascii="Times New Roman" w:hAnsi="Times New Roman"/>
          <w:b w:val="0"/>
          <w:i/>
          <w:sz w:val="24"/>
        </w:rPr>
        <w:t>EMA_t</w:t>
      </w:r>
      <w:r>
        <w:rPr>
          <w:rFonts w:ascii="Times New Roman" w:hAnsi="Times New Roman"/>
          <w:b w:val="0"/>
          <w:i w:val="0"/>
          <w:sz w:val="24"/>
        </w:rPr>
        <w:t xml:space="preserve"> menyatakan nilai rata-rata bergerak eksponensial pada hari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P_t</w:t>
      </w:r>
      <w:r>
        <w:rPr>
          <w:rFonts w:ascii="Times New Roman" w:hAnsi="Times New Roman"/>
          <w:b w:val="0"/>
          <w:i w:val="0"/>
          <w:sz w:val="24"/>
        </w:rPr>
        <w:t xml:space="preserve"> adalah harga penutupan (</w:t>
      </w:r>
      <w:r>
        <w:rPr>
          <w:rFonts w:ascii="Times New Roman" w:hAnsi="Times New Roman"/>
          <w:b w:val="0"/>
          <w:i/>
          <w:sz w:val="24"/>
        </w:rPr>
        <w:t>Close</w:t>
      </w:r>
      <w:r>
        <w:rPr>
          <w:rFonts w:ascii="Times New Roman" w:hAnsi="Times New Roman"/>
          <w:b w:val="0"/>
          <w:i w:val="0"/>
          <w:sz w:val="24"/>
        </w:rPr>
        <w:t>) aset kripto Solana pada hari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EMA_(t-1)</w:t>
      </w:r>
      <w:r>
        <w:rPr>
          <w:rFonts w:ascii="Times New Roman" w:hAnsi="Times New Roman"/>
          <w:b w:val="0"/>
          <w:i w:val="0"/>
          <w:sz w:val="24"/>
        </w:rPr>
        <w:t xml:space="preserve"> adalah nilai EMA pada hari perdagangan sebelumnya, dan </w:t>
      </w:r>
      <w:r>
        <w:rPr>
          <w:rFonts w:ascii="Times New Roman" w:hAnsi="Times New Roman"/>
          <w:b w:val="0"/>
          <w:i/>
          <w:sz w:val="24"/>
        </w:rPr>
        <w:t>α</w:t>
      </w:r>
      <w:r>
        <w:rPr>
          <w:rFonts w:ascii="Times New Roman" w:hAnsi="Times New Roman"/>
          <w:b w:val="0"/>
          <w:i w:val="0"/>
          <w:sz w:val="24"/>
        </w:rPr>
        <w:t xml:space="preserve"> merupakan koefisien peluruhan eksponensial yang ditentukan oleh panjang periode jendela pengamatan </w:t>
      </w:r>
      <w:r>
        <w:rPr>
          <w:rFonts w:ascii="Times New Roman" w:hAnsi="Times New Roman"/>
          <w:b w:val="0"/>
          <w:i/>
          <w:sz w:val="24"/>
        </w:rPr>
        <w:t>k</w:t>
      </w:r>
      <w:r>
        <w:rPr>
          <w:rFonts w:ascii="Times New Roman" w:hAnsi="Times New Roman"/>
          <w:b w:val="0"/>
          <w:i w:val="0"/>
          <w:sz w:val="24"/>
        </w:rPr>
        <w:t xml:space="preserve"> (dalam penelitian ini digunakan </w:t>
      </w:r>
      <w:r>
        <w:rPr>
          <w:rFonts w:ascii="Times New Roman" w:hAnsi="Times New Roman"/>
          <w:b w:val="0"/>
          <w:i/>
          <w:sz w:val="24"/>
        </w:rPr>
        <w:t>k</w:t>
      </w:r>
      <w:r>
        <w:rPr>
          <w:rFonts w:ascii="Times New Roman" w:hAnsi="Times New Roman"/>
          <w:b w:val="0"/>
          <w:i w:val="0"/>
          <w:sz w:val="24"/>
        </w:rPr>
        <w:t xml:space="preserve"> = 14 hari untuk tren jangka pendek dan </w:t>
      </w:r>
      <w:r>
        <w:rPr>
          <w:rFonts w:ascii="Times New Roman" w:hAnsi="Times New Roman"/>
          <w:b w:val="0"/>
          <w:i/>
          <w:sz w:val="24"/>
        </w:rPr>
        <w:t>k</w:t>
      </w:r>
      <w:r>
        <w:rPr>
          <w:rFonts w:ascii="Times New Roman" w:hAnsi="Times New Roman"/>
          <w:b w:val="0"/>
          <w:i w:val="0"/>
          <w:sz w:val="24"/>
        </w:rPr>
        <w:t xml:space="preserve"> = 50 hari untuk tren jangka menengah). Melalui pembobotan </w:t>
      </w:r>
      <w:r>
        <w:rPr>
          <w:rFonts w:ascii="Times New Roman" w:hAnsi="Times New Roman"/>
          <w:b w:val="0"/>
          <w:i/>
          <w:sz w:val="24"/>
        </w:rPr>
        <w:t>α</w:t>
      </w:r>
      <w:r>
        <w:rPr>
          <w:rFonts w:ascii="Times New Roman" w:hAnsi="Times New Roman"/>
          <w:b w:val="0"/>
          <w:i w:val="0"/>
          <w:sz w:val="24"/>
        </w:rPr>
        <w:t xml:space="preserve"> tersebut, perubahan harga terbaru memperoleh porsi pengaruh yang lebih besar dibandingkan harga masa lampau sehingga mereduksi keterlambatan deteksi tren.</w:t>
      </w:r>
    </w:p>
    <w:p>
      <w:pPr>
        <w:spacing w:line="360" w:lineRule="auto" w:after="120"/>
        <w:ind w:firstLine="567"/>
        <w:jc w:val="both"/>
      </w:pPr>
      <w:r>
        <w:rPr>
          <w:rFonts w:ascii="Times New Roman" w:hAnsi="Times New Roman"/>
          <w:b w:val="0"/>
          <w:i w:val="0"/>
          <w:sz w:val="24"/>
        </w:rPr>
        <w:t>Selanjutnya, untuk mengukur kecepatan dan magnitudo perubahan harga guna mendeteksi kondisi jenuh beli (</w:t>
      </w:r>
      <w:r>
        <w:rPr>
          <w:rFonts w:ascii="Times New Roman" w:hAnsi="Times New Roman"/>
          <w:b w:val="0"/>
          <w:i/>
          <w:sz w:val="24"/>
        </w:rPr>
        <w:t>overbought</w:t>
      </w:r>
      <w:r>
        <w:rPr>
          <w:rFonts w:ascii="Times New Roman" w:hAnsi="Times New Roman"/>
          <w:b w:val="0"/>
          <w:i w:val="0"/>
          <w:sz w:val="24"/>
        </w:rPr>
        <w:t>) atau jenuh jual (</w:t>
      </w:r>
      <w:r>
        <w:rPr>
          <w:rFonts w:ascii="Times New Roman" w:hAnsi="Times New Roman"/>
          <w:b w:val="0"/>
          <w:i/>
          <w:sz w:val="24"/>
        </w:rPr>
        <w:t>oversold</w:t>
      </w:r>
      <w:r>
        <w:rPr>
          <w:rFonts w:ascii="Times New Roman" w:hAnsi="Times New Roman"/>
          <w:b w:val="0"/>
          <w:i w:val="0"/>
          <w:sz w:val="24"/>
        </w:rPr>
        <w:t xml:space="preserve">), digunakan indikator </w:t>
      </w:r>
      <w:r>
        <w:rPr>
          <w:rFonts w:ascii="Times New Roman" w:hAnsi="Times New Roman"/>
          <w:b w:val="0"/>
          <w:i/>
          <w:sz w:val="24"/>
        </w:rPr>
        <w:t>Relative Strength Index</w:t>
      </w:r>
      <w:r>
        <w:rPr>
          <w:rFonts w:ascii="Times New Roman" w:hAnsi="Times New Roman"/>
          <w:b w:val="0"/>
          <w:i w:val="0"/>
          <w:sz w:val="24"/>
        </w:rPr>
        <w:t xml:space="preserve"> (RSI-14) yang dirumuskan secara matematis pada Persamaan (2.2):</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RSI</m:t>
                  </m:r>
                </m:e>
                <m:sub>
                  <m:r>
                    <w:rPr>
                      <w:rFonts w:ascii="Cambria Math" w:hAnsi="Cambria Math"/>
                    </w:rPr>
                    <m:t>t</m:t>
                  </m:r>
                </m:sub>
              </m:sSub>
              <m:r>
                <m:rPr>
                  <m:sty m:val="p"/>
                </m:rPr>
                <w:rPr>
                  <w:rFonts w:ascii="Cambria Math" w:hAnsi="Cambria Math"/>
                </w:rPr>
                <m:t> = 100 − </m:t>
              </m:r>
              <m:f>
                <m:num>
                  <m:r>
                    <m:rPr>
                      <m:sty m:val="p"/>
                    </m:rPr>
                    <w:rPr>
                      <w:rFonts w:ascii="Cambria Math" w:hAnsi="Cambria Math"/>
                    </w:rPr>
                    <m:t>100</m:t>
                  </m:r>
                </m:num>
                <m:den>
                  <m:r>
                    <m:rPr>
                      <m:sty m:val="p"/>
                    </m:rPr>
                    <w:rPr>
                      <w:rFonts w:ascii="Cambria Math" w:hAnsi="Cambria Math"/>
                    </w:rPr>
                    <m:t>1 + </m:t>
                  </m:r>
                  <m:f>
                    <m:num>
                      <m:sSub>
                        <m:e>
                          <m:r>
                            <m:rPr>
                              <m:sty m:val="p"/>
                            </m:rPr>
                            <w:rPr>
                              <w:rFonts w:ascii="Cambria Math" w:hAnsi="Cambria Math"/>
                            </w:rPr>
                            <m:t>AvgGain</m:t>
                          </m:r>
                        </m:e>
                        <m:sub>
                          <m:r>
                            <w:rPr>
                              <w:rFonts w:ascii="Cambria Math" w:hAnsi="Cambria Math"/>
                            </w:rPr>
                            <m:t>t</m:t>
                          </m:r>
                        </m:sub>
                      </m:sSub>
                    </m:num>
                    <m:den>
                      <m:sSub>
                        <m:e>
                          <m:r>
                            <m:rPr>
                              <m:sty m:val="p"/>
                            </m:rPr>
                            <w:rPr>
                              <w:rFonts w:ascii="Cambria Math" w:hAnsi="Cambria Math"/>
                            </w:rPr>
                            <m:t>AvgLoss</m:t>
                          </m:r>
                        </m:e>
                        <m:sub>
                          <m:r>
                            <w:rPr>
                              <w:rFonts w:ascii="Cambria Math" w:hAnsi="Cambria Math"/>
                            </w:rPr>
                            <m:t>t</m:t>
                          </m:r>
                        </m:sub>
                      </m:sSub>
                    </m:den>
                  </m:f>
                </m:den>
              </m:f>
            </m:oMath>
          </w:p>
        </w:tc>
        <w:tc>
          <w:tcPr>
            <w:tcW w:type="dxa" w:w="1020"/>
            <w:vAlign w:val="center"/>
          </w:tcPr>
          <w:p>
            <w:pPr>
              <w:spacing w:before="80" w:after="80"/>
              <w:jc w:val="right"/>
            </w:pPr>
            <w:r>
              <w:rPr>
                <w:rFonts w:ascii="Times New Roman" w:hAnsi="Times New Roman"/>
                <w:sz w:val="24"/>
              </w:rPr>
              <w:t>(2.2)</w:t>
            </w:r>
          </w:p>
        </w:tc>
      </w:tr>
    </w:tbl>
    <w:p>
      <w:pPr>
        <w:spacing w:before="60" w:after="120" w:line="360" w:lineRule="auto"/>
        <w:ind w:firstLine="567"/>
        <w:jc w:val="both"/>
      </w:pPr>
      <w:r>
        <w:rPr>
          <w:rFonts w:ascii="Times New Roman" w:hAnsi="Times New Roman"/>
          <w:b w:val="0"/>
          <w:i w:val="0"/>
          <w:sz w:val="24"/>
        </w:rPr>
        <w:t xml:space="preserve">Berdasarkan Persamaan (2.2) di atas, </w:t>
      </w:r>
      <w:r>
        <w:rPr>
          <w:rFonts w:ascii="Times New Roman" w:hAnsi="Times New Roman"/>
          <w:b w:val="0"/>
          <w:i/>
          <w:sz w:val="24"/>
        </w:rPr>
        <w:t>RSI_t</w:t>
      </w:r>
      <w:r>
        <w:rPr>
          <w:rFonts w:ascii="Times New Roman" w:hAnsi="Times New Roman"/>
          <w:b w:val="0"/>
          <w:i w:val="0"/>
          <w:sz w:val="24"/>
        </w:rPr>
        <w:t xml:space="preserve"> merepresentasikan nilai indeks kekuatan relatif pada hari ke-</w:t>
      </w:r>
      <w:r>
        <w:rPr>
          <w:rFonts w:ascii="Times New Roman" w:hAnsi="Times New Roman"/>
          <w:b w:val="0"/>
          <w:i/>
          <w:sz w:val="24"/>
        </w:rPr>
        <w:t>t</w:t>
      </w:r>
      <w:r>
        <w:rPr>
          <w:rFonts w:ascii="Times New Roman" w:hAnsi="Times New Roman"/>
          <w:b w:val="0"/>
          <w:i w:val="0"/>
          <w:sz w:val="24"/>
        </w:rPr>
        <w:t xml:space="preserve"> yang terikat dalam rentang skala 0 hingga 100, sedangkan </w:t>
      </w:r>
      <w:r>
        <w:rPr>
          <w:rFonts w:ascii="Times New Roman" w:hAnsi="Times New Roman"/>
          <w:b w:val="0"/>
          <w:i/>
          <w:sz w:val="24"/>
        </w:rPr>
        <w:t>AvgGain_t</w:t>
      </w:r>
      <w:r>
        <w:rPr>
          <w:rFonts w:ascii="Times New Roman" w:hAnsi="Times New Roman"/>
          <w:b w:val="0"/>
          <w:i w:val="0"/>
          <w:sz w:val="24"/>
        </w:rPr>
        <w:t xml:space="preserve"> dan </w:t>
      </w:r>
      <w:r>
        <w:rPr>
          <w:rFonts w:ascii="Times New Roman" w:hAnsi="Times New Roman"/>
          <w:b w:val="0"/>
          <w:i/>
          <w:sz w:val="24"/>
        </w:rPr>
        <w:t>AvgLoss_t</w:t>
      </w:r>
      <w:r>
        <w:rPr>
          <w:rFonts w:ascii="Times New Roman" w:hAnsi="Times New Roman"/>
          <w:b w:val="0"/>
          <w:i w:val="0"/>
          <w:sz w:val="24"/>
        </w:rPr>
        <w:t xml:space="preserve"> masing-masing menyatakan rata-rata kenaikan harga positif dan rata-rata penurunan harga absolut selama periode 14 hari terakhir. Apabila nilai </w:t>
      </w:r>
      <w:r>
        <w:rPr>
          <w:rFonts w:ascii="Times New Roman" w:hAnsi="Times New Roman"/>
          <w:b w:val="0"/>
          <w:i/>
          <w:sz w:val="24"/>
        </w:rPr>
        <w:t>RSI_t</w:t>
      </w:r>
      <w:r>
        <w:rPr>
          <w:rFonts w:ascii="Times New Roman" w:hAnsi="Times New Roman"/>
          <w:b w:val="0"/>
          <w:i w:val="0"/>
          <w:sz w:val="24"/>
        </w:rPr>
        <w:t xml:space="preserve"> melampaui ambang 70, pasar diindikasikan berada pada zona jenuh beli (</w:t>
      </w:r>
      <w:r>
        <w:rPr>
          <w:rFonts w:ascii="Times New Roman" w:hAnsi="Times New Roman"/>
          <w:b w:val="0"/>
          <w:i/>
          <w:sz w:val="24"/>
        </w:rPr>
        <w:t>overbought</w:t>
      </w:r>
      <w:r>
        <w:rPr>
          <w:rFonts w:ascii="Times New Roman" w:hAnsi="Times New Roman"/>
          <w:b w:val="0"/>
          <w:i w:val="0"/>
          <w:sz w:val="24"/>
        </w:rPr>
        <w:t>) yang rawan mengalami koreksi turun, sedangkan nilai di bawah 30 menandakan kondisi jenuh jual (</w:t>
      </w:r>
      <w:r>
        <w:rPr>
          <w:rFonts w:ascii="Times New Roman" w:hAnsi="Times New Roman"/>
          <w:b w:val="0"/>
          <w:i/>
          <w:sz w:val="24"/>
        </w:rPr>
        <w:t>oversold</w:t>
      </w:r>
      <w:r>
        <w:rPr>
          <w:rFonts w:ascii="Times New Roman" w:hAnsi="Times New Roman"/>
          <w:b w:val="0"/>
          <w:i w:val="0"/>
          <w:sz w:val="24"/>
        </w:rPr>
        <w:t>) yang berpotensi memicu pembalikan harga naik.</w:t>
      </w:r>
    </w:p>
    <w:p>
      <w:pPr>
        <w:spacing w:line="360" w:lineRule="auto" w:after="120"/>
        <w:ind w:firstLine="567"/>
        <w:jc w:val="both"/>
      </w:pPr>
      <w:r>
        <w:rPr>
          <w:rFonts w:ascii="Times New Roman" w:hAnsi="Times New Roman"/>
          <w:b w:val="0"/>
          <w:i w:val="0"/>
          <w:sz w:val="24"/>
        </w:rPr>
        <w:t xml:space="preserve">Di samping RSI-14, deteksi pergeseran arah dan kekuatan momentum jangka pendek terhadap jangka menengah diperkuat menggunakan indikator </w:t>
      </w:r>
      <w:r>
        <w:rPr>
          <w:rFonts w:ascii="Times New Roman" w:hAnsi="Times New Roman"/>
          <w:b w:val="0"/>
          <w:i/>
          <w:sz w:val="24"/>
        </w:rPr>
        <w:t>Moving Average Convergence Divergence</w:t>
      </w:r>
      <w:r>
        <w:rPr>
          <w:rFonts w:ascii="Times New Roman" w:hAnsi="Times New Roman"/>
          <w:b w:val="0"/>
          <w:i w:val="0"/>
          <w:sz w:val="24"/>
        </w:rPr>
        <w:t xml:space="preserve"> (MACD) sebagaimana dirumuskan pada Persamaan (2.3):</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MACD</m:t>
                  </m:r>
                </m:e>
                <m:sub>
                  <m:r>
                    <w:rPr>
                      <w:rFonts w:ascii="Cambria Math" w:hAnsi="Cambria Math"/>
                    </w:rPr>
                    <m:t>t</m:t>
                  </m:r>
                </m:sub>
              </m:sSub>
              <m:r>
                <m:rPr>
                  <m:sty m:val="p"/>
                </m:rPr>
                <w:rPr>
                  <w:rFonts w:ascii="Cambria Math" w:hAnsi="Cambria Math"/>
                </w:rPr>
                <m:t> = </m:t>
              </m:r>
              <m:sSub>
                <m:e>
                  <m:r>
                    <m:rPr>
                      <m:sty m:val="p"/>
                    </m:rPr>
                    <w:rPr>
                      <w:rFonts w:ascii="Cambria Math" w:hAnsi="Cambria Math"/>
                    </w:rPr>
                    <m:t>EMA</m:t>
                  </m:r>
                </m:e>
                <m:sub>
                  <m:r>
                    <m:rPr>
                      <m:sty m:val="p"/>
                    </m:rPr>
                    <w:rPr>
                      <w:rFonts w:ascii="Cambria Math" w:hAnsi="Cambria Math"/>
                    </w:rPr>
                    <m:t>12</m:t>
                  </m:r>
                </m:sub>
              </m:sSub>
              <m:d>
                <m:dPr>
                  <m:begChr m:val="("/>
                  <m:endChr m:val=")"/>
                </m:dPr>
                <m:e>
                  <m:sSub>
                    <m:e>
                      <m:r>
                        <w:rPr>
                          <w:rFonts w:ascii="Cambria Math" w:hAnsi="Cambria Math"/>
                        </w:rPr>
                        <m:t>P</m:t>
                      </m:r>
                    </m:e>
                    <m:sub>
                      <m:r>
                        <w:rPr>
                          <w:rFonts w:ascii="Cambria Math" w:hAnsi="Cambria Math"/>
                        </w:rPr>
                        <m:t>t</m:t>
                      </m:r>
                    </m:sub>
                  </m:sSub>
                </m:e>
              </m:d>
              <m:r>
                <m:rPr>
                  <m:sty m:val="p"/>
                </m:rPr>
                <w:rPr>
                  <w:rFonts w:ascii="Cambria Math" w:hAnsi="Cambria Math"/>
                </w:rPr>
                <m:t> − </m:t>
              </m:r>
              <m:sSub>
                <m:e>
                  <m:r>
                    <m:rPr>
                      <m:sty m:val="p"/>
                    </m:rPr>
                    <w:rPr>
                      <w:rFonts w:ascii="Cambria Math" w:hAnsi="Cambria Math"/>
                    </w:rPr>
                    <m:t>EMA</m:t>
                  </m:r>
                </m:e>
                <m:sub>
                  <m:r>
                    <m:rPr>
                      <m:sty m:val="p"/>
                    </m:rPr>
                    <w:rPr>
                      <w:rFonts w:ascii="Cambria Math" w:hAnsi="Cambria Math"/>
                    </w:rPr>
                    <m:t>26</m:t>
                  </m:r>
                </m:sub>
              </m:sSub>
              <m:d>
                <m:dPr>
                  <m:begChr m:val="("/>
                  <m:endChr m:val=")"/>
                </m:dPr>
                <m:e>
                  <m:sSub>
                    <m:e>
                      <m:r>
                        <w:rPr>
                          <w:rFonts w:ascii="Cambria Math" w:hAnsi="Cambria Math"/>
                        </w:rPr>
                        <m:t>P</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(2.3)</w:t>
            </w:r>
          </w:p>
        </w:tc>
      </w:tr>
    </w:tbl>
    <w:p>
      <w:pPr>
        <w:spacing w:before="60" w:after="120" w:line="360" w:lineRule="auto"/>
        <w:ind w:firstLine="567"/>
        <w:jc w:val="both"/>
      </w:pPr>
      <w:r>
        <w:rPr>
          <w:rFonts w:ascii="Times New Roman" w:hAnsi="Times New Roman"/>
          <w:b w:val="0"/>
          <w:i w:val="0"/>
          <w:sz w:val="24"/>
        </w:rPr>
        <w:t xml:space="preserve">Berdasarkan Persamaan (2.3) di atas, </w:t>
      </w:r>
      <w:r>
        <w:rPr>
          <w:rFonts w:ascii="Times New Roman" w:hAnsi="Times New Roman"/>
          <w:b w:val="0"/>
          <w:i/>
          <w:sz w:val="24"/>
        </w:rPr>
        <w:t>MACD_t</w:t>
      </w:r>
      <w:r>
        <w:rPr>
          <w:rFonts w:ascii="Times New Roman" w:hAnsi="Times New Roman"/>
          <w:b w:val="0"/>
          <w:i w:val="0"/>
          <w:sz w:val="24"/>
        </w:rPr>
        <w:t xml:space="preserve"> merupakan nilai konvergensi-divergensi rata-rata bergerak pada hari ke-</w:t>
      </w:r>
      <w:r>
        <w:rPr>
          <w:rFonts w:ascii="Times New Roman" w:hAnsi="Times New Roman"/>
          <w:b w:val="0"/>
          <w:i/>
          <w:sz w:val="24"/>
        </w:rPr>
        <w:t>t</w:t>
      </w:r>
      <w:r>
        <w:rPr>
          <w:rFonts w:ascii="Times New Roman" w:hAnsi="Times New Roman"/>
          <w:b w:val="0"/>
          <w:i w:val="0"/>
          <w:sz w:val="24"/>
        </w:rPr>
        <w:t xml:space="preserve"> yang diperoleh dari selisih antara rata-rata eksponensial cepat periode 12 hari (</w:t>
      </w:r>
      <w:r>
        <w:rPr>
          <w:rFonts w:ascii="Times New Roman" w:hAnsi="Times New Roman"/>
          <w:b w:val="0"/>
          <w:i/>
          <w:sz w:val="24"/>
        </w:rPr>
        <w:t>EMA_12(P_t)</w:t>
      </w:r>
      <w:r>
        <w:rPr>
          <w:rFonts w:ascii="Times New Roman" w:hAnsi="Times New Roman"/>
          <w:b w:val="0"/>
          <w:i w:val="0"/>
          <w:sz w:val="24"/>
        </w:rPr>
        <w:t>) dan rata-rata eksponensial lambat periode 26 hari (</w:t>
      </w:r>
      <w:r>
        <w:rPr>
          <w:rFonts w:ascii="Times New Roman" w:hAnsi="Times New Roman"/>
          <w:b w:val="0"/>
          <w:i/>
          <w:sz w:val="24"/>
        </w:rPr>
        <w:t>EMA_26(P_t)</w:t>
      </w:r>
      <w:r>
        <w:rPr>
          <w:rFonts w:ascii="Times New Roman" w:hAnsi="Times New Roman"/>
          <w:b w:val="0"/>
          <w:i w:val="0"/>
          <w:sz w:val="24"/>
        </w:rPr>
        <w:t xml:space="preserve">). Nilai </w:t>
      </w:r>
      <w:r>
        <w:rPr>
          <w:rFonts w:ascii="Times New Roman" w:hAnsi="Times New Roman"/>
          <w:b w:val="0"/>
          <w:i/>
          <w:sz w:val="24"/>
        </w:rPr>
        <w:t>MACD_t</w:t>
      </w:r>
      <w:r>
        <w:rPr>
          <w:rFonts w:ascii="Times New Roman" w:hAnsi="Times New Roman"/>
          <w:b w:val="0"/>
          <w:i w:val="0"/>
          <w:sz w:val="24"/>
        </w:rPr>
        <w:t xml:space="preserve"> selanjutnya dihaluskan kembali menggunakan EMA periode 9 hari untuk membentuk garis pemicu (</w:t>
      </w:r>
      <w:r>
        <w:rPr>
          <w:rFonts w:ascii="Times New Roman" w:hAnsi="Times New Roman"/>
          <w:b w:val="0"/>
          <w:i/>
          <w:sz w:val="24"/>
        </w:rPr>
        <w:t>MACD_Signal</w:t>
      </w:r>
      <w:r>
        <w:rPr>
          <w:rFonts w:ascii="Times New Roman" w:hAnsi="Times New Roman"/>
          <w:b w:val="0"/>
          <w:i w:val="0"/>
          <w:sz w:val="24"/>
        </w:rPr>
        <w:t>), di mana perpotongan (</w:t>
      </w:r>
      <w:r>
        <w:rPr>
          <w:rFonts w:ascii="Times New Roman" w:hAnsi="Times New Roman"/>
          <w:b w:val="0"/>
          <w:i/>
          <w:sz w:val="24"/>
        </w:rPr>
        <w:t>crossover</w:t>
      </w:r>
      <w:r>
        <w:rPr>
          <w:rFonts w:ascii="Times New Roman" w:hAnsi="Times New Roman"/>
          <w:b w:val="0"/>
          <w:i w:val="0"/>
          <w:sz w:val="24"/>
        </w:rPr>
        <w:t>) antara kedua garis tersebut menjadi indikator kunci percepatan atau perlambatan momentum tren harga Solana.</w:t>
      </w:r>
    </w:p>
    <w:p>
      <w:pPr>
        <w:spacing w:line="360" w:lineRule="auto" w:after="120"/>
        <w:ind w:firstLine="567"/>
        <w:jc w:val="both"/>
      </w:pPr>
      <w:r>
        <w:rPr>
          <w:rFonts w:ascii="Times New Roman" w:hAnsi="Times New Roman"/>
          <w:b w:val="0"/>
          <w:i w:val="0"/>
          <w:sz w:val="24"/>
        </w:rPr>
        <w:t xml:space="preserve">Untuk menangkap pelebaran dan penyempitan rentang volatilitas harga Solana secara dinamis, digunakan pita </w:t>
      </w:r>
      <w:r>
        <w:rPr>
          <w:rFonts w:ascii="Times New Roman" w:hAnsi="Times New Roman"/>
          <w:b w:val="0"/>
          <w:i/>
          <w:sz w:val="24"/>
        </w:rPr>
        <w:t>Bollinger Bands</w:t>
      </w:r>
      <w:r>
        <w:rPr>
          <w:rFonts w:ascii="Times New Roman" w:hAnsi="Times New Roman"/>
          <w:b w:val="0"/>
          <w:i w:val="0"/>
          <w:sz w:val="24"/>
        </w:rPr>
        <w:t xml:space="preserve"> (periode 20 hari dengan faktor deviasi 2σ) sebagaimana dituliskan pada Persamaan (2.4):</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BB</m:t>
                  </m:r>
                </m:e>
                <m:sub>
                  <m:r>
                    <m:rPr>
                      <m:sty m:val="p"/>
                    </m:rPr>
                    <w:rPr>
                      <w:rFonts w:ascii="Cambria Math" w:hAnsi="Cambria Math"/>
                    </w:rPr>
                    <m:t>Upper, Lower</m:t>
                  </m:r>
                </m:sub>
              </m:sSub>
              <m:r>
                <m:rPr>
                  <m:sty m:val="p"/>
                </m:rPr>
                <w:rPr>
                  <w:rFonts w:ascii="Cambria Math" w:hAnsi="Cambria Math"/>
                </w:rPr>
                <m:t> = </m:t>
              </m:r>
              <m:sSub>
                <m:e>
                  <m:r>
                    <m:rPr>
                      <m:sty m:val="p"/>
                    </m:rPr>
                    <w:rPr>
                      <w:rFonts w:ascii="Cambria Math" w:hAnsi="Cambria Math"/>
                    </w:rPr>
                    <m:t>SMA</m:t>
                  </m:r>
                </m:e>
                <m:sub>
                  <m:r>
                    <m:rPr>
                      <m:sty m:val="p"/>
                    </m:rPr>
                    <w:rPr>
                      <w:rFonts w:ascii="Cambria Math" w:hAnsi="Cambria Math"/>
                    </w:rPr>
                    <m:t>20</m:t>
                  </m:r>
                </m:sub>
              </m:sSub>
              <m:d>
                <m:dPr>
                  <m:begChr m:val="("/>
                  <m:endChr m:val=")"/>
                </m:dPr>
                <m:e>
                  <m:sSub>
                    <m:e>
                      <m:r>
                        <w:rPr>
                          <w:rFonts w:ascii="Cambria Math" w:hAnsi="Cambria Math"/>
                        </w:rPr>
                        <m:t>P</m:t>
                      </m:r>
                    </m:e>
                    <m:sub>
                      <m:r>
                        <w:rPr>
                          <w:rFonts w:ascii="Cambria Math" w:hAnsi="Cambria Math"/>
                        </w:rPr>
                        <m:t>t</m:t>
                      </m:r>
                    </m:sub>
                  </m:sSub>
                </m:e>
              </m:d>
              <m:r>
                <m:rPr>
                  <m:sty m:val="p"/>
                </m:rPr>
                <w:rPr>
                  <w:rFonts w:ascii="Cambria Math" w:hAnsi="Cambria Math"/>
                </w:rPr>
                <m:t> ± 2</m:t>
              </m:r>
              <m:sSub>
                <m:e>
                  <m:r>
                    <w:rPr>
                      <w:rFonts w:ascii="Cambria Math" w:hAnsi="Cambria Math"/>
                    </w:rPr>
                    <m:t>σ</m:t>
                  </m:r>
                </m:e>
                <m:sub>
                  <m:r>
                    <m:rPr>
                      <m:sty m:val="p"/>
                    </m:rPr>
                    <w:rPr>
                      <w:rFonts w:ascii="Cambria Math" w:hAnsi="Cambria Math"/>
                    </w:rPr>
                    <m:t>20</m:t>
                  </m:r>
                </m:sub>
              </m:sSub>
              <m:d>
                <m:dPr>
                  <m:begChr m:val="("/>
                  <m:endChr m:val=")"/>
                </m:dPr>
                <m:e>
                  <m:sSub>
                    <m:e>
                      <m:r>
                        <w:rPr>
                          <w:rFonts w:ascii="Cambria Math" w:hAnsi="Cambria Math"/>
                        </w:rPr>
                        <m:t>P</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(2.4)</w:t>
            </w:r>
          </w:p>
        </w:tc>
      </w:tr>
    </w:tbl>
    <w:p>
      <w:pPr>
        <w:spacing w:before="60" w:after="120" w:line="360" w:lineRule="auto"/>
        <w:ind w:firstLine="567"/>
        <w:jc w:val="both"/>
      </w:pPr>
      <w:r>
        <w:rPr>
          <w:rFonts w:ascii="Times New Roman" w:hAnsi="Times New Roman"/>
          <w:b w:val="0"/>
          <w:i w:val="0"/>
          <w:sz w:val="24"/>
        </w:rPr>
        <w:t xml:space="preserve">Berdasarkan Persamaan (2.4) di atas, </w:t>
      </w:r>
      <w:r>
        <w:rPr>
          <w:rFonts w:ascii="Times New Roman" w:hAnsi="Times New Roman"/>
          <w:b w:val="0"/>
          <w:i/>
          <w:sz w:val="24"/>
        </w:rPr>
        <w:t>BB_Upper</w:t>
      </w:r>
      <w:r>
        <w:rPr>
          <w:rFonts w:ascii="Times New Roman" w:hAnsi="Times New Roman"/>
          <w:b w:val="0"/>
          <w:i w:val="0"/>
          <w:sz w:val="24"/>
        </w:rPr>
        <w:t xml:space="preserve"> dan </w:t>
      </w:r>
      <w:r>
        <w:rPr>
          <w:rFonts w:ascii="Times New Roman" w:hAnsi="Times New Roman"/>
          <w:b w:val="0"/>
          <w:i/>
          <w:sz w:val="24"/>
        </w:rPr>
        <w:t>BB_Lower</w:t>
      </w:r>
      <w:r>
        <w:rPr>
          <w:rFonts w:ascii="Times New Roman" w:hAnsi="Times New Roman"/>
          <w:b w:val="0"/>
          <w:i w:val="0"/>
          <w:sz w:val="24"/>
        </w:rPr>
        <w:t xml:space="preserve"> menyatakan batas pita atas dan batas pita bawah volatilitas harga pada hari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SMA_20(P_t)</w:t>
      </w:r>
      <w:r>
        <w:rPr>
          <w:rFonts w:ascii="Times New Roman" w:hAnsi="Times New Roman"/>
          <w:b w:val="0"/>
          <w:i w:val="0"/>
          <w:sz w:val="24"/>
        </w:rPr>
        <w:t xml:space="preserve"> adalah nilai rata-rata bergerak sederhana (</w:t>
      </w:r>
      <w:r>
        <w:rPr>
          <w:rFonts w:ascii="Times New Roman" w:hAnsi="Times New Roman"/>
          <w:b w:val="0"/>
          <w:i/>
          <w:sz w:val="24"/>
        </w:rPr>
        <w:t>Simple Moving Average</w:t>
      </w:r>
      <w:r>
        <w:rPr>
          <w:rFonts w:ascii="Times New Roman" w:hAnsi="Times New Roman"/>
          <w:b w:val="0"/>
          <w:i w:val="0"/>
          <w:sz w:val="24"/>
        </w:rPr>
        <w:t xml:space="preserve">) dari harga penutupan Solana selama 20 hari terakhir, dan </w:t>
      </w:r>
      <w:r>
        <w:rPr>
          <w:rFonts w:ascii="Times New Roman" w:hAnsi="Times New Roman"/>
          <w:b w:val="0"/>
          <w:i/>
          <w:sz w:val="24"/>
        </w:rPr>
        <w:t>σ_20(P_t)</w:t>
      </w:r>
      <w:r>
        <w:rPr>
          <w:rFonts w:ascii="Times New Roman" w:hAnsi="Times New Roman"/>
          <w:b w:val="0"/>
          <w:i w:val="0"/>
          <w:sz w:val="24"/>
        </w:rPr>
        <w:t xml:space="preserve"> menyatakan simpangan baku (</w:t>
      </w:r>
      <w:r>
        <w:rPr>
          <w:rFonts w:ascii="Times New Roman" w:hAnsi="Times New Roman"/>
          <w:b w:val="0"/>
          <w:i/>
          <w:sz w:val="24"/>
        </w:rPr>
        <w:t>standard deviation</w:t>
      </w:r>
      <w:r>
        <w:rPr>
          <w:rFonts w:ascii="Times New Roman" w:hAnsi="Times New Roman"/>
          <w:b w:val="0"/>
          <w:i w:val="0"/>
          <w:sz w:val="24"/>
        </w:rPr>
        <w:t>) harga pada jendela 20 hari yang sama. Pelebaran jarak antara pita atas dan pita bawah mencerminkan lonjakan volatilitas pasar yang tinggi, sedangkan penyempitan pita mengindikasikan fase konsolidasi sebelum terjadinya penembusan harga (</w:t>
      </w:r>
      <w:r>
        <w:rPr>
          <w:rFonts w:ascii="Times New Roman" w:hAnsi="Times New Roman"/>
          <w:b w:val="0"/>
          <w:i/>
          <w:sz w:val="24"/>
        </w:rPr>
        <w:t>breakout</w:t>
      </w:r>
      <w:r>
        <w:rPr>
          <w:rFonts w:ascii="Times New Roman" w:hAnsi="Times New Roman"/>
          <w:b w:val="0"/>
          <w:i w:val="0"/>
          <w:sz w:val="24"/>
        </w:rPr>
        <w:t>).</w:t>
      </w:r>
    </w:p>
    <w:p>
      <w:pPr>
        <w:spacing w:line="360" w:lineRule="auto" w:after="120"/>
        <w:ind w:firstLine="567"/>
        <w:jc w:val="both"/>
      </w:pPr>
      <w:r>
        <w:rPr>
          <w:rFonts w:ascii="Times New Roman" w:hAnsi="Times New Roman"/>
          <w:b w:val="0"/>
          <w:i w:val="0"/>
          <w:sz w:val="24"/>
        </w:rPr>
        <w:t xml:space="preserve">Selain pita </w:t>
      </w:r>
      <w:r>
        <w:rPr>
          <w:rFonts w:ascii="Times New Roman" w:hAnsi="Times New Roman"/>
          <w:b w:val="0"/>
          <w:i/>
          <w:sz w:val="24"/>
        </w:rPr>
        <w:t>Bollinger Bands</w:t>
      </w:r>
      <w:r>
        <w:rPr>
          <w:rFonts w:ascii="Times New Roman" w:hAnsi="Times New Roman"/>
          <w:b w:val="0"/>
          <w:i w:val="0"/>
          <w:sz w:val="24"/>
        </w:rPr>
        <w:t xml:space="preserve">, intensitas rentang gejolak harga harian diukur menggunakan indikator </w:t>
      </w:r>
      <w:r>
        <w:rPr>
          <w:rFonts w:ascii="Times New Roman" w:hAnsi="Times New Roman"/>
          <w:b w:val="0"/>
          <w:i/>
          <w:sz w:val="24"/>
        </w:rPr>
        <w:t>Average True Range</w:t>
      </w:r>
      <w:r>
        <w:rPr>
          <w:rFonts w:ascii="Times New Roman" w:hAnsi="Times New Roman"/>
          <w:b w:val="0"/>
          <w:i w:val="0"/>
          <w:sz w:val="24"/>
        </w:rPr>
        <w:t xml:space="preserve"> periode 14 hari (ATR-14) yang didefinisikan pada Persamaan (2.5):</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ATR</m:t>
                  </m:r>
                </m:e>
                <m:sub>
                  <m:r>
                    <w:rPr>
                      <w:rFonts w:ascii="Cambria Math" w:hAnsi="Cambria Math"/>
                    </w:rPr>
                    <m:t>t</m:t>
                  </m:r>
                </m:sub>
              </m:sSub>
              <m:r>
                <m:rPr>
                  <m:sty m:val="p"/>
                </m:rPr>
                <w:rPr>
                  <w:rFonts w:ascii="Cambria Math" w:hAnsi="Cambria Math"/>
                </w:rPr>
                <m:t> = </m:t>
              </m:r>
              <m:f>
                <m:num>
                  <m:r>
                    <m:rPr>
                      <m:sty m:val="p"/>
                    </m:rPr>
                    <w:rPr>
                      <w:rFonts w:ascii="Cambria Math" w:hAnsi="Cambria Math"/>
                    </w:rPr>
                    <m:t>1</m:t>
                  </m:r>
                </m:num>
                <m:den>
                  <m:r>
                    <m:rPr>
                      <m:sty m:val="p"/>
                    </m:rPr>
                    <w:rPr>
                      <w:rFonts w:ascii="Cambria Math" w:hAnsi="Cambria Math"/>
                    </w:rPr>
                    <m:t>14</m:t>
                  </m:r>
                </m:den>
              </m:f>
              <m:nary>
                <m:naryPr>
                  <m:chr m:val="∑"/>
                  <m:limLoc m:val="undOvr"/>
                </m:naryPr>
                <m:sub>
                  <m:r>
                    <w:rPr>
                      <w:rFonts w:ascii="Cambria Math" w:hAnsi="Cambria Math"/>
                    </w:rPr>
                    <m:t>i</m:t>
                  </m:r>
                  <m:r>
                    <m:rPr>
                      <m:sty m:val="p"/>
                    </m:rPr>
                    <w:rPr>
                      <w:rFonts w:ascii="Cambria Math" w:hAnsi="Cambria Math"/>
                    </w:rPr>
                    <m:t>=0</m:t>
                  </m:r>
                </m:sub>
                <m:sup>
                  <m:r>
                    <m:rPr>
                      <m:sty m:val="p"/>
                    </m:rPr>
                    <w:rPr>
                      <w:rFonts w:ascii="Cambria Math" w:hAnsi="Cambria Math"/>
                    </w:rPr>
                    <m:t>13</m:t>
                  </m:r>
                </m:sup>
                <m:e>
                  <m:r>
                    <m:rPr>
                      <m:sty m:val="p"/>
                    </m:rPr>
                    <w:rPr>
                      <w:rFonts w:ascii="Cambria Math" w:hAnsi="Cambria Math"/>
                    </w:rPr>
                    <m:t>max</m:t>
                  </m:r>
                  <m:d>
                    <m:dPr>
                      <m:begChr m:val="("/>
                      <m:endChr m:val=")"/>
                    </m:dPr>
                    <m:e>
                      <m:sSub>
                        <m:e>
                          <m:r>
                            <w:rPr>
                              <w:rFonts w:ascii="Cambria Math" w:hAnsi="Cambria Math"/>
                            </w:rPr>
                            <m:t>H</m:t>
                          </m:r>
                        </m:e>
                        <m:sub>
                          <m:r>
                            <w:rPr>
                              <w:rFonts w:ascii="Cambria Math" w:hAnsi="Cambria Math"/>
                            </w:rPr>
                            <m:t>t−i</m:t>
                          </m:r>
                        </m:sub>
                      </m:sSub>
                      <m:r>
                        <m:rPr>
                          <m:sty m:val="p"/>
                        </m:rPr>
                        <w:rPr>
                          <w:rFonts w:ascii="Cambria Math" w:hAnsi="Cambria Math"/>
                        </w:rPr>
                        <m:t> − </m:t>
                      </m:r>
                      <m:sSub>
                        <m:e>
                          <m:r>
                            <w:rPr>
                              <w:rFonts w:ascii="Cambria Math" w:hAnsi="Cambria Math"/>
                            </w:rPr>
                            <m:t>L</m:t>
                          </m:r>
                        </m:e>
                        <m:sub>
                          <m:r>
                            <w:rPr>
                              <w:rFonts w:ascii="Cambria Math" w:hAnsi="Cambria Math"/>
                            </w:rPr>
                            <m:t>t−i</m:t>
                          </m:r>
                        </m:sub>
                      </m:sSub>
                      <m:r>
                        <m:rPr>
                          <m:sty m:val="p"/>
                        </m:rPr>
                        <w:rPr>
                          <w:rFonts w:ascii="Cambria Math" w:hAnsi="Cambria Math"/>
                        </w:rPr>
                        <m:t>, </m:t>
                      </m:r>
                      <m:d>
                        <m:dPr>
                          <m:begChr m:val="|"/>
                          <m:endChr m:val="|"/>
                        </m:dPr>
                        <m:e>
                          <m:sSub>
                            <m:e>
                              <m:r>
                                <w:rPr>
                                  <w:rFonts w:ascii="Cambria Math" w:hAnsi="Cambria Math"/>
                                </w:rPr>
                                <m:t>H</m:t>
                              </m:r>
                            </m:e>
                            <m:sub>
                              <m:r>
                                <w:rPr>
                                  <w:rFonts w:ascii="Cambria Math" w:hAnsi="Cambria Math"/>
                                </w:rPr>
                                <m:t>t−i</m:t>
                              </m:r>
                            </m:sub>
                          </m:sSub>
                          <m:r>
                            <m:rPr>
                              <m:sty m:val="p"/>
                            </m:rPr>
                            <w:rPr>
                              <w:rFonts w:ascii="Cambria Math" w:hAnsi="Cambria Math"/>
                            </w:rPr>
                            <m:t> − </m:t>
                          </m:r>
                          <m:sSub>
                            <m:e>
                              <m:r>
                                <w:rPr>
                                  <w:rFonts w:ascii="Cambria Math" w:hAnsi="Cambria Math"/>
                                </w:rPr>
                                <m:t>C</m:t>
                              </m:r>
                            </m:e>
                            <m:sub>
                              <m:r>
                                <w:rPr>
                                  <w:rFonts w:ascii="Cambria Math" w:hAnsi="Cambria Math"/>
                                </w:rPr>
                                <m:t>t−i−1</m:t>
                              </m:r>
                            </m:sub>
                          </m:sSub>
                        </m:e>
                      </m:d>
                      <m:r>
                        <m:rPr>
                          <m:sty m:val="p"/>
                        </m:rPr>
                        <w:rPr>
                          <w:rFonts w:ascii="Cambria Math" w:hAnsi="Cambria Math"/>
                        </w:rPr>
                        <m:t>, </m:t>
                      </m:r>
                      <m:d>
                        <m:dPr>
                          <m:begChr m:val="|"/>
                          <m:endChr m:val="|"/>
                        </m:dPr>
                        <m:e>
                          <m:sSub>
                            <m:e>
                              <m:r>
                                <w:rPr>
                                  <w:rFonts w:ascii="Cambria Math" w:hAnsi="Cambria Math"/>
                                </w:rPr>
                                <m:t>L</m:t>
                              </m:r>
                            </m:e>
                            <m:sub>
                              <m:r>
                                <w:rPr>
                                  <w:rFonts w:ascii="Cambria Math" w:hAnsi="Cambria Math"/>
                                </w:rPr>
                                <m:t>t−i</m:t>
                              </m:r>
                            </m:sub>
                          </m:sSub>
                          <m:r>
                            <m:rPr>
                              <m:sty m:val="p"/>
                            </m:rPr>
                            <w:rPr>
                              <w:rFonts w:ascii="Cambria Math" w:hAnsi="Cambria Math"/>
                            </w:rPr>
                            <m:t> − </m:t>
                          </m:r>
                          <m:sSub>
                            <m:e>
                              <m:r>
                                <w:rPr>
                                  <w:rFonts w:ascii="Cambria Math" w:hAnsi="Cambria Math"/>
                                </w:rPr>
                                <m:t>C</m:t>
                              </m:r>
                            </m:e>
                            <m:sub>
                              <m:r>
                                <w:rPr>
                                  <w:rFonts w:ascii="Cambria Math" w:hAnsi="Cambria Math"/>
                                </w:rPr>
                                <m:t>t−i−1</m:t>
                              </m:r>
                            </m:sub>
                          </m:sSub>
                        </m:e>
                      </m:d>
                    </m:e>
                  </m:d>
                </m:e>
              </m:nary>
            </m:oMath>
          </w:p>
        </w:tc>
        <w:tc>
          <w:tcPr>
            <w:tcW w:type="dxa" w:w="1020"/>
            <w:vAlign w:val="center"/>
          </w:tcPr>
          <w:p>
            <w:pPr>
              <w:spacing w:before="80" w:after="80"/>
              <w:jc w:val="right"/>
            </w:pPr>
            <w:r>
              <w:rPr>
                <w:rFonts w:ascii="Times New Roman" w:hAnsi="Times New Roman"/>
                <w:sz w:val="24"/>
              </w:rPr>
              <w:t>(2.5)</w:t>
            </w:r>
          </w:p>
        </w:tc>
      </w:tr>
    </w:tbl>
    <w:p>
      <w:pPr>
        <w:spacing w:before="60" w:after="120" w:line="360" w:lineRule="auto"/>
        <w:ind w:firstLine="567"/>
        <w:jc w:val="both"/>
      </w:pPr>
      <w:r>
        <w:rPr>
          <w:rFonts w:ascii="Times New Roman" w:hAnsi="Times New Roman"/>
          <w:b w:val="0"/>
          <w:i w:val="0"/>
          <w:sz w:val="24"/>
        </w:rPr>
        <w:t xml:space="preserve">Berdasarkan Persamaan (2.5) di atas, </w:t>
      </w:r>
      <w:r>
        <w:rPr>
          <w:rFonts w:ascii="Times New Roman" w:hAnsi="Times New Roman"/>
          <w:b w:val="0"/>
          <w:i/>
          <w:sz w:val="24"/>
        </w:rPr>
        <w:t>ATR_t</w:t>
      </w:r>
      <w:r>
        <w:rPr>
          <w:rFonts w:ascii="Times New Roman" w:hAnsi="Times New Roman"/>
          <w:b w:val="0"/>
          <w:i w:val="0"/>
          <w:sz w:val="24"/>
        </w:rPr>
        <w:t xml:space="preserve"> menyatakan nilai </w:t>
      </w:r>
      <w:r>
        <w:rPr>
          <w:rFonts w:ascii="Times New Roman" w:hAnsi="Times New Roman"/>
          <w:b w:val="0"/>
          <w:i/>
          <w:sz w:val="24"/>
        </w:rPr>
        <w:t>Average True Range</w:t>
      </w:r>
      <w:r>
        <w:rPr>
          <w:rFonts w:ascii="Times New Roman" w:hAnsi="Times New Roman"/>
          <w:b w:val="0"/>
          <w:i w:val="0"/>
          <w:sz w:val="24"/>
        </w:rPr>
        <w:t xml:space="preserve"> pada hari ke-</w:t>
      </w:r>
      <w:r>
        <w:rPr>
          <w:rFonts w:ascii="Times New Roman" w:hAnsi="Times New Roman"/>
          <w:b w:val="0"/>
          <w:i/>
          <w:sz w:val="24"/>
        </w:rPr>
        <w:t>t</w:t>
      </w:r>
      <w:r>
        <w:rPr>
          <w:rFonts w:ascii="Times New Roman" w:hAnsi="Times New Roman"/>
          <w:b w:val="0"/>
          <w:i w:val="0"/>
          <w:sz w:val="24"/>
        </w:rPr>
        <w:t xml:space="preserve"> yang dihitung sebagai rata-rata aritmetika selama 14 hari atas nilai rentang sejati (</w:t>
      </w:r>
      <w:r>
        <w:rPr>
          <w:rFonts w:ascii="Times New Roman" w:hAnsi="Times New Roman"/>
          <w:b w:val="0"/>
          <w:i/>
          <w:sz w:val="24"/>
        </w:rPr>
        <w:t>True Range</w:t>
      </w:r>
      <w:r>
        <w:rPr>
          <w:rFonts w:ascii="Times New Roman" w:hAnsi="Times New Roman"/>
          <w:b w:val="0"/>
          <w:i w:val="0"/>
          <w:sz w:val="24"/>
        </w:rPr>
        <w:t xml:space="preserve">), di mana </w:t>
      </w:r>
      <w:r>
        <w:rPr>
          <w:rFonts w:ascii="Times New Roman" w:hAnsi="Times New Roman"/>
          <w:b w:val="0"/>
          <w:i/>
          <w:sz w:val="24"/>
        </w:rPr>
        <w:t>H_(t-i)</w:t>
      </w:r>
      <w:r>
        <w:rPr>
          <w:rFonts w:ascii="Times New Roman" w:hAnsi="Times New Roman"/>
          <w:b w:val="0"/>
          <w:i w:val="0"/>
          <w:sz w:val="24"/>
        </w:rPr>
        <w:t xml:space="preserve"> adalah harga tertinggi (</w:t>
      </w:r>
      <w:r>
        <w:rPr>
          <w:rFonts w:ascii="Times New Roman" w:hAnsi="Times New Roman"/>
          <w:b w:val="0"/>
          <w:i/>
          <w:sz w:val="24"/>
        </w:rPr>
        <w:t>High</w:t>
      </w:r>
      <w:r>
        <w:rPr>
          <w:rFonts w:ascii="Times New Roman" w:hAnsi="Times New Roman"/>
          <w:b w:val="0"/>
          <w:i w:val="0"/>
          <w:sz w:val="24"/>
        </w:rPr>
        <w:t xml:space="preserve">), </w:t>
      </w:r>
      <w:r>
        <w:rPr>
          <w:rFonts w:ascii="Times New Roman" w:hAnsi="Times New Roman"/>
          <w:b w:val="0"/>
          <w:i/>
          <w:sz w:val="24"/>
        </w:rPr>
        <w:t>L_(t-i)</w:t>
      </w:r>
      <w:r>
        <w:rPr>
          <w:rFonts w:ascii="Times New Roman" w:hAnsi="Times New Roman"/>
          <w:b w:val="0"/>
          <w:i w:val="0"/>
          <w:sz w:val="24"/>
        </w:rPr>
        <w:t xml:space="preserve"> adalah harga terendah (</w:t>
      </w:r>
      <w:r>
        <w:rPr>
          <w:rFonts w:ascii="Times New Roman" w:hAnsi="Times New Roman"/>
          <w:b w:val="0"/>
          <w:i/>
          <w:sz w:val="24"/>
        </w:rPr>
        <w:t>Low</w:t>
      </w:r>
      <w:r>
        <w:rPr>
          <w:rFonts w:ascii="Times New Roman" w:hAnsi="Times New Roman"/>
          <w:b w:val="0"/>
          <w:i w:val="0"/>
          <w:sz w:val="24"/>
        </w:rPr>
        <w:t>) pada hari ke-</w:t>
      </w:r>
      <w:r>
        <w:rPr>
          <w:rFonts w:ascii="Times New Roman" w:hAnsi="Times New Roman"/>
          <w:b w:val="0"/>
          <w:i/>
          <w:sz w:val="24"/>
        </w:rPr>
        <w:t>(t-i)</w:t>
      </w:r>
      <w:r>
        <w:rPr>
          <w:rFonts w:ascii="Times New Roman" w:hAnsi="Times New Roman"/>
          <w:b w:val="0"/>
          <w:i w:val="0"/>
          <w:sz w:val="24"/>
        </w:rPr>
        <w:t xml:space="preserve">, dan </w:t>
      </w:r>
      <w:r>
        <w:rPr>
          <w:rFonts w:ascii="Times New Roman" w:hAnsi="Times New Roman"/>
          <w:b w:val="0"/>
          <w:i/>
          <w:sz w:val="24"/>
        </w:rPr>
        <w:t>C_(t-i-1)</w:t>
      </w:r>
      <w:r>
        <w:rPr>
          <w:rFonts w:ascii="Times New Roman" w:hAnsi="Times New Roman"/>
          <w:b w:val="0"/>
          <w:i w:val="0"/>
          <w:sz w:val="24"/>
        </w:rPr>
        <w:t xml:space="preserve"> adalah harga penutupan pada hari sebelumnya. Penggunaan operator nilai maksimum dari ketiga komponen selisih harga tersebut memungkinkan indikator </w:t>
      </w:r>
      <w:r>
        <w:rPr>
          <w:rFonts w:ascii="Times New Roman" w:hAnsi="Times New Roman"/>
          <w:b w:val="0"/>
          <w:i/>
          <w:sz w:val="24"/>
        </w:rPr>
        <w:t>ATR_14</w:t>
      </w:r>
      <w:r>
        <w:rPr>
          <w:rFonts w:ascii="Times New Roman" w:hAnsi="Times New Roman"/>
          <w:b w:val="0"/>
          <w:i w:val="0"/>
          <w:sz w:val="24"/>
        </w:rPr>
        <w:t xml:space="preserve"> menangkap lompatan celah harga (</w:t>
      </w:r>
      <w:r>
        <w:rPr>
          <w:rFonts w:ascii="Times New Roman" w:hAnsi="Times New Roman"/>
          <w:b w:val="0"/>
          <w:i/>
          <w:sz w:val="24"/>
        </w:rPr>
        <w:t>price gap</w:t>
      </w:r>
      <w:r>
        <w:rPr>
          <w:rFonts w:ascii="Times New Roman" w:hAnsi="Times New Roman"/>
          <w:b w:val="0"/>
          <w:i w:val="0"/>
          <w:sz w:val="24"/>
        </w:rPr>
        <w:t>) dan intensitas gejolak harian secara utuh.</w:t>
      </w:r>
    </w:p>
    <w:p>
      <w:pPr>
        <w:spacing w:line="360" w:lineRule="auto" w:after="120"/>
        <w:ind w:firstLine="567"/>
        <w:jc w:val="both"/>
      </w:pPr>
      <w:r>
        <w:rPr>
          <w:rFonts w:ascii="Times New Roman" w:hAnsi="Times New Roman"/>
          <w:b w:val="0"/>
          <w:i w:val="0"/>
          <w:sz w:val="24"/>
        </w:rPr>
        <w:t>Mengingat setiap indikator teknikal memiliki rentang satuan numerik yang berbeda-beda (misalnya harga dalam puluhan hingga ratusan USD, RSI dalam rentang 0–100, dan OBV dalam miliaran USD), seluruh atribut fitur dinormalisasi ke dalam interval [0, 1] menggunakan transformasi Min-Max berdasarkan parameter data latih sesuai Persamaan (2.6):</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p>
                <m:e>
                  <m:sSub>
                    <m:e>
                      <m:r>
                        <w:rPr>
                          <w:rFonts w:ascii="Cambria Math" w:hAnsi="Cambria Math"/>
                        </w:rPr>
                        <m:t>x</m:t>
                      </m:r>
                    </m:e>
                    <m:sub>
                      <m:r>
                        <w:rPr>
                          <w:rFonts w:ascii="Cambria Math" w:hAnsi="Cambria Math"/>
                        </w:rPr>
                        <m:t>t</m:t>
                      </m:r>
                    </m:sub>
                  </m:sSub>
                </m:e>
                <m:sup>
                  <m:r>
                    <m:rPr>
                      <m:sty m:val="p"/>
                    </m:rPr>
                    <w:rPr>
                      <w:rFonts w:ascii="Cambria Math" w:hAnsi="Cambria Math"/>
                    </w:rPr>
                    <m:t>'</m:t>
                  </m:r>
                </m:sup>
              </m:sSup>
              <m:r>
                <m:rPr>
                  <m:sty m:val="p"/>
                </m:rPr>
                <w:rPr>
                  <w:rFonts w:ascii="Cambria Math" w:hAnsi="Cambria Math"/>
                </w:rPr>
                <m:t> = </m:t>
              </m:r>
              <m:f>
                <m:num>
                  <m:sSub>
                    <m:e>
                      <m:r>
                        <w:rPr>
                          <w:rFonts w:ascii="Cambria Math" w:hAnsi="Cambria Math"/>
                        </w:rPr>
                        <m:t>x</m:t>
                      </m:r>
                    </m:e>
                    <m:sub>
                      <m:r>
                        <w:rPr>
                          <w:rFonts w:ascii="Cambria Math" w:hAnsi="Cambria Math"/>
                        </w:rPr>
                        <m:t>t</m:t>
                      </m:r>
                    </m:sub>
                  </m:sSub>
                  <m:r>
                    <m:rPr>
                      <m:sty m:val="p"/>
                    </m:rPr>
                    <w:rPr>
                      <w:rFonts w:ascii="Cambria Math" w:hAnsi="Cambria Math"/>
                    </w:rPr>
                    <m:t> − </m:t>
                  </m:r>
                  <m:sSub>
                    <m:e>
                      <m:r>
                        <w:rPr>
                          <w:rFonts w:ascii="Cambria Math" w:hAnsi="Cambria Math"/>
                        </w:rPr>
                        <m:t>x</m:t>
                      </m:r>
                    </m:e>
                    <m:sub>
                      <m:r>
                        <m:rPr>
                          <m:sty m:val="p"/>
                        </m:rPr>
                        <w:rPr>
                          <w:rFonts w:ascii="Cambria Math" w:hAnsi="Cambria Math"/>
                        </w:rPr>
                        <m:t>min</m:t>
                      </m:r>
                    </m:sub>
                  </m:sSub>
                </m:num>
                <m:den>
                  <m:sSub>
                    <m:e>
                      <m:r>
                        <w:rPr>
                          <w:rFonts w:ascii="Cambria Math" w:hAnsi="Cambria Math"/>
                        </w:rPr>
                        <m:t>x</m:t>
                      </m:r>
                    </m:e>
                    <m:sub>
                      <m:r>
                        <m:rPr>
                          <m:sty m:val="p"/>
                        </m:rPr>
                        <w:rPr>
                          <w:rFonts w:ascii="Cambria Math" w:hAnsi="Cambria Math"/>
                        </w:rPr>
                        <m:t>max</m:t>
                      </m:r>
                    </m:sub>
                  </m:sSub>
                  <m:r>
                    <m:rPr>
                      <m:sty m:val="p"/>
                    </m:rPr>
                    <w:rPr>
                      <w:rFonts w:ascii="Cambria Math" w:hAnsi="Cambria Math"/>
                    </w:rPr>
                    <m:t> − </m:t>
                  </m:r>
                  <m:sSub>
                    <m:e>
                      <m:r>
                        <w:rPr>
                          <w:rFonts w:ascii="Cambria Math" w:hAnsi="Cambria Math"/>
                        </w:rPr>
                        <m:t>x</m:t>
                      </m:r>
                    </m:e>
                    <m:sub>
                      <m:r>
                        <m:rPr>
                          <m:sty m:val="p"/>
                        </m:rPr>
                        <w:rPr>
                          <w:rFonts w:ascii="Cambria Math" w:hAnsi="Cambria Math"/>
                        </w:rPr>
                        <m:t>min</m:t>
                      </m:r>
                    </m:sub>
                  </m:sSub>
                </m:den>
              </m:f>
            </m:oMath>
          </w:p>
        </w:tc>
        <w:tc>
          <w:tcPr>
            <w:tcW w:type="dxa" w:w="1020"/>
            <w:vAlign w:val="center"/>
          </w:tcPr>
          <w:p>
            <w:pPr>
              <w:spacing w:before="80" w:after="80"/>
              <w:jc w:val="right"/>
            </w:pPr>
            <w:r>
              <w:rPr>
                <w:rFonts w:ascii="Times New Roman" w:hAnsi="Times New Roman"/>
                <w:sz w:val="24"/>
              </w:rPr>
              <w:t>(2.6)</w:t>
            </w:r>
          </w:p>
        </w:tc>
      </w:tr>
    </w:tbl>
    <w:p>
      <w:pPr>
        <w:spacing w:before="60" w:after="120" w:line="360" w:lineRule="auto"/>
        <w:ind w:firstLine="567"/>
        <w:jc w:val="both"/>
      </w:pPr>
      <w:r>
        <w:rPr>
          <w:rFonts w:ascii="Times New Roman" w:hAnsi="Times New Roman"/>
          <w:b w:val="0"/>
          <w:i w:val="0"/>
          <w:sz w:val="24"/>
        </w:rPr>
        <w:t xml:space="preserve">Berdasarkan Persamaan (2.6) di atas, </w:t>
      </w:r>
      <w:r>
        <w:rPr>
          <w:rFonts w:ascii="Times New Roman" w:hAnsi="Times New Roman"/>
          <w:b w:val="0"/>
          <w:i/>
          <w:sz w:val="24"/>
        </w:rPr>
        <w:t>x'_t</w:t>
      </w:r>
      <w:r>
        <w:rPr>
          <w:rFonts w:ascii="Times New Roman" w:hAnsi="Times New Roman"/>
          <w:b w:val="0"/>
          <w:i w:val="0"/>
          <w:sz w:val="24"/>
        </w:rPr>
        <w:t xml:space="preserve"> menyatakan nilai fitur pada hari ke-</w:t>
      </w:r>
      <w:r>
        <w:rPr>
          <w:rFonts w:ascii="Times New Roman" w:hAnsi="Times New Roman"/>
          <w:b w:val="0"/>
          <w:i/>
          <w:sz w:val="24"/>
        </w:rPr>
        <w:t>t</w:t>
      </w:r>
      <w:r>
        <w:rPr>
          <w:rFonts w:ascii="Times New Roman" w:hAnsi="Times New Roman"/>
          <w:b w:val="0"/>
          <w:i w:val="0"/>
          <w:sz w:val="24"/>
        </w:rPr>
        <w:t xml:space="preserve"> yang telah dinormalisasi ke dalam interval [0, 1], </w:t>
      </w:r>
      <w:r>
        <w:rPr>
          <w:rFonts w:ascii="Times New Roman" w:hAnsi="Times New Roman"/>
          <w:b w:val="0"/>
          <w:i/>
          <w:sz w:val="24"/>
        </w:rPr>
        <w:t>x_t</w:t>
      </w:r>
      <w:r>
        <w:rPr>
          <w:rFonts w:ascii="Times New Roman" w:hAnsi="Times New Roman"/>
          <w:b w:val="0"/>
          <w:i w:val="0"/>
          <w:sz w:val="24"/>
        </w:rPr>
        <w:t xml:space="preserve"> adalah nilai fitur asli sebelum transformasi, serta </w:t>
      </w:r>
      <w:r>
        <w:rPr>
          <w:rFonts w:ascii="Times New Roman" w:hAnsi="Times New Roman"/>
          <w:b w:val="0"/>
          <w:i/>
          <w:sz w:val="24"/>
        </w:rPr>
        <w:t>x_min</w:t>
      </w:r>
      <w:r>
        <w:rPr>
          <w:rFonts w:ascii="Times New Roman" w:hAnsi="Times New Roman"/>
          <w:b w:val="0"/>
          <w:i w:val="0"/>
          <w:sz w:val="24"/>
        </w:rPr>
        <w:t xml:space="preserve"> dan </w:t>
      </w:r>
      <w:r>
        <w:rPr>
          <w:rFonts w:ascii="Times New Roman" w:hAnsi="Times New Roman"/>
          <w:b w:val="0"/>
          <w:i/>
          <w:sz w:val="24"/>
        </w:rPr>
        <w:t>x_max</w:t>
      </w:r>
      <w:r>
        <w:rPr>
          <w:rFonts w:ascii="Times New Roman" w:hAnsi="Times New Roman"/>
          <w:b w:val="0"/>
          <w:i w:val="0"/>
          <w:sz w:val="24"/>
        </w:rPr>
        <w:t xml:space="preserve"> masing-masing menyatakan nilai minimum dan nilai maksimum dari fitur tersebut yang diekstraksi secara eksklusif dari himpunan Data Latih (</w:t>
      </w:r>
      <w:r>
        <w:rPr>
          <w:rFonts w:ascii="Times New Roman" w:hAnsi="Times New Roman"/>
          <w:b w:val="0"/>
          <w:i/>
          <w:sz w:val="24"/>
        </w:rPr>
        <w:t>Training Set</w:t>
      </w:r>
      <w:r>
        <w:rPr>
          <w:rFonts w:ascii="Times New Roman" w:hAnsi="Times New Roman"/>
          <w:b w:val="0"/>
          <w:i w:val="0"/>
          <w:sz w:val="24"/>
        </w:rPr>
        <w:t xml:space="preserve">). Pembatasan perhitungan </w:t>
      </w:r>
      <w:r>
        <w:rPr>
          <w:rFonts w:ascii="Times New Roman" w:hAnsi="Times New Roman"/>
          <w:b w:val="0"/>
          <w:i/>
          <w:sz w:val="24"/>
        </w:rPr>
        <w:t>x_min</w:t>
      </w:r>
      <w:r>
        <w:rPr>
          <w:rFonts w:ascii="Times New Roman" w:hAnsi="Times New Roman"/>
          <w:b w:val="0"/>
          <w:i w:val="0"/>
          <w:sz w:val="24"/>
        </w:rPr>
        <w:t xml:space="preserve"> dan </w:t>
      </w:r>
      <w:r>
        <w:rPr>
          <w:rFonts w:ascii="Times New Roman" w:hAnsi="Times New Roman"/>
          <w:b w:val="0"/>
          <w:i/>
          <w:sz w:val="24"/>
        </w:rPr>
        <w:t>x_max</w:t>
      </w:r>
      <w:r>
        <w:rPr>
          <w:rFonts w:ascii="Times New Roman" w:hAnsi="Times New Roman"/>
          <w:b w:val="0"/>
          <w:i w:val="0"/>
          <w:sz w:val="24"/>
        </w:rPr>
        <w:t xml:space="preserve"> hanya pada data latih diterapkan secara ketat untuk menyeragamkan skala gradien antar-variabel sekaligus mencegah kebocoran informasi masa depan (</w:t>
      </w:r>
      <w:r>
        <w:rPr>
          <w:rFonts w:ascii="Times New Roman" w:hAnsi="Times New Roman"/>
          <w:b w:val="0"/>
          <w:i/>
          <w:sz w:val="24"/>
        </w:rPr>
        <w:t>data leakage</w:t>
      </w:r>
      <w:r>
        <w:rPr>
          <w:rFonts w:ascii="Times New Roman" w:hAnsi="Times New Roman"/>
          <w:b w:val="0"/>
          <w:i w:val="0"/>
          <w:sz w:val="24"/>
        </w:rPr>
        <w:t>) ke dalam himpunan validasi dan pengujian.</w:t>
      </w:r>
    </w:p>
    <w:p>
      <w:pPr>
        <w:keepNext/>
        <w:spacing w:before="200" w:after="80" w:line="360" w:lineRule="auto"/>
        <w:jc w:val="left"/>
      </w:pPr>
      <w:r>
        <w:rPr>
          <w:rFonts w:ascii="Times New Roman" w:hAnsi="Times New Roman"/>
          <w:b/>
          <w:sz w:val="24"/>
        </w:rPr>
        <w:t xml:space="preserve">2.2.3.  </w:t>
      </w:r>
      <w:r>
        <w:rPr>
          <w:rFonts w:ascii="Times New Roman" w:hAnsi="Times New Roman"/>
          <w:b/>
          <w:i/>
          <w:sz w:val="24"/>
        </w:rPr>
        <w:t>Convolutional Neural Network</w:t>
      </w:r>
      <w:r>
        <w:rPr>
          <w:rFonts w:ascii="Times New Roman" w:hAnsi="Times New Roman"/>
          <w:b/>
          <w:i w:val="0"/>
          <w:sz w:val="24"/>
        </w:rPr>
        <w:t xml:space="preserve"> Satu Dimensi (1D-CNN)</w:t>
      </w:r>
    </w:p>
    <w:p>
      <w:pPr>
        <w:spacing w:line="360" w:lineRule="auto" w:after="120"/>
        <w:ind w:firstLine="567"/>
        <w:jc w:val="both"/>
      </w:pPr>
      <w:r>
        <w:rPr>
          <w:rFonts w:ascii="Times New Roman" w:hAnsi="Times New Roman"/>
          <w:b w:val="0"/>
          <w:i/>
          <w:sz w:val="24"/>
        </w:rPr>
        <w:t>Convolutional Neural Network</w:t>
      </w:r>
      <w:r>
        <w:rPr>
          <w:rFonts w:ascii="Times New Roman" w:hAnsi="Times New Roman"/>
          <w:b w:val="0"/>
          <w:i w:val="0"/>
          <w:sz w:val="24"/>
        </w:rPr>
        <w:t xml:space="preserve"> satu dimensi (1D-CNN) merupakan varian jaringan saraf konvolusional yang mengaplikasikan operasi translasi kernel sepanjang dimensi waktu untuk mengekstraksi korelasi lokal antar-variabel pada data sekuensial multivariat [15], [25], [26]. Apabila diberikan matriks sekuen input X ∈ R^(T×F) dengan panjang jendela waktu T dan jumlah fitur F, operasi konvolusi satu dimensi dengan ukuran kernel k dan fungsi aktivasi LeakyReLU menghasilkan peta fitur lokal c_t sebagaimana dirumuskan pada Persamaan (2.7):</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c</m:t>
                  </m:r>
                </m:e>
                <m:sub>
                  <m:r>
                    <w:rPr>
                      <w:rFonts w:ascii="Cambria Math" w:hAnsi="Cambria Math"/>
                    </w:rPr>
                    <m:t>t</m:t>
                  </m:r>
                </m:sub>
              </m:sSub>
              <m:r>
                <m:rPr>
                  <m:sty m:val="p"/>
                </m:rPr>
                <w:rPr>
                  <w:rFonts w:ascii="Cambria Math" w:hAnsi="Cambria Math"/>
                </w:rPr>
                <m:t> = </m:t>
              </m:r>
              <m:r>
                <m:rPr>
                  <m:sty m:val="p"/>
                </m:rPr>
                <w:rPr>
                  <w:rFonts w:ascii="Cambria Math" w:hAnsi="Cambria Math"/>
                </w:rPr>
                <m:t>LeakyReLU</m:t>
              </m:r>
              <m:d>
                <m:dPr>
                  <m:begChr m:val="("/>
                  <m:endChr m:val=")"/>
                </m:dPr>
                <m:e>
                  <m:nary>
                    <m:naryPr>
                      <m:chr m:val="∑"/>
                      <m:limLoc m:val="undOvr"/>
                    </m:naryPr>
                    <m:sub>
                      <m:r>
                        <w:rPr>
                          <w:rFonts w:ascii="Cambria Math" w:hAnsi="Cambria Math"/>
                        </w:rPr>
                        <m:t>j</m:t>
                      </m:r>
                      <m:r>
                        <m:rPr>
                          <m:sty m:val="p"/>
                        </m:rPr>
                        <w:rPr>
                          <w:rFonts w:ascii="Cambria Math" w:hAnsi="Cambria Math"/>
                        </w:rPr>
                        <m:t>=0</m:t>
                      </m:r>
                    </m:sub>
                    <m:sup>
                      <m:r>
                        <w:rPr>
                          <w:rFonts w:ascii="Cambria Math" w:hAnsi="Cambria Math"/>
                        </w:rPr>
                        <m:t>k</m:t>
                      </m:r>
                      <m:r>
                        <m:rPr>
                          <m:sty m:val="p"/>
                        </m:rPr>
                        <w:rPr>
                          <w:rFonts w:ascii="Cambria Math" w:hAnsi="Cambria Math"/>
                        </w:rPr>
                        <m:t>−1</m:t>
                      </m:r>
                    </m:sup>
                    <m:e>
                      <m:sSub>
                        <m:e>
                          <m:r>
                            <w:rPr>
                              <w:rFonts w:ascii="Cambria Math" w:hAnsi="Cambria Math"/>
                            </w:rPr>
                            <m:t>W</m:t>
                          </m:r>
                        </m:e>
                        <m:sub>
                          <m:r>
                            <w:rPr>
                              <w:rFonts w:ascii="Cambria Math" w:hAnsi="Cambria Math"/>
                            </w:rPr>
                            <m:t>c,j</m:t>
                          </m:r>
                        </m:sub>
                      </m:sSub>
                      <m:r>
                        <m:rPr>
                          <m:sty m:val="p"/>
                        </m:rPr>
                        <w:rPr>
                          <w:rFonts w:ascii="Cambria Math" w:hAnsi="Cambria Math"/>
                        </w:rPr>
                        <m:t>⋅</m:t>
                      </m:r>
                      <m:sSub>
                        <m:e>
                          <m:r>
                            <w:rPr>
                              <w:rFonts w:ascii="Cambria Math" w:hAnsi="Cambria Math"/>
                            </w:rPr>
                            <m:t>x</m:t>
                          </m:r>
                        </m:e>
                        <m:sub>
                          <m:r>
                            <w:rPr>
                              <w:rFonts w:ascii="Cambria Math" w:hAnsi="Cambria Math"/>
                            </w:rPr>
                            <m:t>t+j</m:t>
                          </m:r>
                        </m:sub>
                      </m:sSub>
                    </m:e>
                  </m:nary>
                  <m:r>
                    <m:rPr>
                      <m:sty m:val="p"/>
                    </m:rPr>
                    <w:rPr>
                      <w:rFonts w:ascii="Cambria Math" w:hAnsi="Cambria Math"/>
                    </w:rPr>
                    <m:t> + </m:t>
                  </m:r>
                  <m:sSub>
                    <m:e>
                      <m:r>
                        <w:rPr>
                          <w:rFonts w:ascii="Cambria Math" w:hAnsi="Cambria Math"/>
                        </w:rPr>
                        <m:t>b</m:t>
                      </m:r>
                    </m:e>
                    <m:sub>
                      <m:r>
                        <w:rPr>
                          <w:rFonts w:ascii="Cambria Math" w:hAnsi="Cambria Math"/>
                        </w:rPr>
                        <m:t>c</m:t>
                      </m:r>
                    </m:sub>
                  </m:sSub>
                </m:e>
              </m:d>
            </m:oMath>
          </w:p>
        </w:tc>
        <w:tc>
          <w:tcPr>
            <w:tcW w:type="dxa" w:w="1020"/>
            <w:vAlign w:val="center"/>
          </w:tcPr>
          <w:p>
            <w:pPr>
              <w:spacing w:before="80" w:after="80"/>
              <w:jc w:val="right"/>
            </w:pPr>
            <w:r>
              <w:rPr>
                <w:rFonts w:ascii="Times New Roman" w:hAnsi="Times New Roman"/>
                <w:sz w:val="24"/>
              </w:rPr>
              <w:t>(2.7)</w:t>
            </w:r>
          </w:p>
        </w:tc>
      </w:tr>
    </w:tbl>
    <w:p>
      <w:pPr>
        <w:spacing w:before="60" w:after="120" w:line="360" w:lineRule="auto"/>
        <w:ind w:firstLine="567"/>
        <w:jc w:val="both"/>
      </w:pPr>
      <w:r>
        <w:rPr>
          <w:rFonts w:ascii="Times New Roman" w:hAnsi="Times New Roman"/>
          <w:b w:val="0"/>
          <w:i w:val="0"/>
          <w:sz w:val="24"/>
        </w:rPr>
        <w:t xml:space="preserve">Berdasarkan Persamaan (2.7) di atas, </w:t>
      </w:r>
      <w:r>
        <w:rPr>
          <w:rFonts w:ascii="Times New Roman" w:hAnsi="Times New Roman"/>
          <w:b w:val="0"/>
          <w:i/>
          <w:sz w:val="24"/>
        </w:rPr>
        <w:t>c_t</w:t>
      </w:r>
      <w:r>
        <w:rPr>
          <w:rFonts w:ascii="Times New Roman" w:hAnsi="Times New Roman"/>
          <w:b w:val="0"/>
          <w:i w:val="0"/>
          <w:sz w:val="24"/>
        </w:rPr>
        <w:t xml:space="preserve"> menyatakan vektor peta fitur konvolusional (</w:t>
      </w:r>
      <w:r>
        <w:rPr>
          <w:rFonts w:ascii="Times New Roman" w:hAnsi="Times New Roman"/>
          <w:b w:val="0"/>
          <w:i/>
          <w:sz w:val="24"/>
        </w:rPr>
        <w:t>feature map</w:t>
      </w:r>
      <w:r>
        <w:rPr>
          <w:rFonts w:ascii="Times New Roman" w:hAnsi="Times New Roman"/>
          <w:b w:val="0"/>
          <w:i w:val="0"/>
          <w:sz w:val="24"/>
        </w:rPr>
        <w:t>) yang dihasilkan pada langkah waktu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W_(c,j)</w:t>
      </w:r>
      <w:r>
        <w:rPr>
          <w:rFonts w:ascii="Times New Roman" w:hAnsi="Times New Roman"/>
          <w:b w:val="0"/>
          <w:i w:val="0"/>
          <w:sz w:val="24"/>
        </w:rPr>
        <w:t xml:space="preserve"> adalah matriks bobot filter konvolusi satu dimensi pada indeks geser </w:t>
      </w:r>
      <w:r>
        <w:rPr>
          <w:rFonts w:ascii="Times New Roman" w:hAnsi="Times New Roman"/>
          <w:b w:val="0"/>
          <w:i/>
          <w:sz w:val="24"/>
        </w:rPr>
        <w:t>j</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adalah ukuran jendela kernel konvolusi (ditetapkan </w:t>
      </w:r>
      <w:r>
        <w:rPr>
          <w:rFonts w:ascii="Times New Roman" w:hAnsi="Times New Roman"/>
          <w:b w:val="0"/>
          <w:i/>
          <w:sz w:val="24"/>
        </w:rPr>
        <w:t>k</w:t>
      </w:r>
      <w:r>
        <w:rPr>
          <w:rFonts w:ascii="Times New Roman" w:hAnsi="Times New Roman"/>
          <w:b w:val="0"/>
          <w:i w:val="0"/>
          <w:sz w:val="24"/>
        </w:rPr>
        <w:t xml:space="preserve"> = 3), </w:t>
      </w:r>
      <w:r>
        <w:rPr>
          <w:rFonts w:ascii="Times New Roman" w:hAnsi="Times New Roman"/>
          <w:b w:val="0"/>
          <w:i/>
          <w:sz w:val="24"/>
        </w:rPr>
        <w:t>x_(t+j)</w:t>
      </w:r>
      <w:r>
        <w:rPr>
          <w:rFonts w:ascii="Times New Roman" w:hAnsi="Times New Roman"/>
          <w:b w:val="0"/>
          <w:i w:val="0"/>
          <w:sz w:val="24"/>
        </w:rPr>
        <w:t xml:space="preserve"> adalah vektor input multivariat berdimensi 14 fitur pada langkah waktu </w:t>
      </w:r>
      <w:r>
        <w:rPr>
          <w:rFonts w:ascii="Times New Roman" w:hAnsi="Times New Roman"/>
          <w:b w:val="0"/>
          <w:i/>
          <w:sz w:val="24"/>
        </w:rPr>
        <w:t>(t+j)</w:t>
      </w:r>
      <w:r>
        <w:rPr>
          <w:rFonts w:ascii="Times New Roman" w:hAnsi="Times New Roman"/>
          <w:b w:val="0"/>
          <w:i w:val="0"/>
          <w:sz w:val="24"/>
        </w:rPr>
        <w:t xml:space="preserve">, dan </w:t>
      </w:r>
      <w:r>
        <w:rPr>
          <w:rFonts w:ascii="Times New Roman" w:hAnsi="Times New Roman"/>
          <w:b w:val="0"/>
          <w:i/>
          <w:sz w:val="24"/>
        </w:rPr>
        <w:t>b_c</w:t>
      </w:r>
      <w:r>
        <w:rPr>
          <w:rFonts w:ascii="Times New Roman" w:hAnsi="Times New Roman"/>
          <w:b w:val="0"/>
          <w:i w:val="0"/>
          <w:sz w:val="24"/>
        </w:rPr>
        <w:t xml:space="preserve"> merupakan vektor bias konvolusi. Penggunaan fungsi aktivasi non-linier </w:t>
      </w:r>
      <w:r>
        <w:rPr>
          <w:rFonts w:ascii="Times New Roman" w:hAnsi="Times New Roman"/>
          <w:b w:val="0"/>
          <w:i/>
          <w:sz w:val="24"/>
        </w:rPr>
        <w:t>LeakyReLU</w:t>
      </w:r>
      <w:r>
        <w:rPr>
          <w:rFonts w:ascii="Times New Roman" w:hAnsi="Times New Roman"/>
          <w:b w:val="0"/>
          <w:i w:val="0"/>
          <w:sz w:val="24"/>
        </w:rPr>
        <w:t xml:space="preserve"> menjaga aliran gradien tetap aktif pada nilai input negatif dan memungkinkan jaringan mengekstraksi pola morfologi lokal lintas indikator teknikal sebelum masuk ke lapisan rekuren.</w:t>
      </w:r>
    </w:p>
    <w:p>
      <w:pPr>
        <w:keepNext/>
        <w:spacing w:before="200" w:after="80" w:line="360" w:lineRule="auto"/>
        <w:jc w:val="left"/>
      </w:pPr>
      <w:r>
        <w:rPr>
          <w:rFonts w:ascii="Times New Roman" w:hAnsi="Times New Roman"/>
          <w:b/>
          <w:sz w:val="24"/>
        </w:rPr>
        <w:t xml:space="preserve">2.2.4.  </w:t>
      </w:r>
      <w:r>
        <w:rPr>
          <w:rFonts w:ascii="Times New Roman" w:hAnsi="Times New Roman"/>
          <w:b/>
          <w:i w:val="0"/>
          <w:sz w:val="24"/>
        </w:rPr>
        <w:t>Arsitektur LSTM, GRU, dan Bidirectional LSTM (BiLSTM)</w:t>
      </w:r>
    </w:p>
    <w:p>
      <w:pPr>
        <w:spacing w:line="360" w:lineRule="auto" w:after="120"/>
        <w:ind w:firstLine="567"/>
        <w:jc w:val="both"/>
      </w:pPr>
      <w:r>
        <w:rPr>
          <w:rFonts w:ascii="Times New Roman" w:hAnsi="Times New Roman"/>
          <w:b w:val="0"/>
          <w:i/>
          <w:sz w:val="24"/>
        </w:rPr>
        <w:t>Long Short-Term Memory</w:t>
      </w:r>
      <w:r>
        <w:rPr>
          <w:rFonts w:ascii="Times New Roman" w:hAnsi="Times New Roman"/>
          <w:b w:val="0"/>
          <w:i w:val="0"/>
          <w:sz w:val="24"/>
        </w:rPr>
        <w:t xml:space="preserve"> (LSTM) dirancang untuk mengatasi masalah pelenyapan gradien (</w:t>
      </w:r>
      <w:r>
        <w:rPr>
          <w:rFonts w:ascii="Times New Roman" w:hAnsi="Times New Roman"/>
          <w:b w:val="0"/>
          <w:i/>
          <w:sz w:val="24"/>
        </w:rPr>
        <w:t>vanishing gradient</w:t>
      </w:r>
      <w:r>
        <w:rPr>
          <w:rFonts w:ascii="Times New Roman" w:hAnsi="Times New Roman"/>
          <w:b w:val="0"/>
          <w:i w:val="0"/>
          <w:sz w:val="24"/>
        </w:rPr>
        <w:t>) pada jaringan saraf rekuren standar melalui mekanisme sel memori (</w:t>
      </w:r>
      <w:r>
        <w:rPr>
          <w:rFonts w:ascii="Times New Roman" w:hAnsi="Times New Roman"/>
          <w:b w:val="0"/>
          <w:i/>
          <w:sz w:val="24"/>
        </w:rPr>
        <w:t>cell state</w:t>
      </w:r>
      <w:r>
        <w:rPr>
          <w:rFonts w:ascii="Times New Roman" w:hAnsi="Times New Roman"/>
          <w:b w:val="0"/>
          <w:i w:val="0"/>
          <w:sz w:val="24"/>
        </w:rPr>
        <w:t>) dan tiga gerbang pengatur informasi, yaitu gerbang lupa (</w:t>
      </w:r>
      <w:r>
        <w:rPr>
          <w:rFonts w:ascii="Times New Roman" w:hAnsi="Times New Roman"/>
          <w:b w:val="0"/>
          <w:i/>
          <w:sz w:val="24"/>
        </w:rPr>
        <w:t>forget gate</w:t>
      </w:r>
      <w:r>
        <w:rPr>
          <w:rFonts w:ascii="Times New Roman" w:hAnsi="Times New Roman"/>
          <w:b w:val="0"/>
          <w:i w:val="0"/>
          <w:sz w:val="24"/>
        </w:rPr>
        <w:t>), gerbang masukan (</w:t>
      </w:r>
      <w:r>
        <w:rPr>
          <w:rFonts w:ascii="Times New Roman" w:hAnsi="Times New Roman"/>
          <w:b w:val="0"/>
          <w:i/>
          <w:sz w:val="24"/>
        </w:rPr>
        <w:t>input gate</w:t>
      </w:r>
      <w:r>
        <w:rPr>
          <w:rFonts w:ascii="Times New Roman" w:hAnsi="Times New Roman"/>
          <w:b w:val="0"/>
          <w:i w:val="0"/>
          <w:sz w:val="24"/>
        </w:rPr>
        <w:t>), dan gerbang keluaran (</w:t>
      </w:r>
      <w:r>
        <w:rPr>
          <w:rFonts w:ascii="Times New Roman" w:hAnsi="Times New Roman"/>
          <w:b w:val="0"/>
          <w:i/>
          <w:sz w:val="24"/>
        </w:rPr>
        <w:t>output gate</w:t>
      </w:r>
      <w:r>
        <w:rPr>
          <w:rFonts w:ascii="Times New Roman" w:hAnsi="Times New Roman"/>
          <w:b w:val="0"/>
          <w:i w:val="0"/>
          <w:sz w:val="24"/>
        </w:rPr>
        <w:t>) [1], [2], [12]. Pada setiap langkah waktu t, gerbang lupa f_t menentukan proporsi informasi masa lalu yang dipertahankan sesuai Persamaan (2.8):</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f</m:t>
                  </m:r>
                </m:e>
                <m:sub>
                  <m:r>
                    <w:rPr>
                      <w:rFonts w:ascii="Cambria Math" w:hAnsi="Cambria Math"/>
                    </w:rPr>
                    <m:t>t</m:t>
                  </m:r>
                </m:sub>
              </m:sSub>
              <m:r>
                <m:rPr>
                  <m:sty m:val="p"/>
                </m:rPr>
                <w:rPr>
                  <w:rFonts w:ascii="Cambria Math" w:hAnsi="Cambria Math"/>
                </w:rPr>
                <m:t> = </m:t>
              </m:r>
              <m:r>
                <w:rPr>
                  <w:rFonts w:ascii="Cambria Math" w:hAnsi="Cambria Math"/>
                </w:rPr>
                <m:t>σ</m:t>
              </m:r>
              <m:d>
                <m:dPr>
                  <m:begChr m:val="("/>
                  <m:endChr m:val=")"/>
                </m:dPr>
                <m:e>
                  <m:sSub>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f</m:t>
                      </m:r>
                    </m:sub>
                  </m:sSub>
                </m:e>
              </m:d>
            </m:oMath>
          </w:p>
        </w:tc>
        <w:tc>
          <w:tcPr>
            <w:tcW w:type="dxa" w:w="1020"/>
            <w:vAlign w:val="center"/>
          </w:tcPr>
          <w:p>
            <w:pPr>
              <w:spacing w:before="80" w:after="80"/>
              <w:jc w:val="right"/>
            </w:pPr>
            <w:r>
              <w:rPr>
                <w:rFonts w:ascii="Times New Roman" w:hAnsi="Times New Roman"/>
                <w:sz w:val="24"/>
              </w:rPr>
              <w:t>(2.8)</w:t>
            </w:r>
          </w:p>
        </w:tc>
      </w:tr>
    </w:tbl>
    <w:p>
      <w:pPr>
        <w:spacing w:before="60" w:after="120" w:line="360" w:lineRule="auto"/>
        <w:ind w:firstLine="567"/>
        <w:jc w:val="both"/>
      </w:pPr>
      <w:r>
        <w:rPr>
          <w:rFonts w:ascii="Times New Roman" w:hAnsi="Times New Roman"/>
          <w:b w:val="0"/>
          <w:i w:val="0"/>
          <w:sz w:val="24"/>
        </w:rPr>
        <w:t xml:space="preserve">Berdasarkan Persamaan (2.8) di atas, </w:t>
      </w:r>
      <w:r>
        <w:rPr>
          <w:rFonts w:ascii="Times New Roman" w:hAnsi="Times New Roman"/>
          <w:b w:val="0"/>
          <w:i/>
          <w:sz w:val="24"/>
        </w:rPr>
        <w:t>f_t</w:t>
      </w:r>
      <w:r>
        <w:rPr>
          <w:rFonts w:ascii="Times New Roman" w:hAnsi="Times New Roman"/>
          <w:b w:val="0"/>
          <w:i w:val="0"/>
          <w:sz w:val="24"/>
        </w:rPr>
        <w:t xml:space="preserve"> menyatakan vektor aktivasi gerbang lupa (</w:t>
      </w:r>
      <w:r>
        <w:rPr>
          <w:rFonts w:ascii="Times New Roman" w:hAnsi="Times New Roman"/>
          <w:b w:val="0"/>
          <w:i/>
          <w:sz w:val="24"/>
        </w:rPr>
        <w:t>forget gate</w:t>
      </w:r>
      <w:r>
        <w:rPr>
          <w:rFonts w:ascii="Times New Roman" w:hAnsi="Times New Roman"/>
          <w:b w:val="0"/>
          <w:i w:val="0"/>
          <w:sz w:val="24"/>
        </w:rPr>
        <w:t>) pada langkah waktu ke-</w:t>
      </w:r>
      <w:r>
        <w:rPr>
          <w:rFonts w:ascii="Times New Roman" w:hAnsi="Times New Roman"/>
          <w:b w:val="0"/>
          <w:i/>
          <w:sz w:val="24"/>
        </w:rPr>
        <w:t>t</w:t>
      </w:r>
      <w:r>
        <w:rPr>
          <w:rFonts w:ascii="Times New Roman" w:hAnsi="Times New Roman"/>
          <w:b w:val="0"/>
          <w:i w:val="0"/>
          <w:sz w:val="24"/>
        </w:rPr>
        <w:t xml:space="preserve"> yang bernilai pada rentang (0, 1) melalui fungsi aktivasi sigmoid </w:t>
      </w:r>
      <w:r>
        <w:rPr>
          <w:rFonts w:ascii="Times New Roman" w:hAnsi="Times New Roman"/>
          <w:b w:val="0"/>
          <w:i/>
          <w:sz w:val="24"/>
        </w:rPr>
        <w:t>σ</w:t>
      </w:r>
      <w:r>
        <w:rPr>
          <w:rFonts w:ascii="Times New Roman" w:hAnsi="Times New Roman"/>
          <w:b w:val="0"/>
          <w:i w:val="0"/>
          <w:sz w:val="24"/>
        </w:rPr>
        <w:t xml:space="preserve">, </w:t>
      </w:r>
      <w:r>
        <w:rPr>
          <w:rFonts w:ascii="Times New Roman" w:hAnsi="Times New Roman"/>
          <w:b w:val="0"/>
          <w:i/>
          <w:sz w:val="24"/>
        </w:rPr>
        <w:t>W_f</w:t>
      </w:r>
      <w:r>
        <w:rPr>
          <w:rFonts w:ascii="Times New Roman" w:hAnsi="Times New Roman"/>
          <w:b w:val="0"/>
          <w:i w:val="0"/>
          <w:sz w:val="24"/>
        </w:rPr>
        <w:t xml:space="preserve"> dan </w:t>
      </w:r>
      <w:r>
        <w:rPr>
          <w:rFonts w:ascii="Times New Roman" w:hAnsi="Times New Roman"/>
          <w:b w:val="0"/>
          <w:i/>
          <w:sz w:val="24"/>
        </w:rPr>
        <w:t>b_f</w:t>
      </w:r>
      <w:r>
        <w:rPr>
          <w:rFonts w:ascii="Times New Roman" w:hAnsi="Times New Roman"/>
          <w:b w:val="0"/>
          <w:i w:val="0"/>
          <w:sz w:val="24"/>
        </w:rPr>
        <w:t xml:space="preserve"> adalah matriks bobot serta vektor bias gerbang lupa, </w:t>
      </w:r>
      <w:r>
        <w:rPr>
          <w:rFonts w:ascii="Times New Roman" w:hAnsi="Times New Roman"/>
          <w:b w:val="0"/>
          <w:i/>
          <w:sz w:val="24"/>
        </w:rPr>
        <w:t>h_(t-1)</w:t>
      </w:r>
      <w:r>
        <w:rPr>
          <w:rFonts w:ascii="Times New Roman" w:hAnsi="Times New Roman"/>
          <w:b w:val="0"/>
          <w:i w:val="0"/>
          <w:sz w:val="24"/>
        </w:rPr>
        <w:t xml:space="preserve"> adalah status tersembunyi (</w:t>
      </w:r>
      <w:r>
        <w:rPr>
          <w:rFonts w:ascii="Times New Roman" w:hAnsi="Times New Roman"/>
          <w:b w:val="0"/>
          <w:i/>
          <w:sz w:val="24"/>
        </w:rPr>
        <w:t>hidden state</w:t>
      </w:r>
      <w:r>
        <w:rPr>
          <w:rFonts w:ascii="Times New Roman" w:hAnsi="Times New Roman"/>
          <w:b w:val="0"/>
          <w:i w:val="0"/>
          <w:sz w:val="24"/>
        </w:rPr>
        <w:t xml:space="preserve">) dari langkah waktu sebelumnya, dan </w:t>
      </w:r>
      <w:r>
        <w:rPr>
          <w:rFonts w:ascii="Times New Roman" w:hAnsi="Times New Roman"/>
          <w:b w:val="0"/>
          <w:i/>
          <w:sz w:val="24"/>
        </w:rPr>
        <w:t>c_t</w:t>
      </w:r>
      <w:r>
        <w:rPr>
          <w:rFonts w:ascii="Times New Roman" w:hAnsi="Times New Roman"/>
          <w:b w:val="0"/>
          <w:i w:val="0"/>
          <w:sz w:val="24"/>
        </w:rPr>
        <w:t xml:space="preserve"> adalah fitur lokal keluaran lapisan 1D-CNN pada waktu </w:t>
      </w:r>
      <w:r>
        <w:rPr>
          <w:rFonts w:ascii="Times New Roman" w:hAnsi="Times New Roman"/>
          <w:b w:val="0"/>
          <w:i/>
          <w:sz w:val="24"/>
        </w:rPr>
        <w:t>t</w:t>
      </w:r>
      <w:r>
        <w:rPr>
          <w:rFonts w:ascii="Times New Roman" w:hAnsi="Times New Roman"/>
          <w:b w:val="0"/>
          <w:i w:val="0"/>
          <w:sz w:val="24"/>
        </w:rPr>
        <w:t xml:space="preserve">. Nilai </w:t>
      </w:r>
      <w:r>
        <w:rPr>
          <w:rFonts w:ascii="Times New Roman" w:hAnsi="Times New Roman"/>
          <w:b w:val="0"/>
          <w:i/>
          <w:sz w:val="24"/>
        </w:rPr>
        <w:t>f_t</w:t>
      </w:r>
      <w:r>
        <w:rPr>
          <w:rFonts w:ascii="Times New Roman" w:hAnsi="Times New Roman"/>
          <w:b w:val="0"/>
          <w:i w:val="0"/>
          <w:sz w:val="24"/>
        </w:rPr>
        <w:t xml:space="preserve"> yang mendekati 0 menginstruksikan sel memori untuk melupakan informasi historis yang sudah tidak relevan, sedangkan nilai mendekati 1 mempertahankan memori jangka panjang.</w:t>
      </w:r>
    </w:p>
    <w:p>
      <w:pPr>
        <w:spacing w:line="360" w:lineRule="auto" w:after="120"/>
        <w:ind w:firstLine="567"/>
        <w:jc w:val="both"/>
      </w:pPr>
      <w:r>
        <w:rPr>
          <w:rFonts w:ascii="Times New Roman" w:hAnsi="Times New Roman"/>
          <w:b w:val="0"/>
          <w:i w:val="0"/>
          <w:sz w:val="24"/>
        </w:rPr>
        <w:t>Pada langkah waktu yang sama, gerbang masukan i_t dan kandidat memori baru S̃_t dihitung secara paralel untuk menyeleksi informasi fitur baru yang layak disimpan sebagaimana dinyatakan pada Persamaan (2.9):</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i</m:t>
                  </m:r>
                </m:e>
                <m:sub>
                  <m:r>
                    <w:rPr>
                      <w:rFonts w:ascii="Cambria Math" w:hAnsi="Cambria Math"/>
                    </w:rPr>
                    <m:t>t</m:t>
                  </m:r>
                </m:sub>
              </m:sSub>
              <m:r>
                <m:rPr>
                  <m:sty m:val="p"/>
                </m:rPr>
                <w:rPr>
                  <w:rFonts w:ascii="Cambria Math" w:hAnsi="Cambria Math"/>
                </w:rPr>
                <m:t> = </m:t>
              </m:r>
              <m:r>
                <w:rPr>
                  <w:rFonts w:ascii="Cambria Math" w:hAnsi="Cambria Math"/>
                </w:rPr>
                <m:t>σ</m:t>
              </m:r>
              <m:d>
                <m:dPr>
                  <m:begChr m:val="("/>
                  <m:endChr m:val=")"/>
                </m:dPr>
                <m:e>
                  <m:sSub>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i</m:t>
                      </m:r>
                    </m:sub>
                  </m:sSub>
                </m:e>
              </m:d>
              <m:r>
                <m:rPr>
                  <m:sty m:val="p"/>
                </m:rPr>
                <w:rPr>
                  <w:rFonts w:ascii="Cambria Math" w:hAnsi="Cambria Math"/>
                </w:rPr>
                <m:t> ,   </m:t>
              </m:r>
              <m:sSub>
                <m:e>
                  <m:acc>
                    <m:accPr>
                      <m:chr m:val="̃"/>
                    </m:accPr>
                    <m:e>
                      <m:r>
                        <w:rPr>
                          <w:rFonts w:ascii="Cambria Math" w:hAnsi="Cambria Math"/>
                        </w:rPr>
                        <m:t>S</m:t>
                      </m:r>
                    </m:e>
                  </m:acc>
                </m:e>
                <m:sub>
                  <m:r>
                    <w:rPr>
                      <w:rFonts w:ascii="Cambria Math" w:hAnsi="Cambria Math"/>
                    </w:rPr>
                    <m:t>t</m:t>
                  </m:r>
                </m:sub>
              </m:sSub>
              <m:r>
                <m:rPr>
                  <m:sty m:val="p"/>
                </m:rPr>
                <w:rPr>
                  <w:rFonts w:ascii="Cambria Math" w:hAnsi="Cambria Math"/>
                </w:rPr>
                <m:t> = </m:t>
              </m:r>
              <m:r>
                <m:rPr>
                  <m:sty m:val="p"/>
                </m:rPr>
                <w:rPr>
                  <w:rFonts w:ascii="Cambria Math" w:hAnsi="Cambria Math"/>
                </w:rPr>
                <m:t>tanh</m:t>
              </m:r>
              <m:d>
                <m:dPr>
                  <m:begChr m:val="("/>
                  <m:endChr m:val=")"/>
                </m:dPr>
                <m:e>
                  <m:sSub>
                    <m:e>
                      <m:r>
                        <w:rPr>
                          <w:rFonts w:ascii="Cambria Math" w:hAnsi="Cambria Math"/>
                        </w:rPr>
                        <m:t>W</m:t>
                      </m:r>
                    </m:e>
                    <m:sub>
                      <m:r>
                        <w:rPr>
                          <w:rFonts w:ascii="Cambria Math" w:hAnsi="Cambria Math"/>
                        </w:rPr>
                        <m:t>s</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s</m:t>
                      </m:r>
                    </m:sub>
                  </m:sSub>
                </m:e>
              </m:d>
            </m:oMath>
          </w:p>
        </w:tc>
        <w:tc>
          <w:tcPr>
            <w:tcW w:type="dxa" w:w="1020"/>
            <w:vAlign w:val="center"/>
          </w:tcPr>
          <w:p>
            <w:pPr>
              <w:spacing w:before="80" w:after="80"/>
              <w:jc w:val="right"/>
            </w:pPr>
            <w:r>
              <w:rPr>
                <w:rFonts w:ascii="Times New Roman" w:hAnsi="Times New Roman"/>
                <w:sz w:val="24"/>
              </w:rPr>
              <w:t>(2.9)</w:t>
            </w:r>
          </w:p>
        </w:tc>
      </w:tr>
    </w:tbl>
    <w:p>
      <w:pPr>
        <w:spacing w:before="60" w:after="120" w:line="360" w:lineRule="auto"/>
        <w:ind w:firstLine="567"/>
        <w:jc w:val="both"/>
      </w:pPr>
      <w:r>
        <w:rPr>
          <w:rFonts w:ascii="Times New Roman" w:hAnsi="Times New Roman"/>
          <w:b w:val="0"/>
          <w:i w:val="0"/>
          <w:sz w:val="24"/>
        </w:rPr>
        <w:t xml:space="preserve">Berdasarkan Persamaan (2.9) di atas, </w:t>
      </w:r>
      <w:r>
        <w:rPr>
          <w:rFonts w:ascii="Times New Roman" w:hAnsi="Times New Roman"/>
          <w:b w:val="0"/>
          <w:i/>
          <w:sz w:val="24"/>
        </w:rPr>
        <w:t>i_t</w:t>
      </w:r>
      <w:r>
        <w:rPr>
          <w:rFonts w:ascii="Times New Roman" w:hAnsi="Times New Roman"/>
          <w:b w:val="0"/>
          <w:i w:val="0"/>
          <w:sz w:val="24"/>
        </w:rPr>
        <w:t xml:space="preserve"> adalah vektor gerbang masukan (</w:t>
      </w:r>
      <w:r>
        <w:rPr>
          <w:rFonts w:ascii="Times New Roman" w:hAnsi="Times New Roman"/>
          <w:b w:val="0"/>
          <w:i/>
          <w:sz w:val="24"/>
        </w:rPr>
        <w:t>input gate</w:t>
      </w:r>
      <w:r>
        <w:rPr>
          <w:rFonts w:ascii="Times New Roman" w:hAnsi="Times New Roman"/>
          <w:b w:val="0"/>
          <w:i w:val="0"/>
          <w:sz w:val="24"/>
        </w:rPr>
        <w:t xml:space="preserve">) yang mengatur seberapa besar informasi baru diizinkan masuk ke dalam sel memori melalui fungsi sigmoid </w:t>
      </w:r>
      <w:r>
        <w:rPr>
          <w:rFonts w:ascii="Times New Roman" w:hAnsi="Times New Roman"/>
          <w:b w:val="0"/>
          <w:i/>
          <w:sz w:val="24"/>
        </w:rPr>
        <w:t>σ</w:t>
      </w:r>
      <w:r>
        <w:rPr>
          <w:rFonts w:ascii="Times New Roman" w:hAnsi="Times New Roman"/>
          <w:b w:val="0"/>
          <w:i w:val="0"/>
          <w:sz w:val="24"/>
        </w:rPr>
        <w:t xml:space="preserve">, sedangkan </w:t>
      </w:r>
      <w:r>
        <w:rPr>
          <w:rFonts w:ascii="Times New Roman" w:hAnsi="Times New Roman"/>
          <w:b w:val="0"/>
          <w:i/>
          <w:sz w:val="24"/>
        </w:rPr>
        <w:t>S̃_t</w:t>
      </w:r>
      <w:r>
        <w:rPr>
          <w:rFonts w:ascii="Times New Roman" w:hAnsi="Times New Roman"/>
          <w:b w:val="0"/>
          <w:i w:val="0"/>
          <w:sz w:val="24"/>
        </w:rPr>
        <w:t xml:space="preserve"> adalah vektor kandidat status memori baru yang dibentuk menggunakan fungsi aktivasi tangen hiperbolik (</w:t>
      </w:r>
      <w:r>
        <w:rPr>
          <w:rFonts w:ascii="Times New Roman" w:hAnsi="Times New Roman"/>
          <w:b w:val="0"/>
          <w:i/>
          <w:sz w:val="24"/>
        </w:rPr>
        <w:t>tanh</w:t>
      </w:r>
      <w:r>
        <w:rPr>
          <w:rFonts w:ascii="Times New Roman" w:hAnsi="Times New Roman"/>
          <w:b w:val="0"/>
          <w:i w:val="0"/>
          <w:sz w:val="24"/>
        </w:rPr>
        <w:t xml:space="preserve">) dalam rentang (-1, 1) dengan matriks bobot </w:t>
      </w:r>
      <w:r>
        <w:rPr>
          <w:rFonts w:ascii="Times New Roman" w:hAnsi="Times New Roman"/>
          <w:b w:val="0"/>
          <w:i/>
          <w:sz w:val="24"/>
        </w:rPr>
        <w:t>W_i</w:t>
      </w:r>
      <w:r>
        <w:rPr>
          <w:rFonts w:ascii="Times New Roman" w:hAnsi="Times New Roman"/>
          <w:b w:val="0"/>
          <w:i w:val="0"/>
          <w:sz w:val="24"/>
        </w:rPr>
        <w:t xml:space="preserve">, </w:t>
      </w:r>
      <w:r>
        <w:rPr>
          <w:rFonts w:ascii="Times New Roman" w:hAnsi="Times New Roman"/>
          <w:b w:val="0"/>
          <w:i/>
          <w:sz w:val="24"/>
        </w:rPr>
        <w:t>W_s</w:t>
      </w:r>
      <w:r>
        <w:rPr>
          <w:rFonts w:ascii="Times New Roman" w:hAnsi="Times New Roman"/>
          <w:b w:val="0"/>
          <w:i w:val="0"/>
          <w:sz w:val="24"/>
        </w:rPr>
        <w:t xml:space="preserve"> serta bias </w:t>
      </w:r>
      <w:r>
        <w:rPr>
          <w:rFonts w:ascii="Times New Roman" w:hAnsi="Times New Roman"/>
          <w:b w:val="0"/>
          <w:i/>
          <w:sz w:val="24"/>
        </w:rPr>
        <w:t>b_i</w:t>
      </w:r>
      <w:r>
        <w:rPr>
          <w:rFonts w:ascii="Times New Roman" w:hAnsi="Times New Roman"/>
          <w:b w:val="0"/>
          <w:i w:val="0"/>
          <w:sz w:val="24"/>
        </w:rPr>
        <w:t xml:space="preserve">, </w:t>
      </w:r>
      <w:r>
        <w:rPr>
          <w:rFonts w:ascii="Times New Roman" w:hAnsi="Times New Roman"/>
          <w:b w:val="0"/>
          <w:i/>
          <w:sz w:val="24"/>
        </w:rPr>
        <w:t>b_s</w:t>
      </w:r>
      <w:r>
        <w:rPr>
          <w:rFonts w:ascii="Times New Roman" w:hAnsi="Times New Roman"/>
          <w:b w:val="0"/>
          <w:i w:val="0"/>
          <w:sz w:val="24"/>
        </w:rPr>
        <w:t xml:space="preserve">. Interaksi antara gerbang masukan </w:t>
      </w:r>
      <w:r>
        <w:rPr>
          <w:rFonts w:ascii="Times New Roman" w:hAnsi="Times New Roman"/>
          <w:b w:val="0"/>
          <w:i/>
          <w:sz w:val="24"/>
        </w:rPr>
        <w:t>i_t</w:t>
      </w:r>
      <w:r>
        <w:rPr>
          <w:rFonts w:ascii="Times New Roman" w:hAnsi="Times New Roman"/>
          <w:b w:val="0"/>
          <w:i w:val="0"/>
          <w:sz w:val="24"/>
        </w:rPr>
        <w:t xml:space="preserve"> dan kandidat memori </w:t>
      </w:r>
      <w:r>
        <w:rPr>
          <w:rFonts w:ascii="Times New Roman" w:hAnsi="Times New Roman"/>
          <w:b w:val="0"/>
          <w:i/>
          <w:sz w:val="24"/>
        </w:rPr>
        <w:t>S̃_t</w:t>
      </w:r>
      <w:r>
        <w:rPr>
          <w:rFonts w:ascii="Times New Roman" w:hAnsi="Times New Roman"/>
          <w:b w:val="0"/>
          <w:i w:val="0"/>
          <w:sz w:val="24"/>
        </w:rPr>
        <w:t xml:space="preserve"> memastikan bahwa hanya sinyal perubahan harga dan indikator teknikal yang signifikan yang disimpan ke dalam memori jaringan.</w:t>
      </w:r>
    </w:p>
    <w:p>
      <w:pPr>
        <w:spacing w:line="360" w:lineRule="auto" w:after="120"/>
        <w:ind w:firstLine="567"/>
        <w:jc w:val="both"/>
      </w:pPr>
      <w:r>
        <w:rPr>
          <w:rFonts w:ascii="Times New Roman" w:hAnsi="Times New Roman"/>
          <w:b w:val="0"/>
          <w:i w:val="0"/>
          <w:sz w:val="24"/>
        </w:rPr>
        <w:t>Kombinasi antara memori masa lalu yang lolos dari gerbang lupa dan kandidat informasi baru dari gerbang masukan kemudian digunakan untuk memperbarui status sel memori internal S_t sesuai Persamaan (2.10):</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S</m:t>
                  </m:r>
                </m:e>
                <m:sub>
                  <m:r>
                    <w:rPr>
                      <w:rFonts w:ascii="Cambria Math" w:hAnsi="Cambria Math"/>
                    </w:rPr>
                    <m:t>t</m:t>
                  </m:r>
                </m:sub>
              </m:sSub>
              <m:r>
                <m:rPr>
                  <m:sty m:val="p"/>
                </m:rPr>
                <w:rPr>
                  <w:rFonts w:ascii="Cambria Math" w:hAnsi="Cambria Math"/>
                </w:rPr>
                <m:t> = </m:t>
              </m:r>
              <m:sSub>
                <m:e>
                  <m:r>
                    <w:rPr>
                      <w:rFonts w:ascii="Cambria Math" w:hAnsi="Cambria Math"/>
                    </w:rPr>
                    <m:t>f</m:t>
                  </m:r>
                </m:e>
                <m:sub>
                  <m:r>
                    <w:rPr>
                      <w:rFonts w:ascii="Cambria Math" w:hAnsi="Cambria Math"/>
                    </w:rPr>
                    <m:t>t</m:t>
                  </m:r>
                </m:sub>
              </m:sSub>
              <m:r>
                <m:rPr>
                  <m:sty m:val="p"/>
                </m:rPr>
                <w:rPr>
                  <w:rFonts w:ascii="Cambria Math" w:hAnsi="Cambria Math"/>
                </w:rPr>
                <m:t> ⊙ </m:t>
              </m:r>
              <m:sSub>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 + </m:t>
              </m:r>
              <m:sSub>
                <m:e>
                  <m:r>
                    <w:rPr>
                      <w:rFonts w:ascii="Cambria Math" w:hAnsi="Cambria Math"/>
                    </w:rPr>
                    <m:t>i</m:t>
                  </m:r>
                </m:e>
                <m:sub>
                  <m:r>
                    <w:rPr>
                      <w:rFonts w:ascii="Cambria Math" w:hAnsi="Cambria Math"/>
                    </w:rPr>
                    <m:t>t</m:t>
                  </m:r>
                </m:sub>
              </m:sSub>
              <m:r>
                <m:rPr>
                  <m:sty m:val="p"/>
                </m:rPr>
                <w:rPr>
                  <w:rFonts w:ascii="Cambria Math" w:hAnsi="Cambria Math"/>
                </w:rPr>
                <m:t> ⊙ </m:t>
              </m:r>
              <m:sSub>
                <m:e>
                  <m:acc>
                    <m:accPr>
                      <m:chr m:val="̃"/>
                    </m:accPr>
                    <m:e>
                      <m:r>
                        <w:rPr>
                          <w:rFonts w:ascii="Cambria Math" w:hAnsi="Cambria Math"/>
                        </w:rPr>
                        <m:t>S</m:t>
                      </m:r>
                    </m:e>
                  </m:acc>
                </m:e>
                <m:sub>
                  <m:r>
                    <w:rPr>
                      <w:rFonts w:ascii="Cambria Math" w:hAnsi="Cambria Math"/>
                    </w:rPr>
                    <m:t>t</m:t>
                  </m:r>
                </m:sub>
              </m:sSub>
            </m:oMath>
          </w:p>
        </w:tc>
        <w:tc>
          <w:tcPr>
            <w:tcW w:type="dxa" w:w="1020"/>
            <w:vAlign w:val="center"/>
          </w:tcPr>
          <w:p>
            <w:pPr>
              <w:spacing w:before="80" w:after="80"/>
              <w:jc w:val="right"/>
            </w:pPr>
            <w:r>
              <w:rPr>
                <w:rFonts w:ascii="Times New Roman" w:hAnsi="Times New Roman"/>
                <w:sz w:val="24"/>
              </w:rPr>
              <w:t>(2.10)</w:t>
            </w:r>
          </w:p>
        </w:tc>
      </w:tr>
    </w:tbl>
    <w:p>
      <w:pPr>
        <w:spacing w:before="60" w:after="120" w:line="360" w:lineRule="auto"/>
        <w:ind w:firstLine="567"/>
        <w:jc w:val="both"/>
      </w:pPr>
      <w:r>
        <w:rPr>
          <w:rFonts w:ascii="Times New Roman" w:hAnsi="Times New Roman"/>
          <w:b w:val="0"/>
          <w:i w:val="0"/>
          <w:sz w:val="24"/>
        </w:rPr>
        <w:t xml:space="preserve">Berdasarkan Persamaan (2.10) di atas, </w:t>
      </w:r>
      <w:r>
        <w:rPr>
          <w:rFonts w:ascii="Times New Roman" w:hAnsi="Times New Roman"/>
          <w:b w:val="0"/>
          <w:i/>
          <w:sz w:val="24"/>
        </w:rPr>
        <w:t>S_t</w:t>
      </w:r>
      <w:r>
        <w:rPr>
          <w:rFonts w:ascii="Times New Roman" w:hAnsi="Times New Roman"/>
          <w:b w:val="0"/>
          <w:i w:val="0"/>
          <w:sz w:val="24"/>
        </w:rPr>
        <w:t xml:space="preserve"> menyatakan status sel memori internal (</w:t>
      </w:r>
      <w:r>
        <w:rPr>
          <w:rFonts w:ascii="Times New Roman" w:hAnsi="Times New Roman"/>
          <w:b w:val="0"/>
          <w:i/>
          <w:sz w:val="24"/>
        </w:rPr>
        <w:t>cell state</w:t>
      </w:r>
      <w:r>
        <w:rPr>
          <w:rFonts w:ascii="Times New Roman" w:hAnsi="Times New Roman"/>
          <w:b w:val="0"/>
          <w:i w:val="0"/>
          <w:sz w:val="24"/>
        </w:rPr>
        <w:t>) baru pada langkah waktu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S_(t-1)</w:t>
      </w:r>
      <w:r>
        <w:rPr>
          <w:rFonts w:ascii="Times New Roman" w:hAnsi="Times New Roman"/>
          <w:b w:val="0"/>
          <w:i w:val="0"/>
          <w:sz w:val="24"/>
        </w:rPr>
        <w:t xml:space="preserve"> adalah status sel memori pada langkah waktu sebelumnya, dan simbol </w:t>
      </w:r>
      <w:r>
        <w:rPr>
          <w:rFonts w:ascii="Times New Roman" w:hAnsi="Times New Roman"/>
          <w:b w:val="0"/>
          <w:i/>
          <w:sz w:val="24"/>
        </w:rPr>
        <w:t>⊙</w:t>
      </w:r>
      <w:r>
        <w:rPr>
          <w:rFonts w:ascii="Times New Roman" w:hAnsi="Times New Roman"/>
          <w:b w:val="0"/>
          <w:i w:val="0"/>
          <w:sz w:val="24"/>
        </w:rPr>
        <w:t xml:space="preserve"> merepresentasikan operasi perkalian elemen demi elemen (</w:t>
      </w:r>
      <w:r>
        <w:rPr>
          <w:rFonts w:ascii="Times New Roman" w:hAnsi="Times New Roman"/>
          <w:b w:val="0"/>
          <w:i/>
          <w:sz w:val="24"/>
        </w:rPr>
        <w:t>Hadamard element-wise product</w:t>
      </w:r>
      <w:r>
        <w:rPr>
          <w:rFonts w:ascii="Times New Roman" w:hAnsi="Times New Roman"/>
          <w:b w:val="0"/>
          <w:i w:val="0"/>
          <w:sz w:val="24"/>
        </w:rPr>
        <w:t>). Formulasi pembaruan linier melalui penjumlahan komponen memori lama yang dipertahankan (</w:t>
      </w:r>
      <w:r>
        <w:rPr>
          <w:rFonts w:ascii="Times New Roman" w:hAnsi="Times New Roman"/>
          <w:b w:val="0"/>
          <w:i/>
          <w:sz w:val="24"/>
        </w:rPr>
        <w:t>f_t ⊙ S_(t-1)</w:t>
      </w:r>
      <w:r>
        <w:rPr>
          <w:rFonts w:ascii="Times New Roman" w:hAnsi="Times New Roman"/>
          <w:b w:val="0"/>
          <w:i w:val="0"/>
          <w:sz w:val="24"/>
        </w:rPr>
        <w:t>) dengan komponen informasi baru (</w:t>
      </w:r>
      <w:r>
        <w:rPr>
          <w:rFonts w:ascii="Times New Roman" w:hAnsi="Times New Roman"/>
          <w:b w:val="0"/>
          <w:i/>
          <w:sz w:val="24"/>
        </w:rPr>
        <w:t>i_t ⊙ S̃_t</w:t>
      </w:r>
      <w:r>
        <w:rPr>
          <w:rFonts w:ascii="Times New Roman" w:hAnsi="Times New Roman"/>
          <w:b w:val="0"/>
          <w:i w:val="0"/>
          <w:sz w:val="24"/>
        </w:rPr>
        <w:t>) menjaga stabilitas propagasi gradien sepanjang deret waktu 20 hari dan mencegah terjadinya pelenyapan gradien (</w:t>
      </w:r>
      <w:r>
        <w:rPr>
          <w:rFonts w:ascii="Times New Roman" w:hAnsi="Times New Roman"/>
          <w:b w:val="0"/>
          <w:i/>
          <w:sz w:val="24"/>
        </w:rPr>
        <w:t>vanishing gradient</w:t>
      </w:r>
      <w:r>
        <w:rPr>
          <w:rFonts w:ascii="Times New Roman" w:hAnsi="Times New Roman"/>
          <w:b w:val="0"/>
          <w:i w:val="0"/>
          <w:sz w:val="24"/>
        </w:rPr>
        <w:t>).</w:t>
      </w:r>
    </w:p>
    <w:p>
      <w:pPr>
        <w:spacing w:line="360" w:lineRule="auto" w:after="120"/>
        <w:ind w:firstLine="567"/>
        <w:jc w:val="both"/>
      </w:pPr>
      <w:r>
        <w:rPr>
          <w:rFonts w:ascii="Times New Roman" w:hAnsi="Times New Roman"/>
          <w:b w:val="0"/>
          <w:i w:val="0"/>
          <w:sz w:val="24"/>
        </w:rPr>
        <w:t>Selanjutnya, status sel memori S_t yang telah diperbarui difilter oleh gerbang keluaran o_t guna menghasilkan representasi status tersembunyi (</w:t>
      </w:r>
      <w:r>
        <w:rPr>
          <w:rFonts w:ascii="Times New Roman" w:hAnsi="Times New Roman"/>
          <w:b w:val="0"/>
          <w:i/>
          <w:sz w:val="24"/>
        </w:rPr>
        <w:t>hidden state</w:t>
      </w:r>
      <w:r>
        <w:rPr>
          <w:rFonts w:ascii="Times New Roman" w:hAnsi="Times New Roman"/>
          <w:b w:val="0"/>
          <w:i w:val="0"/>
          <w:sz w:val="24"/>
        </w:rPr>
        <w:t>) h_t sebagaimana dirumuskan pada Persamaan (2.11):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o</m:t>
                  </m:r>
                </m:e>
                <m:sub>
                  <m:r>
                    <w:rPr>
                      <w:rFonts w:ascii="Cambria Math" w:hAnsi="Cambria Math"/>
                    </w:rPr>
                    <m:t>t</m:t>
                  </m:r>
                </m:sub>
              </m:sSub>
              <m:r>
                <m:rPr>
                  <m:sty m:val="p"/>
                </m:rPr>
                <w:rPr>
                  <w:rFonts w:ascii="Cambria Math" w:hAnsi="Cambria Math"/>
                </w:rPr>
                <m:t> = </m:t>
              </m:r>
              <m:r>
                <w:rPr>
                  <w:rFonts w:ascii="Cambria Math" w:hAnsi="Cambria Math"/>
                </w:rPr>
                <m:t>σ</m:t>
              </m:r>
              <m:d>
                <m:dPr>
                  <m:begChr m:val="("/>
                  <m:endChr m:val=")"/>
                </m:dPr>
                <m:e>
                  <m:sSub>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o</m:t>
                      </m:r>
                    </m:sub>
                  </m:sSub>
                </m:e>
              </m:d>
              <m:r>
                <m:rPr>
                  <m:sty m:val="p"/>
                </m:rPr>
                <w:rPr>
                  <w:rFonts w:ascii="Cambria Math" w:hAnsi="Cambria Math"/>
                </w:rPr>
                <m:t> ,   </m:t>
              </m:r>
              <m:sSub>
                <m:e>
                  <m:r>
                    <w:rPr>
                      <w:rFonts w:ascii="Cambria Math" w:hAnsi="Cambria Math"/>
                    </w:rPr>
                    <m:t>h</m:t>
                  </m:r>
                </m:e>
                <m:sub>
                  <m:r>
                    <w:rPr>
                      <w:rFonts w:ascii="Cambria Math" w:hAnsi="Cambria Math"/>
                    </w:rPr>
                    <m:t>t</m:t>
                  </m:r>
                </m:sub>
              </m:sSub>
              <m:r>
                <m:rPr>
                  <m:sty m:val="p"/>
                </m:rPr>
                <w:rPr>
                  <w:rFonts w:ascii="Cambria Math" w:hAnsi="Cambria Math"/>
                </w:rPr>
                <m:t> = </m:t>
              </m:r>
              <m:sSub>
                <m:e>
                  <m:r>
                    <w:rPr>
                      <w:rFonts w:ascii="Cambria Math" w:hAnsi="Cambria Math"/>
                    </w:rPr>
                    <m:t>o</m:t>
                  </m:r>
                </m:e>
                <m:sub>
                  <m:r>
                    <w:rPr>
                      <w:rFonts w:ascii="Cambria Math" w:hAnsi="Cambria Math"/>
                    </w:rPr>
                    <m:t>t</m:t>
                  </m:r>
                </m:sub>
              </m:sSub>
              <m:r>
                <m:rPr>
                  <m:sty m:val="p"/>
                </m:rPr>
                <w:rPr>
                  <w:rFonts w:ascii="Cambria Math" w:hAnsi="Cambria Math"/>
                </w:rPr>
                <m:t> ⊙ </m:t>
              </m:r>
              <m:r>
                <m:rPr>
                  <m:sty m:val="p"/>
                </m:rPr>
                <w:rPr>
                  <w:rFonts w:ascii="Cambria Math" w:hAnsi="Cambria Math"/>
                </w:rPr>
                <m:t>tanh</m:t>
              </m:r>
              <m:d>
                <m:dPr>
                  <m:begChr m:val="("/>
                  <m:endChr m:val=")"/>
                </m:dPr>
                <m:e>
                  <m:sSub>
                    <m:e>
                      <m:r>
                        <w:rPr>
                          <w:rFonts w:ascii="Cambria Math" w:hAnsi="Cambria Math"/>
                        </w:rPr>
                        <m:t>S</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(2.11)</w:t>
            </w:r>
          </w:p>
        </w:tc>
      </w:tr>
    </w:tbl>
    <w:p>
      <w:pPr>
        <w:spacing w:before="60" w:after="120" w:line="360" w:lineRule="auto"/>
        <w:ind w:firstLine="567"/>
        <w:jc w:val="both"/>
      </w:pPr>
      <w:r>
        <w:rPr>
          <w:rFonts w:ascii="Times New Roman" w:hAnsi="Times New Roman"/>
          <w:b w:val="0"/>
          <w:i w:val="0"/>
          <w:sz w:val="24"/>
        </w:rPr>
        <w:t xml:space="preserve">Berdasarkan Persamaan (2.11) di atas, </w:t>
      </w:r>
      <w:r>
        <w:rPr>
          <w:rFonts w:ascii="Times New Roman" w:hAnsi="Times New Roman"/>
          <w:b w:val="0"/>
          <w:i/>
          <w:sz w:val="24"/>
        </w:rPr>
        <w:t>o_t</w:t>
      </w:r>
      <w:r>
        <w:rPr>
          <w:rFonts w:ascii="Times New Roman" w:hAnsi="Times New Roman"/>
          <w:b w:val="0"/>
          <w:i w:val="0"/>
          <w:sz w:val="24"/>
        </w:rPr>
        <w:t xml:space="preserve"> adalah vektor aktivasi gerbang keluaran (</w:t>
      </w:r>
      <w:r>
        <w:rPr>
          <w:rFonts w:ascii="Times New Roman" w:hAnsi="Times New Roman"/>
          <w:b w:val="0"/>
          <w:i/>
          <w:sz w:val="24"/>
        </w:rPr>
        <w:t>output gate</w:t>
      </w:r>
      <w:r>
        <w:rPr>
          <w:rFonts w:ascii="Times New Roman" w:hAnsi="Times New Roman"/>
          <w:b w:val="0"/>
          <w:i w:val="0"/>
          <w:sz w:val="24"/>
        </w:rPr>
        <w:t xml:space="preserve">) yang dikendalikan oleh matriks bobot </w:t>
      </w:r>
      <w:r>
        <w:rPr>
          <w:rFonts w:ascii="Times New Roman" w:hAnsi="Times New Roman"/>
          <w:b w:val="0"/>
          <w:i/>
          <w:sz w:val="24"/>
        </w:rPr>
        <w:t>W_o</w:t>
      </w:r>
      <w:r>
        <w:rPr>
          <w:rFonts w:ascii="Times New Roman" w:hAnsi="Times New Roman"/>
          <w:b w:val="0"/>
          <w:i w:val="0"/>
          <w:sz w:val="24"/>
        </w:rPr>
        <w:t xml:space="preserve"> dan bias </w:t>
      </w:r>
      <w:r>
        <w:rPr>
          <w:rFonts w:ascii="Times New Roman" w:hAnsi="Times New Roman"/>
          <w:b w:val="0"/>
          <w:i/>
          <w:sz w:val="24"/>
        </w:rPr>
        <w:t>b_o</w:t>
      </w:r>
      <w:r>
        <w:rPr>
          <w:rFonts w:ascii="Times New Roman" w:hAnsi="Times New Roman"/>
          <w:b w:val="0"/>
          <w:i w:val="0"/>
          <w:sz w:val="24"/>
        </w:rPr>
        <w:t xml:space="preserve">, sedangkan </w:t>
      </w:r>
      <w:r>
        <w:rPr>
          <w:rFonts w:ascii="Times New Roman" w:hAnsi="Times New Roman"/>
          <w:b w:val="0"/>
          <w:i/>
          <w:sz w:val="24"/>
        </w:rPr>
        <w:t>h_t</w:t>
      </w:r>
      <w:r>
        <w:rPr>
          <w:rFonts w:ascii="Times New Roman" w:hAnsi="Times New Roman"/>
          <w:b w:val="0"/>
          <w:i w:val="0"/>
          <w:sz w:val="24"/>
        </w:rPr>
        <w:t xml:space="preserve"> merupakan vektor status tersembunyi (</w:t>
      </w:r>
      <w:r>
        <w:rPr>
          <w:rFonts w:ascii="Times New Roman" w:hAnsi="Times New Roman"/>
          <w:b w:val="0"/>
          <w:i/>
          <w:sz w:val="24"/>
        </w:rPr>
        <w:t>hidden state</w:t>
      </w:r>
      <w:r>
        <w:rPr>
          <w:rFonts w:ascii="Times New Roman" w:hAnsi="Times New Roman"/>
          <w:b w:val="0"/>
          <w:i w:val="0"/>
          <w:sz w:val="24"/>
        </w:rPr>
        <w:t>) keluaran unit LSTM pada langkah waktu ke-</w:t>
      </w:r>
      <w:r>
        <w:rPr>
          <w:rFonts w:ascii="Times New Roman" w:hAnsi="Times New Roman"/>
          <w:b w:val="0"/>
          <w:i/>
          <w:sz w:val="24"/>
        </w:rPr>
        <w:t>t</w:t>
      </w:r>
      <w:r>
        <w:rPr>
          <w:rFonts w:ascii="Times New Roman" w:hAnsi="Times New Roman"/>
          <w:b w:val="0"/>
          <w:i w:val="0"/>
          <w:sz w:val="24"/>
        </w:rPr>
        <w:t xml:space="preserve"> yang diperoleh dari perkalian elemen </w:t>
      </w:r>
      <w:r>
        <w:rPr>
          <w:rFonts w:ascii="Times New Roman" w:hAnsi="Times New Roman"/>
          <w:b w:val="0"/>
          <w:i/>
          <w:sz w:val="24"/>
        </w:rPr>
        <w:t>o_t</w:t>
      </w:r>
      <w:r>
        <w:rPr>
          <w:rFonts w:ascii="Times New Roman" w:hAnsi="Times New Roman"/>
          <w:b w:val="0"/>
          <w:i w:val="0"/>
          <w:sz w:val="24"/>
        </w:rPr>
        <w:t xml:space="preserve"> terhadap nilai </w:t>
      </w:r>
      <w:r>
        <w:rPr>
          <w:rFonts w:ascii="Times New Roman" w:hAnsi="Times New Roman"/>
          <w:b w:val="0"/>
          <w:i/>
          <w:sz w:val="24"/>
        </w:rPr>
        <w:t>tanh(S_t)</w:t>
      </w:r>
      <w:r>
        <w:rPr>
          <w:rFonts w:ascii="Times New Roman" w:hAnsi="Times New Roman"/>
          <w:b w:val="0"/>
          <w:i w:val="0"/>
          <w:sz w:val="24"/>
        </w:rPr>
        <w:t xml:space="preserve">. Vektor </w:t>
      </w:r>
      <w:r>
        <w:rPr>
          <w:rFonts w:ascii="Times New Roman" w:hAnsi="Times New Roman"/>
          <w:b w:val="0"/>
          <w:i/>
          <w:sz w:val="24"/>
        </w:rPr>
        <w:t>h_t</w:t>
      </w:r>
      <w:r>
        <w:rPr>
          <w:rFonts w:ascii="Times New Roman" w:hAnsi="Times New Roman"/>
          <w:b w:val="0"/>
          <w:i w:val="0"/>
          <w:sz w:val="24"/>
        </w:rPr>
        <w:t xml:space="preserve"> inilah yang merangkum representasi kontekstual jangka pendek dan jangka panjang pada langkah waktu </w:t>
      </w:r>
      <w:r>
        <w:rPr>
          <w:rFonts w:ascii="Times New Roman" w:hAnsi="Times New Roman"/>
          <w:b w:val="0"/>
          <w:i/>
          <w:sz w:val="24"/>
        </w:rPr>
        <w:t>t</w:t>
      </w:r>
      <w:r>
        <w:rPr>
          <w:rFonts w:ascii="Times New Roman" w:hAnsi="Times New Roman"/>
          <w:b w:val="0"/>
          <w:i w:val="0"/>
          <w:sz w:val="24"/>
        </w:rPr>
        <w:t xml:space="preserve"> untuk diteruskan ke langkah waktu berikutnya maupun ke lapisan selanjutnya.</w:t>
      </w:r>
    </w:p>
    <w:p>
      <w:pPr>
        <w:spacing w:line="360" w:lineRule="auto" w:after="120"/>
        <w:ind w:firstLine="567"/>
        <w:jc w:val="both"/>
      </w:pPr>
      <w:r>
        <w:rPr>
          <w:rFonts w:ascii="Times New Roman" w:hAnsi="Times New Roman"/>
          <w:b w:val="0"/>
          <w:i w:val="0"/>
          <w:sz w:val="24"/>
        </w:rPr>
        <w:t>Berbeda dengan LSTM satu arah yang hanya memproses informasi secara kronologis maju (</w:t>
      </w:r>
      <w:r>
        <w:rPr>
          <w:rFonts w:ascii="Times New Roman" w:hAnsi="Times New Roman"/>
          <w:b w:val="0"/>
          <w:i/>
          <w:sz w:val="24"/>
        </w:rPr>
        <w:t>forward</w:t>
      </w:r>
      <w:r>
        <w:rPr>
          <w:rFonts w:ascii="Times New Roman" w:hAnsi="Times New Roman"/>
          <w:b w:val="0"/>
          <w:i w:val="0"/>
          <w:sz w:val="24"/>
        </w:rPr>
        <w:t>), arsitektur Bidirectional LSTM (BiLSTM) menggunakan dua lapisan LSTM paralel yang memproses sekuen fitur dari arah maju (t = 1 hingga T) dan arah mundur (t = T hingga 1) secara simultan [24], [40], [41], [42], [43]. Penggabungan (</w:t>
      </w:r>
      <w:r>
        <w:rPr>
          <w:rFonts w:ascii="Times New Roman" w:hAnsi="Times New Roman"/>
          <w:b w:val="0"/>
          <w:i/>
          <w:sz w:val="24"/>
        </w:rPr>
        <w:t>concatenation</w:t>
      </w:r>
      <w:r>
        <w:rPr>
          <w:rFonts w:ascii="Times New Roman" w:hAnsi="Times New Roman"/>
          <w:b w:val="0"/>
          <w:i w:val="0"/>
          <w:sz w:val="24"/>
        </w:rPr>
        <w:t>) kedua arah representasi tersebut menghasilkan vektor status tersembunyi dua arah H_t sesuai Persamaan (2.12):</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H</m:t>
                  </m:r>
                </m:e>
                <m:sub>
                  <m:r>
                    <w:rPr>
                      <w:rFonts w:ascii="Cambria Math" w:hAnsi="Cambria Math"/>
                    </w:rPr>
                    <m:t>t</m:t>
                  </m:r>
                </m:sub>
              </m:sSub>
              <m:r>
                <m:rPr>
                  <m:sty m:val="p"/>
                </m:rPr>
                <w:rPr>
                  <w:rFonts w:ascii="Cambria Math" w:hAnsi="Cambria Math"/>
                </w:rPr>
                <m:t> = </m:t>
              </m:r>
              <m:d>
                <m:dPr>
                  <m:begChr m:val="["/>
                  <m:endChr m:val="]"/>
                </m:dPr>
                <m:e>
                  <m:sSub>
                    <m:e>
                      <m:acc>
                        <m:accPr>
                          <m:chr m:val="⃗"/>
                        </m:accPr>
                        <m:e>
                          <m:r>
                            <w:rPr>
                              <w:rFonts w:ascii="Cambria Math" w:hAnsi="Cambria Math"/>
                            </w:rPr>
                            <m:t>h</m:t>
                          </m:r>
                        </m:e>
                      </m:acc>
                    </m:e>
                    <m:sub>
                      <m:r>
                        <w:rPr>
                          <w:rFonts w:ascii="Cambria Math" w:hAnsi="Cambria Math"/>
                        </w:rPr>
                        <m:t>t</m:t>
                      </m:r>
                    </m:sub>
                  </m:sSub>
                  <m:r>
                    <m:rPr>
                      <m:sty m:val="p"/>
                    </m:rPr>
                    <w:rPr>
                      <w:rFonts w:ascii="Cambria Math" w:hAnsi="Cambria Math"/>
                    </w:rPr>
                    <m:t> ⊕ </m:t>
                  </m:r>
                  <m:sSub>
                    <m:e>
                      <m:acc>
                        <m:accPr>
                          <m:chr m:val="⃖"/>
                        </m:accPr>
                        <m:e>
                          <m:r>
                            <w:rPr>
                              <w:rFonts w:ascii="Cambria Math" w:hAnsi="Cambria Math"/>
                            </w:rPr>
                            <m:t>h</m:t>
                          </m:r>
                        </m:e>
                      </m:acc>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(2.12)</w:t>
            </w:r>
          </w:p>
        </w:tc>
      </w:tr>
    </w:tbl>
    <w:p>
      <w:pPr>
        <w:spacing w:before="60" w:after="120" w:line="360" w:lineRule="auto"/>
        <w:ind w:firstLine="567"/>
        <w:jc w:val="both"/>
      </w:pPr>
      <w:r>
        <w:rPr>
          <w:rFonts w:ascii="Times New Roman" w:hAnsi="Times New Roman"/>
          <w:b w:val="0"/>
          <w:i w:val="0"/>
          <w:sz w:val="24"/>
        </w:rPr>
        <w:t xml:space="preserve">Berdasarkan Persamaan (2.12) di atas, </w:t>
      </w:r>
      <w:r>
        <w:rPr>
          <w:rFonts w:ascii="Times New Roman" w:hAnsi="Times New Roman"/>
          <w:b w:val="0"/>
          <w:i/>
          <w:sz w:val="24"/>
        </w:rPr>
        <w:t>H_t</w:t>
      </w:r>
      <w:r>
        <w:rPr>
          <w:rFonts w:ascii="Times New Roman" w:hAnsi="Times New Roman"/>
          <w:b w:val="0"/>
          <w:i w:val="0"/>
          <w:sz w:val="24"/>
        </w:rPr>
        <w:t xml:space="preserve"> menyatakan vektor status tersembunyi gabungan keluaran lapisan </w:t>
      </w:r>
      <w:r>
        <w:rPr>
          <w:rFonts w:ascii="Times New Roman" w:hAnsi="Times New Roman"/>
          <w:b w:val="0"/>
          <w:i/>
          <w:sz w:val="24"/>
        </w:rPr>
        <w:t>Bidirectional LSTM</w:t>
      </w:r>
      <w:r>
        <w:rPr>
          <w:rFonts w:ascii="Times New Roman" w:hAnsi="Times New Roman"/>
          <w:b w:val="0"/>
          <w:i w:val="0"/>
          <w:sz w:val="24"/>
        </w:rPr>
        <w:t xml:space="preserve"> pada langkah waktu ke-</w:t>
      </w:r>
      <w:r>
        <w:rPr>
          <w:rFonts w:ascii="Times New Roman" w:hAnsi="Times New Roman"/>
          <w:b w:val="0"/>
          <w:i/>
          <w:sz w:val="24"/>
        </w:rPr>
        <w:t>t</w:t>
      </w:r>
      <w:r>
        <w:rPr>
          <w:rFonts w:ascii="Times New Roman" w:hAnsi="Times New Roman"/>
          <w:b w:val="0"/>
          <w:i w:val="0"/>
          <w:sz w:val="24"/>
        </w:rPr>
        <w:t xml:space="preserve">, di mana </w:t>
      </w:r>
      <w:r>
        <w:rPr>
          <w:rFonts w:ascii="Times New Roman" w:hAnsi="Times New Roman"/>
          <w:b w:val="0"/>
          <w:i/>
          <w:sz w:val="24"/>
        </w:rPr>
        <w:t>h⃗_t</w:t>
      </w:r>
      <w:r>
        <w:rPr>
          <w:rFonts w:ascii="Times New Roman" w:hAnsi="Times New Roman"/>
          <w:b w:val="0"/>
          <w:i w:val="0"/>
          <w:sz w:val="24"/>
        </w:rPr>
        <w:t xml:space="preserve"> adalah status tersembunyi dari lapisan LSTM arah maju (</w:t>
      </w:r>
      <w:r>
        <w:rPr>
          <w:rFonts w:ascii="Times New Roman" w:hAnsi="Times New Roman"/>
          <w:b w:val="0"/>
          <w:i/>
          <w:sz w:val="24"/>
        </w:rPr>
        <w:t>forward pass</w:t>
      </w:r>
      <w:r>
        <w:rPr>
          <w:rFonts w:ascii="Times New Roman" w:hAnsi="Times New Roman"/>
          <w:b w:val="0"/>
          <w:i w:val="0"/>
          <w:sz w:val="24"/>
        </w:rPr>
        <w:t xml:space="preserve"> yang memproses sekuen dari </w:t>
      </w:r>
      <w:r>
        <w:rPr>
          <w:rFonts w:ascii="Times New Roman" w:hAnsi="Times New Roman"/>
          <w:b w:val="0"/>
          <w:i/>
          <w:sz w:val="24"/>
        </w:rPr>
        <w:t>t</w:t>
      </w:r>
      <w:r>
        <w:rPr>
          <w:rFonts w:ascii="Times New Roman" w:hAnsi="Times New Roman"/>
          <w:b w:val="0"/>
          <w:i w:val="0"/>
          <w:sz w:val="24"/>
        </w:rPr>
        <w:t xml:space="preserve"> = 1 hingga </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h⃖_t</w:t>
      </w:r>
      <w:r>
        <w:rPr>
          <w:rFonts w:ascii="Times New Roman" w:hAnsi="Times New Roman"/>
          <w:b w:val="0"/>
          <w:i w:val="0"/>
          <w:sz w:val="24"/>
        </w:rPr>
        <w:t xml:space="preserve"> adalah status tersembunyi dari lapisan LSTM arah mundur (</w:t>
      </w:r>
      <w:r>
        <w:rPr>
          <w:rFonts w:ascii="Times New Roman" w:hAnsi="Times New Roman"/>
          <w:b w:val="0"/>
          <w:i/>
          <w:sz w:val="24"/>
        </w:rPr>
        <w:t>backward pass</w:t>
      </w:r>
      <w:r>
        <w:rPr>
          <w:rFonts w:ascii="Times New Roman" w:hAnsi="Times New Roman"/>
          <w:b w:val="0"/>
          <w:i w:val="0"/>
          <w:sz w:val="24"/>
        </w:rPr>
        <w:t xml:space="preserve"> yang memproses sekuen dari </w:t>
      </w:r>
      <w:r>
        <w:rPr>
          <w:rFonts w:ascii="Times New Roman" w:hAnsi="Times New Roman"/>
          <w:b w:val="0"/>
          <w:i/>
          <w:sz w:val="24"/>
        </w:rPr>
        <w:t>t</w:t>
      </w:r>
      <w:r>
        <w:rPr>
          <w:rFonts w:ascii="Times New Roman" w:hAnsi="Times New Roman"/>
          <w:b w:val="0"/>
          <w:i w:val="0"/>
          <w:sz w:val="24"/>
        </w:rPr>
        <w:t xml:space="preserve"> = </w:t>
      </w:r>
      <w:r>
        <w:rPr>
          <w:rFonts w:ascii="Times New Roman" w:hAnsi="Times New Roman"/>
          <w:b w:val="0"/>
          <w:i/>
          <w:sz w:val="24"/>
        </w:rPr>
        <w:t>T</w:t>
      </w:r>
      <w:r>
        <w:rPr>
          <w:rFonts w:ascii="Times New Roman" w:hAnsi="Times New Roman"/>
          <w:b w:val="0"/>
          <w:i w:val="0"/>
          <w:sz w:val="24"/>
        </w:rPr>
        <w:t xml:space="preserve"> hingga 1), dan simbol </w:t>
      </w:r>
      <w:r>
        <w:rPr>
          <w:rFonts w:ascii="Times New Roman" w:hAnsi="Times New Roman"/>
          <w:b w:val="0"/>
          <w:i/>
          <w:sz w:val="24"/>
        </w:rPr>
        <w:t>⊕</w:t>
      </w:r>
      <w:r>
        <w:rPr>
          <w:rFonts w:ascii="Times New Roman" w:hAnsi="Times New Roman"/>
          <w:b w:val="0"/>
          <w:i w:val="0"/>
          <w:sz w:val="24"/>
        </w:rPr>
        <w:t xml:space="preserve"> menyatakan operasi penggabungan vektor (</w:t>
      </w:r>
      <w:r>
        <w:rPr>
          <w:rFonts w:ascii="Times New Roman" w:hAnsi="Times New Roman"/>
          <w:b w:val="0"/>
          <w:i/>
          <w:sz w:val="24"/>
        </w:rPr>
        <w:t>concatenation</w:t>
      </w:r>
      <w:r>
        <w:rPr>
          <w:rFonts w:ascii="Times New Roman" w:hAnsi="Times New Roman"/>
          <w:b w:val="0"/>
          <w:i w:val="0"/>
          <w:sz w:val="24"/>
        </w:rPr>
        <w:t>). Dengan menggabungkan kedua arah pemrosesan tersebut (masing-masing 48 unit sehingga membentuk vektor berdimensi 96 unit), jaringan mampu memahami konteks sebelum dan sesudah suatu peristiwa fluktuasi harga di dalam jendela pengamatan.</w:t>
      </w:r>
    </w:p>
    <w:p>
      <w:pPr>
        <w:keepNext/>
        <w:spacing w:before="200" w:after="80" w:line="360" w:lineRule="auto"/>
        <w:jc w:val="left"/>
      </w:pPr>
      <w:r>
        <w:rPr>
          <w:rFonts w:ascii="Times New Roman" w:hAnsi="Times New Roman"/>
          <w:b/>
          <w:sz w:val="24"/>
        </w:rPr>
        <w:t xml:space="preserve">2.2.5.  </w:t>
      </w:r>
      <w:r>
        <w:rPr>
          <w:rFonts w:ascii="Times New Roman" w:hAnsi="Times New Roman"/>
          <w:b/>
          <w:i w:val="0"/>
          <w:sz w:val="24"/>
        </w:rPr>
        <w:t xml:space="preserve">Mekanisme </w:t>
      </w:r>
      <w:r>
        <w:rPr>
          <w:rFonts w:ascii="Times New Roman" w:hAnsi="Times New Roman"/>
          <w:b/>
          <w:i/>
          <w:sz w:val="24"/>
        </w:rPr>
        <w:t>Temporal Attention</w:t>
      </w:r>
      <w:r>
        <w:rPr>
          <w:rFonts w:ascii="Times New Roman" w:hAnsi="Times New Roman"/>
          <w:b/>
          <w:i w:val="0"/>
          <w:sz w:val="24"/>
        </w:rPr>
        <w:t xml:space="preserve"> dan Arsitektur Hibrida</w:t>
      </w:r>
    </w:p>
    <w:p>
      <w:pPr>
        <w:spacing w:line="360" w:lineRule="auto" w:after="120"/>
        <w:ind w:firstLine="567"/>
        <w:jc w:val="both"/>
      </w:pPr>
      <w:r>
        <w:rPr>
          <w:rFonts w:ascii="Times New Roman" w:hAnsi="Times New Roman"/>
          <w:b w:val="0"/>
          <w:i w:val="0"/>
          <w:sz w:val="24"/>
        </w:rPr>
        <w:t xml:space="preserve">Mekanisme </w:t>
      </w:r>
      <w:r>
        <w:rPr>
          <w:rFonts w:ascii="Times New Roman" w:hAnsi="Times New Roman"/>
          <w:b w:val="0"/>
          <w:i/>
          <w:sz w:val="24"/>
        </w:rPr>
        <w:t>Temporal Attention</w:t>
      </w:r>
      <w:r>
        <w:rPr>
          <w:rFonts w:ascii="Times New Roman" w:hAnsi="Times New Roman"/>
          <w:b w:val="0"/>
          <w:i w:val="0"/>
          <w:sz w:val="24"/>
        </w:rPr>
        <w:t xml:space="preserve"> (berbasis formulasi aditif Bahdanau) bertujuan untuk membebaskan jaringan BiLSTM dari keharusan memampatkan seluruh informasi sepanjang T langkah waktu ke dalam satu vektor tetap [27], [28], [29], [30], [44], [45]. Mekanisme ini menghitung skor energi relevansi e_t untuk setiap status tersembunyi H_t dan menormalisasinya menggunakan fungsi Softmax menjadi bobot perhatian probabilistik α_t sebagaimana dirumuskan pada Persamaan (2.13):</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e</m:t>
                  </m:r>
                </m:e>
                <m:sub>
                  <m:r>
                    <w:rPr>
                      <w:rFonts w:ascii="Cambria Math" w:hAnsi="Cambria Math"/>
                    </w:rPr>
                    <m:t>t</m:t>
                  </m:r>
                </m:sub>
              </m:sSub>
              <m:r>
                <m:rPr>
                  <m:sty m:val="p"/>
                </m:rPr>
                <w:rPr>
                  <w:rFonts w:ascii="Cambria Math" w:hAnsi="Cambria Math"/>
                </w:rPr>
                <m:t> = </m:t>
              </m:r>
              <m:sSup>
                <m:e>
                  <m:r>
                    <w:rPr>
                      <w:rFonts w:ascii="Cambria Math" w:hAnsi="Cambria Math"/>
                    </w:rPr>
                    <m:t>v</m:t>
                  </m:r>
                </m:e>
                <m:sup>
                  <m:r>
                    <m:rPr>
                      <m:sty m:val="p"/>
                    </m:rPr>
                    <w:rPr>
                      <w:rFonts w:ascii="Cambria Math" w:hAnsi="Cambria Math"/>
                    </w:rPr>
                    <m:t>T</m:t>
                  </m:r>
                </m:sup>
              </m:sSup>
              <m:r>
                <m:rPr>
                  <m:sty m:val="p"/>
                </m:rPr>
                <w:rPr>
                  <w:rFonts w:ascii="Cambria Math" w:hAnsi="Cambria Math"/>
                </w:rPr>
                <m:t>tanh</m:t>
              </m:r>
              <m:d>
                <m:dPr>
                  <m:begChr m:val="("/>
                  <m:endChr m:val=")"/>
                </m:dPr>
                <m:e>
                  <m:sSub>
                    <m:e>
                      <m:r>
                        <w:rPr>
                          <w:rFonts w:ascii="Cambria Math" w:hAnsi="Cambria Math"/>
                        </w:rPr>
                        <m:t>W</m:t>
                      </m:r>
                    </m:e>
                    <m:sub>
                      <m:r>
                        <w:rPr>
                          <w:rFonts w:ascii="Cambria Math" w:hAnsi="Cambria Math"/>
                        </w:rPr>
                        <m:t>a</m:t>
                      </m:r>
                    </m:sub>
                  </m:sSub>
                  <m:sSub>
                    <m:e>
                      <m:r>
                        <w:rPr>
                          <w:rFonts w:ascii="Cambria Math" w:hAnsi="Cambria Math"/>
                        </w:rPr>
                        <m:t>H</m:t>
                      </m:r>
                    </m:e>
                    <m:sub>
                      <m:r>
                        <w:rPr>
                          <w:rFonts w:ascii="Cambria Math" w:hAnsi="Cambria Math"/>
                        </w:rPr>
                        <m:t>t</m:t>
                      </m:r>
                    </m:sub>
                  </m:sSub>
                  <m:r>
                    <m:rPr>
                      <m:sty m:val="p"/>
                    </m:rPr>
                    <w:rPr>
                      <w:rFonts w:ascii="Cambria Math" w:hAnsi="Cambria Math"/>
                    </w:rPr>
                    <m:t> + </m:t>
                  </m:r>
                  <m:sSub>
                    <m:e>
                      <m:r>
                        <w:rPr>
                          <w:rFonts w:ascii="Cambria Math" w:hAnsi="Cambria Math"/>
                        </w:rPr>
                        <m:t>b</m:t>
                      </m:r>
                    </m:e>
                    <m:sub>
                      <m:r>
                        <w:rPr>
                          <w:rFonts w:ascii="Cambria Math" w:hAnsi="Cambria Math"/>
                        </w:rPr>
                        <m:t>a</m:t>
                      </m:r>
                    </m:sub>
                  </m:sSub>
                </m:e>
              </m:d>
              <m:r>
                <m:rPr>
                  <m:sty m:val="p"/>
                </m:rPr>
                <w:rPr>
                  <w:rFonts w:ascii="Cambria Math" w:hAnsi="Cambria Math"/>
                </w:rPr>
                <m:t> ,   </m:t>
              </m:r>
              <m:sSub>
                <m:e>
                  <m:r>
                    <w:rPr>
                      <w:rFonts w:ascii="Cambria Math" w:hAnsi="Cambria Math"/>
                    </w:rPr>
                    <m:t>α</m:t>
                  </m:r>
                </m:e>
                <m:sub>
                  <m:r>
                    <w:rPr>
                      <w:rFonts w:ascii="Cambria Math" w:hAnsi="Cambria Math"/>
                    </w:rPr>
                    <m:t>t</m:t>
                  </m:r>
                </m:sub>
              </m:sSub>
              <m:r>
                <m:rPr>
                  <m:sty m:val="p"/>
                </m:rPr>
                <w:rPr>
                  <w:rFonts w:ascii="Cambria Math" w:hAnsi="Cambria Math"/>
                </w:rPr>
                <m:t> = </m:t>
              </m:r>
              <m:f>
                <m:num>
                  <m:r>
                    <m:rPr>
                      <m:sty m:val="p"/>
                    </m:rPr>
                    <w:rPr>
                      <w:rFonts w:ascii="Cambria Math" w:hAnsi="Cambria Math"/>
                    </w:rPr>
                    <m:t>exp</m:t>
                  </m:r>
                  <m:d>
                    <m:dPr>
                      <m:begChr m:val="("/>
                      <m:endChr m:val=")"/>
                    </m:dPr>
                    <m:e>
                      <m:sSub>
                        <m:e>
                          <m:r>
                            <w:rPr>
                              <w:rFonts w:ascii="Cambria Math" w:hAnsi="Cambria Math"/>
                            </w:rPr>
                            <m:t>e</m:t>
                          </m:r>
                        </m:e>
                        <m:sub>
                          <m:r>
                            <w:rPr>
                              <w:rFonts w:ascii="Cambria Math" w:hAnsi="Cambria Math"/>
                            </w:rPr>
                            <m:t>t</m:t>
                          </m:r>
                        </m:sub>
                      </m:sSub>
                    </m:e>
                  </m:d>
                </m:num>
                <m:den>
                  <m:nary>
                    <m:naryPr>
                      <m:chr m:val="∑"/>
                      <m:limLoc m:val="undOvr"/>
                    </m:naryPr>
                    <m:sub>
                      <m:r>
                        <w:rPr>
                          <w:rFonts w:ascii="Cambria Math" w:hAnsi="Cambria Math"/>
                        </w:rPr>
                        <m:t>k</m:t>
                      </m:r>
                      <m:r>
                        <m:rPr>
                          <m:sty m:val="p"/>
                        </m:rPr>
                        <w:rPr>
                          <w:rFonts w:ascii="Cambria Math" w:hAnsi="Cambria Math"/>
                        </w:rPr>
                        <m:t>=1</m:t>
                      </m:r>
                    </m:sub>
                    <m:sup>
                      <m:r>
                        <w:rPr>
                          <w:rFonts w:ascii="Cambria Math" w:hAnsi="Cambria Math"/>
                        </w:rPr>
                        <m:t>T</m:t>
                      </m:r>
                    </m:sup>
                    <m:e>
                      <m:r>
                        <m:rPr>
                          <m:sty m:val="p"/>
                        </m:rPr>
                        <w:rPr>
                          <w:rFonts w:ascii="Cambria Math" w:hAnsi="Cambria Math"/>
                        </w:rPr>
                        <m:t>exp</m:t>
                      </m:r>
                      <m:d>
                        <m:dPr>
                          <m:begChr m:val="("/>
                          <m:endChr m:val=")"/>
                        </m:dPr>
                        <m:e>
                          <m:sSub>
                            <m:e>
                              <m:r>
                                <w:rPr>
                                  <w:rFonts w:ascii="Cambria Math" w:hAnsi="Cambria Math"/>
                                </w:rPr>
                                <m:t>e</m:t>
                              </m:r>
                            </m:e>
                            <m:sub>
                              <m:r>
                                <w:rPr>
                                  <w:rFonts w:ascii="Cambria Math" w:hAnsi="Cambria Math"/>
                                </w:rPr>
                                <m:t>k</m:t>
                              </m:r>
                            </m:sub>
                          </m:sSub>
                        </m:e>
                      </m:d>
                    </m:e>
                  </m:nary>
                </m:den>
              </m:f>
            </m:oMath>
          </w:p>
        </w:tc>
        <w:tc>
          <w:tcPr>
            <w:tcW w:type="dxa" w:w="1020"/>
            <w:vAlign w:val="center"/>
          </w:tcPr>
          <w:p>
            <w:pPr>
              <w:spacing w:before="80" w:after="80"/>
              <w:jc w:val="right"/>
            </w:pPr>
            <w:r>
              <w:rPr>
                <w:rFonts w:ascii="Times New Roman" w:hAnsi="Times New Roman"/>
                <w:sz w:val="24"/>
              </w:rPr>
              <w:t>(2.13)</w:t>
            </w:r>
          </w:p>
        </w:tc>
      </w:tr>
    </w:tbl>
    <w:p>
      <w:pPr>
        <w:spacing w:before="60" w:after="120" w:line="360" w:lineRule="auto"/>
        <w:ind w:firstLine="567"/>
        <w:jc w:val="both"/>
      </w:pPr>
      <w:r>
        <w:rPr>
          <w:rFonts w:ascii="Times New Roman" w:hAnsi="Times New Roman"/>
          <w:b w:val="0"/>
          <w:i w:val="0"/>
          <w:sz w:val="24"/>
        </w:rPr>
        <w:t xml:space="preserve">Berdasarkan Persamaan (2.13) di atas, </w:t>
      </w:r>
      <w:r>
        <w:rPr>
          <w:rFonts w:ascii="Times New Roman" w:hAnsi="Times New Roman"/>
          <w:b w:val="0"/>
          <w:i/>
          <w:sz w:val="24"/>
        </w:rPr>
        <w:t>e_t</w:t>
      </w:r>
      <w:r>
        <w:rPr>
          <w:rFonts w:ascii="Times New Roman" w:hAnsi="Times New Roman"/>
          <w:b w:val="0"/>
          <w:i w:val="0"/>
          <w:sz w:val="24"/>
        </w:rPr>
        <w:t xml:space="preserve"> menyatakan skor energi keselarasan (</w:t>
      </w:r>
      <w:r>
        <w:rPr>
          <w:rFonts w:ascii="Times New Roman" w:hAnsi="Times New Roman"/>
          <w:b w:val="0"/>
          <w:i/>
          <w:sz w:val="24"/>
        </w:rPr>
        <w:t>alignment energy score</w:t>
      </w:r>
      <w:r>
        <w:rPr>
          <w:rFonts w:ascii="Times New Roman" w:hAnsi="Times New Roman"/>
          <w:b w:val="0"/>
          <w:i w:val="0"/>
          <w:sz w:val="24"/>
        </w:rPr>
        <w:t>) aditif Bahdanau pada langkah waktu ke-</w:t>
      </w:r>
      <w:r>
        <w:rPr>
          <w:rFonts w:ascii="Times New Roman" w:hAnsi="Times New Roman"/>
          <w:b w:val="0"/>
          <w:i/>
          <w:sz w:val="24"/>
        </w:rPr>
        <w:t>t</w:t>
      </w:r>
      <w:r>
        <w:rPr>
          <w:rFonts w:ascii="Times New Roman" w:hAnsi="Times New Roman"/>
          <w:b w:val="0"/>
          <w:i w:val="0"/>
          <w:sz w:val="24"/>
        </w:rPr>
        <w:t xml:space="preserve"> yang dihitung menggunakan matriks bobot perhatian </w:t>
      </w:r>
      <w:r>
        <w:rPr>
          <w:rFonts w:ascii="Times New Roman" w:hAnsi="Times New Roman"/>
          <w:b w:val="0"/>
          <w:i/>
          <w:sz w:val="24"/>
        </w:rPr>
        <w:t>W_a</w:t>
      </w:r>
      <w:r>
        <w:rPr>
          <w:rFonts w:ascii="Times New Roman" w:hAnsi="Times New Roman"/>
          <w:b w:val="0"/>
          <w:i w:val="0"/>
          <w:sz w:val="24"/>
        </w:rPr>
        <w:t xml:space="preserve">, vektor parameter proyeksi </w:t>
      </w:r>
      <w:r>
        <w:rPr>
          <w:rFonts w:ascii="Times New Roman" w:hAnsi="Times New Roman"/>
          <w:b w:val="0"/>
          <w:i/>
          <w:sz w:val="24"/>
        </w:rPr>
        <w:t>v^T</w:t>
      </w:r>
      <w:r>
        <w:rPr>
          <w:rFonts w:ascii="Times New Roman" w:hAnsi="Times New Roman"/>
          <w:b w:val="0"/>
          <w:i w:val="0"/>
          <w:sz w:val="24"/>
        </w:rPr>
        <w:t xml:space="preserve">, dan vektor bias </w:t>
      </w:r>
      <w:r>
        <w:rPr>
          <w:rFonts w:ascii="Times New Roman" w:hAnsi="Times New Roman"/>
          <w:b w:val="0"/>
          <w:i/>
          <w:sz w:val="24"/>
        </w:rPr>
        <w:t>b_a</w:t>
      </w:r>
      <w:r>
        <w:rPr>
          <w:rFonts w:ascii="Times New Roman" w:hAnsi="Times New Roman"/>
          <w:b w:val="0"/>
          <w:i w:val="0"/>
          <w:sz w:val="24"/>
        </w:rPr>
        <w:t xml:space="preserve"> terhadap representasi dua arah </w:t>
      </w:r>
      <w:r>
        <w:rPr>
          <w:rFonts w:ascii="Times New Roman" w:hAnsi="Times New Roman"/>
          <w:b w:val="0"/>
          <w:i/>
          <w:sz w:val="24"/>
        </w:rPr>
        <w:t>H_t</w:t>
      </w:r>
      <w:r>
        <w:rPr>
          <w:rFonts w:ascii="Times New Roman" w:hAnsi="Times New Roman"/>
          <w:b w:val="0"/>
          <w:i w:val="0"/>
          <w:sz w:val="24"/>
        </w:rPr>
        <w:t xml:space="preserve">. Skor energi </w:t>
      </w:r>
      <w:r>
        <w:rPr>
          <w:rFonts w:ascii="Times New Roman" w:hAnsi="Times New Roman"/>
          <w:b w:val="0"/>
          <w:i/>
          <w:sz w:val="24"/>
        </w:rPr>
        <w:t>e_t</w:t>
      </w:r>
      <w:r>
        <w:rPr>
          <w:rFonts w:ascii="Times New Roman" w:hAnsi="Times New Roman"/>
          <w:b w:val="0"/>
          <w:i w:val="0"/>
          <w:sz w:val="24"/>
        </w:rPr>
        <w:t xml:space="preserve"> tersebut selanjutnya dinormalisasi di seluruh </w:t>
      </w:r>
      <w:r>
        <w:rPr>
          <w:rFonts w:ascii="Times New Roman" w:hAnsi="Times New Roman"/>
          <w:b w:val="0"/>
          <w:i/>
          <w:sz w:val="24"/>
        </w:rPr>
        <w:t>T</w:t>
      </w:r>
      <w:r>
        <w:rPr>
          <w:rFonts w:ascii="Times New Roman" w:hAnsi="Times New Roman"/>
          <w:b w:val="0"/>
          <w:i w:val="0"/>
          <w:sz w:val="24"/>
        </w:rPr>
        <w:t xml:space="preserve"> = 20 langkah waktu menggunakan fungsi eksponensial </w:t>
      </w:r>
      <w:r>
        <w:rPr>
          <w:rFonts w:ascii="Times New Roman" w:hAnsi="Times New Roman"/>
          <w:b w:val="0"/>
          <w:i/>
          <w:sz w:val="24"/>
        </w:rPr>
        <w:t>Softmax</w:t>
      </w:r>
      <w:r>
        <w:rPr>
          <w:rFonts w:ascii="Times New Roman" w:hAnsi="Times New Roman"/>
          <w:b w:val="0"/>
          <w:i w:val="0"/>
          <w:sz w:val="24"/>
        </w:rPr>
        <w:t xml:space="preserve"> untuk menghasilkan bobot perhatian probabilistik </w:t>
      </w:r>
      <w:r>
        <w:rPr>
          <w:rFonts w:ascii="Times New Roman" w:hAnsi="Times New Roman"/>
          <w:b w:val="0"/>
          <w:i/>
          <w:sz w:val="24"/>
        </w:rPr>
        <w:t>α_t</w:t>
      </w:r>
      <w:r>
        <w:rPr>
          <w:rFonts w:ascii="Times New Roman" w:hAnsi="Times New Roman"/>
          <w:b w:val="0"/>
          <w:i w:val="0"/>
          <w:sz w:val="24"/>
        </w:rPr>
        <w:t xml:space="preserve"> (dengan nilai </w:t>
      </w:r>
      <w:r>
        <w:rPr>
          <w:rFonts w:ascii="Times New Roman" w:hAnsi="Times New Roman"/>
          <w:b w:val="0"/>
          <w:i/>
          <w:sz w:val="24"/>
        </w:rPr>
        <w:t>α_t ≥ 0</w:t>
      </w:r>
      <w:r>
        <w:rPr>
          <w:rFonts w:ascii="Times New Roman" w:hAnsi="Times New Roman"/>
          <w:b w:val="0"/>
          <w:i w:val="0"/>
          <w:sz w:val="24"/>
        </w:rPr>
        <w:t xml:space="preserve"> dan </w:t>
      </w:r>
      <w:r>
        <w:rPr>
          <w:rFonts w:ascii="Times New Roman" w:hAnsi="Times New Roman"/>
          <w:b w:val="0"/>
          <w:i/>
          <w:sz w:val="24"/>
        </w:rPr>
        <w:t>∑ α_t = 1</w:t>
      </w:r>
      <w:r>
        <w:rPr>
          <w:rFonts w:ascii="Times New Roman" w:hAnsi="Times New Roman"/>
          <w:b w:val="0"/>
          <w:i w:val="0"/>
          <w:sz w:val="24"/>
        </w:rPr>
        <w:t>), yang secara eksplisit menunjukkan tingkat kepentingan relatif hari ke-</w:t>
      </w:r>
      <w:r>
        <w:rPr>
          <w:rFonts w:ascii="Times New Roman" w:hAnsi="Times New Roman"/>
          <w:b w:val="0"/>
          <w:i/>
          <w:sz w:val="24"/>
        </w:rPr>
        <w:t>t</w:t>
      </w:r>
      <w:r>
        <w:rPr>
          <w:rFonts w:ascii="Times New Roman" w:hAnsi="Times New Roman"/>
          <w:b w:val="0"/>
          <w:i w:val="0"/>
          <w:sz w:val="24"/>
        </w:rPr>
        <w:t xml:space="preserve"> terhadap pembentukan prediksi harga.</w:t>
      </w:r>
    </w:p>
    <w:p>
      <w:pPr>
        <w:spacing w:line="360" w:lineRule="auto" w:after="120"/>
        <w:ind w:firstLine="567"/>
        <w:jc w:val="both"/>
      </w:pPr>
      <w:r>
        <w:rPr>
          <w:rFonts w:ascii="Times New Roman" w:hAnsi="Times New Roman"/>
          <w:b w:val="0"/>
          <w:i w:val="0"/>
          <w:sz w:val="24"/>
        </w:rPr>
        <w:t>Vektor konteks tertimbang yang dihasilkan oleh penjumlahan ∑ α_t H_t selanjutnya digabungkan dengan koneksi pintas (</w:t>
      </w:r>
      <w:r>
        <w:rPr>
          <w:rFonts w:ascii="Times New Roman" w:hAnsi="Times New Roman"/>
          <w:b w:val="0"/>
          <w:i/>
          <w:sz w:val="24"/>
        </w:rPr>
        <w:t>residual skip connection</w:t>
      </w:r>
      <w:r>
        <w:rPr>
          <w:rFonts w:ascii="Times New Roman" w:hAnsi="Times New Roman"/>
          <w:b w:val="0"/>
          <w:i w:val="0"/>
          <w:sz w:val="24"/>
        </w:rPr>
        <w:t>) dan dipetakan melalui lapisan Fully Connected (Dense) untuk memperoleh estimasi harga penutupan Solana pada hari berikutnya (ŷ_(t+1)) sesuai Persamaan (2.14) [46], [47], [48]. Diagram arsitektur lengkap model hibrida CNN-BiLSTM-Attention ditunjukkan pada Gambar 2.1.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acc>
                    <m:accPr>
                      <m:chr m:val="̂"/>
                    </m:accPr>
                    <m:e>
                      <m:r>
                        <w:rPr>
                          <w:rFonts w:ascii="Cambria Math" w:hAnsi="Cambria Math"/>
                        </w:rPr>
                        <m:t>y</m:t>
                      </m:r>
                    </m:e>
                  </m:acc>
                </m:e>
                <m:sub>
                  <m:r>
                    <w:rPr>
                      <w:rFonts w:ascii="Cambria Math" w:hAnsi="Cambria Math"/>
                    </w:rPr>
                    <m:t>t</m:t>
                  </m:r>
                  <m:r>
                    <m:rPr>
                      <m:sty m:val="p"/>
                    </m:rPr>
                    <w:rPr>
                      <w:rFonts w:ascii="Cambria Math" w:hAnsi="Cambria Math"/>
                    </w:rPr>
                    <m:t>+1</m:t>
                  </m:r>
                </m:sub>
              </m:sSub>
              <m:r>
                <m:rPr>
                  <m:sty m:val="p"/>
                </m:rPr>
                <w:rPr>
                  <w:rFonts w:ascii="Cambria Math" w:hAnsi="Cambria Math"/>
                </w:rPr>
                <m:t> = </m:t>
              </m:r>
              <m:sSub>
                <m:e>
                  <m:r>
                    <w:rPr>
                      <w:rFonts w:ascii="Cambria Math" w:hAnsi="Cambria Math"/>
                    </w:rPr>
                    <m:t>W</m:t>
                  </m:r>
                </m:e>
                <m:sub>
                  <m:r>
                    <m:rPr>
                      <m:sty m:val="p"/>
                    </m:rPr>
                    <w:rPr>
                      <w:rFonts w:ascii="Cambria Math" w:hAnsi="Cambria Math"/>
                    </w:rPr>
                    <m:t>out</m:t>
                  </m:r>
                </m:sub>
              </m:sSub>
              <m:r>
                <m:rPr>
                  <m:sty m:val="p"/>
                </m:rPr>
                <w:rPr>
                  <w:rFonts w:ascii="Cambria Math" w:hAnsi="Cambria Math"/>
                </w:rPr>
                <m:t>⋅</m:t>
              </m:r>
              <m:r>
                <m:rPr>
                  <m:sty m:val="p"/>
                </m:rPr>
                <w:rPr>
                  <w:rFonts w:ascii="Cambria Math" w:hAnsi="Cambria Math"/>
                </w:rPr>
                <m:t>LeakyReLU</m:t>
              </m:r>
              <m:d>
                <m:dPr>
                  <m:begChr m:val="("/>
                  <m:endChr m:val=")"/>
                </m:dPr>
                <m:e>
                  <m:sSub>
                    <m:e>
                      <m:r>
                        <w:rPr>
                          <w:rFonts w:ascii="Cambria Math" w:hAnsi="Cambria Math"/>
                        </w:rPr>
                        <m:t>W</m:t>
                      </m:r>
                    </m:e>
                    <m:sub>
                      <m:r>
                        <w:rPr>
                          <w:rFonts w:ascii="Cambria Math" w:hAnsi="Cambria Math"/>
                        </w:rPr>
                        <m:t>d</m:t>
                      </m:r>
                    </m:sub>
                  </m:sSub>
                  <m:d>
                    <m:dPr>
                      <m:begChr m:val="("/>
                      <m:endChr m:val=")"/>
                    </m:dPr>
                    <m:e>
                      <m:nary>
                        <m:naryPr>
                          <m:chr m:val="∑"/>
                          <m:limLoc m:val="undOvr"/>
                        </m:naryPr>
                        <m:sub>
                          <m:r>
                            <w:rPr>
                              <w:rFonts w:ascii="Cambria Math" w:hAnsi="Cambria Math"/>
                            </w:rPr>
                            <m:t>t</m:t>
                          </m:r>
                          <m:r>
                            <m:rPr>
                              <m:sty m:val="p"/>
                            </m:rPr>
                            <w:rPr>
                              <w:rFonts w:ascii="Cambria Math" w:hAnsi="Cambria Math"/>
                            </w:rPr>
                            <m:t>=1</m:t>
                          </m:r>
                        </m:sub>
                        <m:sup>
                          <m:r>
                            <w:rPr>
                              <w:rFonts w:ascii="Cambria Math" w:hAnsi="Cambria Math"/>
                            </w:rPr>
                            <m:t>T</m:t>
                          </m:r>
                        </m:sup>
                        <m:e>
                          <m:sSub>
                            <m:e>
                              <m:r>
                                <w:rPr>
                                  <w:rFonts w:ascii="Cambria Math" w:hAnsi="Cambria Math"/>
                                </w:rPr>
                                <m:t>α</m:t>
                              </m:r>
                            </m:e>
                            <m:sub>
                              <m:r>
                                <w:rPr>
                                  <w:rFonts w:ascii="Cambria Math" w:hAnsi="Cambria Math"/>
                                </w:rPr>
                                <m:t>t</m:t>
                              </m:r>
                            </m:sub>
                          </m:sSub>
                          <m:sSub>
                            <m:e>
                              <m:r>
                                <w:rPr>
                                  <w:rFonts w:ascii="Cambria Math" w:hAnsi="Cambria Math"/>
                                </w:rPr>
                                <m:t>H</m:t>
                              </m:r>
                            </m:e>
                            <m:sub>
                              <m:r>
                                <w:rPr>
                                  <w:rFonts w:ascii="Cambria Math" w:hAnsi="Cambria Math"/>
                                </w:rPr>
                                <m:t>t</m:t>
                              </m:r>
                            </m:sub>
                          </m:sSub>
                        </m:e>
                      </m:nary>
                      <m:r>
                        <m:rPr>
                          <m:sty m:val="p"/>
                        </m:rPr>
                        <w:rPr>
                          <w:rFonts w:ascii="Cambria Math" w:hAnsi="Cambria Math"/>
                        </w:rPr>
                        <m:t> + </m:t>
                      </m:r>
                      <m:sSub>
                        <m:e>
                          <m:r>
                            <w:rPr>
                              <w:rFonts w:ascii="Cambria Math" w:hAnsi="Cambria Math"/>
                            </w:rPr>
                            <m:t>H</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d</m:t>
                      </m:r>
                    </m:sub>
                  </m:sSub>
                </m:e>
              </m:d>
              <m:r>
                <m:rPr>
                  <m:sty m:val="p"/>
                </m:rPr>
                <w:rPr>
                  <w:rFonts w:ascii="Cambria Math" w:hAnsi="Cambria Math"/>
                </w:rPr>
                <m:t> + </m:t>
              </m:r>
              <m:sSub>
                <m:e>
                  <m:r>
                    <w:rPr>
                      <w:rFonts w:ascii="Cambria Math" w:hAnsi="Cambria Math"/>
                    </w:rPr>
                    <m:t>W</m:t>
                  </m:r>
                </m:e>
                <m:sub>
                  <m:r>
                    <m:rPr>
                      <m:sty m:val="p"/>
                    </m:rPr>
                    <w:rPr>
                      <w:rFonts w:ascii="Cambria Math" w:hAnsi="Cambria Math"/>
                    </w:rPr>
                    <m:t>res</m:t>
                  </m:r>
                </m:sub>
              </m:sSub>
              <m:sSub>
                <m:e>
                  <m:r>
                    <w:rPr>
                      <w:rFonts w:ascii="Cambria Math" w:hAnsi="Cambria Math"/>
                    </w:rPr>
                    <m:t>x</m:t>
                  </m:r>
                </m:e>
                <m:sub>
                  <m:r>
                    <w:rPr>
                      <w:rFonts w:ascii="Cambria Math" w:hAnsi="Cambria Math"/>
                    </w:rPr>
                    <m:t>T</m:t>
                  </m:r>
                </m:sub>
              </m:sSub>
            </m:oMath>
          </w:p>
        </w:tc>
        <w:tc>
          <w:tcPr>
            <w:tcW w:type="dxa" w:w="1020"/>
            <w:vAlign w:val="center"/>
          </w:tcPr>
          <w:p>
            <w:pPr>
              <w:spacing w:before="80" w:after="80"/>
              <w:jc w:val="right"/>
            </w:pPr>
            <w:r>
              <w:rPr>
                <w:rFonts w:ascii="Times New Roman" w:hAnsi="Times New Roman"/>
                <w:sz w:val="24"/>
              </w:rPr>
              <w:t>(2.14)</w:t>
            </w:r>
          </w:p>
        </w:tc>
      </w:tr>
    </w:tbl>
    <w:p>
      <w:pPr>
        <w:spacing w:before="60" w:after="120" w:line="360" w:lineRule="auto"/>
        <w:ind w:firstLine="567"/>
        <w:jc w:val="both"/>
      </w:pPr>
      <w:r>
        <w:rPr>
          <w:rFonts w:ascii="Times New Roman" w:hAnsi="Times New Roman"/>
          <w:b w:val="0"/>
          <w:i w:val="0"/>
          <w:sz w:val="24"/>
        </w:rPr>
        <w:t xml:space="preserve">Berdasarkan Persamaan (2.14) di atas, </w:t>
      </w:r>
      <w:r>
        <w:rPr>
          <w:rFonts w:ascii="Times New Roman" w:hAnsi="Times New Roman"/>
          <w:b w:val="0"/>
          <w:i/>
          <w:sz w:val="24"/>
        </w:rPr>
        <w:t>ŷ_(t+1)</w:t>
      </w:r>
      <w:r>
        <w:rPr>
          <w:rFonts w:ascii="Times New Roman" w:hAnsi="Times New Roman"/>
          <w:b w:val="0"/>
          <w:i w:val="0"/>
          <w:sz w:val="24"/>
        </w:rPr>
        <w:t xml:space="preserve"> adalah estimasi harga penutupan Solana pada satu hari ke depan dalam skala ternormalisasi, </w:t>
      </w:r>
      <w:r>
        <w:rPr>
          <w:rFonts w:ascii="Times New Roman" w:hAnsi="Times New Roman"/>
          <w:b w:val="0"/>
          <w:i/>
          <w:sz w:val="24"/>
        </w:rPr>
        <w:t>∑ α_t H_t</w:t>
      </w:r>
      <w:r>
        <w:rPr>
          <w:rFonts w:ascii="Times New Roman" w:hAnsi="Times New Roman"/>
          <w:b w:val="0"/>
          <w:i w:val="0"/>
          <w:sz w:val="24"/>
        </w:rPr>
        <w:t xml:space="preserve"> adalah vektor konteks tertimbang hasil agregasi </w:t>
      </w:r>
      <w:r>
        <w:rPr>
          <w:rFonts w:ascii="Times New Roman" w:hAnsi="Times New Roman"/>
          <w:b w:val="0"/>
          <w:i/>
          <w:sz w:val="24"/>
        </w:rPr>
        <w:t>Temporal Attention</w:t>
      </w:r>
      <w:r>
        <w:rPr>
          <w:rFonts w:ascii="Times New Roman" w:hAnsi="Times New Roman"/>
          <w:b w:val="0"/>
          <w:i w:val="0"/>
          <w:sz w:val="24"/>
        </w:rPr>
        <w:t xml:space="preserve">, </w:t>
      </w:r>
      <w:r>
        <w:rPr>
          <w:rFonts w:ascii="Times New Roman" w:hAnsi="Times New Roman"/>
          <w:b w:val="0"/>
          <w:i/>
          <w:sz w:val="24"/>
        </w:rPr>
        <w:t>H_T</w:t>
      </w:r>
      <w:r>
        <w:rPr>
          <w:rFonts w:ascii="Times New Roman" w:hAnsi="Times New Roman"/>
          <w:b w:val="0"/>
          <w:i w:val="0"/>
          <w:sz w:val="24"/>
        </w:rPr>
        <w:t xml:space="preserve"> adalah status tersembunyi pada langkah waktu paling mutakhir yang ditambahkan sebagai koneksi pintas sekuensial, </w:t>
      </w:r>
      <w:r>
        <w:rPr>
          <w:rFonts w:ascii="Times New Roman" w:hAnsi="Times New Roman"/>
          <w:b w:val="0"/>
          <w:i/>
          <w:sz w:val="24"/>
        </w:rPr>
        <w:t>W_d</w:t>
      </w:r>
      <w:r>
        <w:rPr>
          <w:rFonts w:ascii="Times New Roman" w:hAnsi="Times New Roman"/>
          <w:b w:val="0"/>
          <w:i w:val="0"/>
          <w:sz w:val="24"/>
        </w:rPr>
        <w:t xml:space="preserve"> dan </w:t>
      </w:r>
      <w:r>
        <w:rPr>
          <w:rFonts w:ascii="Times New Roman" w:hAnsi="Times New Roman"/>
          <w:b w:val="0"/>
          <w:i/>
          <w:sz w:val="24"/>
        </w:rPr>
        <w:t>b_d</w:t>
      </w:r>
      <w:r>
        <w:rPr>
          <w:rFonts w:ascii="Times New Roman" w:hAnsi="Times New Roman"/>
          <w:b w:val="0"/>
          <w:i w:val="0"/>
          <w:sz w:val="24"/>
        </w:rPr>
        <w:t xml:space="preserve"> adalah parameter lapisan </w:t>
      </w:r>
      <w:r>
        <w:rPr>
          <w:rFonts w:ascii="Times New Roman" w:hAnsi="Times New Roman"/>
          <w:b w:val="0"/>
          <w:i/>
          <w:sz w:val="24"/>
        </w:rPr>
        <w:t>Dense</w:t>
      </w:r>
      <w:r>
        <w:rPr>
          <w:rFonts w:ascii="Times New Roman" w:hAnsi="Times New Roman"/>
          <w:b w:val="0"/>
          <w:i w:val="0"/>
          <w:sz w:val="24"/>
        </w:rPr>
        <w:t xml:space="preserve"> tersembunyi, serta </w:t>
      </w:r>
      <w:r>
        <w:rPr>
          <w:rFonts w:ascii="Times New Roman" w:hAnsi="Times New Roman"/>
          <w:b w:val="0"/>
          <w:i/>
          <w:sz w:val="24"/>
        </w:rPr>
        <w:t>W_out</w:t>
      </w:r>
      <w:r>
        <w:rPr>
          <w:rFonts w:ascii="Times New Roman" w:hAnsi="Times New Roman"/>
          <w:b w:val="0"/>
          <w:i w:val="0"/>
          <w:sz w:val="24"/>
        </w:rPr>
        <w:t xml:space="preserve"> adalah bobot proyeksi keluaran. Suku tambahan </w:t>
      </w:r>
      <w:r>
        <w:rPr>
          <w:rFonts w:ascii="Times New Roman" w:hAnsi="Times New Roman"/>
          <w:b w:val="0"/>
          <w:i/>
          <w:sz w:val="24"/>
        </w:rPr>
        <w:t>W_res x_T</w:t>
      </w:r>
      <w:r>
        <w:rPr>
          <w:rFonts w:ascii="Times New Roman" w:hAnsi="Times New Roman"/>
          <w:b w:val="0"/>
          <w:i w:val="0"/>
          <w:sz w:val="24"/>
        </w:rPr>
        <w:t xml:space="preserve"> berfungsi sebagai koneksi pintas residual linier (</w:t>
      </w:r>
      <w:r>
        <w:rPr>
          <w:rFonts w:ascii="Times New Roman" w:hAnsi="Times New Roman"/>
          <w:b w:val="0"/>
          <w:i/>
          <w:sz w:val="24"/>
        </w:rPr>
        <w:t>residual skip connection</w:t>
      </w:r>
      <w:r>
        <w:rPr>
          <w:rFonts w:ascii="Times New Roman" w:hAnsi="Times New Roman"/>
          <w:b w:val="0"/>
          <w:i w:val="0"/>
          <w:sz w:val="24"/>
        </w:rPr>
        <w:t xml:space="preserve">) dari vektor fitur hari terakhir </w:t>
      </w:r>
      <w:r>
        <w:rPr>
          <w:rFonts w:ascii="Times New Roman" w:hAnsi="Times New Roman"/>
          <w:b w:val="0"/>
          <w:i/>
          <w:sz w:val="24"/>
        </w:rPr>
        <w:t>x_T</w:t>
      </w:r>
      <w:r>
        <w:rPr>
          <w:rFonts w:ascii="Times New Roman" w:hAnsi="Times New Roman"/>
          <w:b w:val="0"/>
          <w:i w:val="0"/>
          <w:sz w:val="24"/>
        </w:rPr>
        <w:t xml:space="preserve"> untuk menjaga presisi level harga dasar sekaligus menghilangkan bias keterlambatan fase (</w:t>
      </w:r>
      <w:r>
        <w:rPr>
          <w:rFonts w:ascii="Times New Roman" w:hAnsi="Times New Roman"/>
          <w:b w:val="0"/>
          <w:i/>
          <w:sz w:val="24"/>
        </w:rPr>
        <w:t>phase lagging</w:t>
      </w:r>
      <w:r>
        <w:rPr>
          <w:rFonts w:ascii="Times New Roman" w:hAnsi="Times New Roman"/>
          <w:b w:val="0"/>
          <w:i w:val="0"/>
          <w:sz w:val="24"/>
        </w:rPr>
        <w:t>).</w:t>
      </w:r>
    </w:p>
    <w:p>
      <w:pPr>
        <w:keepNext/>
        <w:spacing w:before="160" w:after="60"/>
        <w:jc w:val="center"/>
      </w:pPr>
      <w:r>
        <w:drawing>
          <wp:inline xmlns:a="http://schemas.openxmlformats.org/drawingml/2006/main" xmlns:pic="http://schemas.openxmlformats.org/drawingml/2006/picture">
            <wp:extent cx="5040000" cy="2016000"/>
            <wp:docPr id="2" name="Picture 2"/>
            <wp:cNvGraphicFramePr>
              <a:graphicFrameLocks noChangeAspect="1"/>
            </wp:cNvGraphicFramePr>
            <a:graphic>
              <a:graphicData uri="http://schemas.openxmlformats.org/drawingml/2006/picture">
                <pic:pic>
                  <pic:nvPicPr>
                    <pic:cNvPr id="0" name="fig3_model_architecture.png"/>
                    <pic:cNvPicPr/>
                  </pic:nvPicPr>
                  <pic:blipFill>
                    <a:blip r:embed="rId12"/>
                    <a:stretch>
                      <a:fillRect/>
                    </a:stretch>
                  </pic:blipFill>
                  <pic:spPr>
                    <a:xfrm>
                      <a:off x="0" y="0"/>
                      <a:ext cx="5040000" cy="2016000"/>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2.1 </w:t>
      </w:r>
      <w:r>
        <w:rPr>
          <w:rFonts w:ascii="Times New Roman" w:hAnsi="Times New Roman"/>
          <w:b/>
          <w:i w:val="0"/>
          <w:sz w:val="24"/>
        </w:rPr>
        <w:t xml:space="preserve">Arsitektur Model Hibrida CNN-BiLSTM dengan Mekanisme </w:t>
      </w:r>
      <w:r>
        <w:rPr>
          <w:rFonts w:ascii="Times New Roman" w:hAnsi="Times New Roman"/>
          <w:b/>
          <w:i/>
          <w:sz w:val="24"/>
        </w:rPr>
        <w:t>Temporal Attention</w:t>
      </w:r>
    </w:p>
    <w:p>
      <w:pPr>
        <w:spacing w:line="360" w:lineRule="auto" w:after="160"/>
        <w:ind w:firstLine="567"/>
        <w:jc w:val="both"/>
      </w:pPr>
      <w:r>
        <w:rPr>
          <w:rFonts w:ascii="Times New Roman" w:hAnsi="Times New Roman"/>
          <w:b w:val="0"/>
          <w:i w:val="0"/>
          <w:sz w:val="24"/>
        </w:rPr>
        <w:t xml:space="preserve">Berdasarkan Gambar 2.1 di atas, dapat dijelaskan bahwa arsitektur model hibrida CNN-BiLSTM-Attention yang diusulkan bekerja melalui lima blok pemrosesan terintegrasi dari kiri ke kanan. Blok pertama menerima tensor input sekuensial berukuran 20 langkah waktu × 14 fitur multivariat (mencakup data harga OHLCV serta sembilan indikator teknikal: EMA-14, EMA-50, RSI-14, MACD, MACD Signal, </w:t>
      </w:r>
      <w:r>
        <w:rPr>
          <w:rFonts w:ascii="Times New Roman" w:hAnsi="Times New Roman"/>
          <w:b w:val="0"/>
          <w:i/>
          <w:sz w:val="24"/>
        </w:rPr>
        <w:t>Bollinger Bands</w:t>
      </w:r>
      <w:r>
        <w:rPr>
          <w:rFonts w:ascii="Times New Roman" w:hAnsi="Times New Roman"/>
          <w:b w:val="0"/>
          <w:i w:val="0"/>
          <w:sz w:val="24"/>
        </w:rPr>
        <w:t xml:space="preserve"> Upper/Lower, ATR-14, dan OBV) yang telah dinormalisasi ke dalam rentang [0, 1]. Blok kedua adalah lapisan konvolusi satu dimensi (1D-CNN dengan 32 filter, ukuran kernel k = 3, dan fungsi aktivasi LeakyReLU) yang dilengkapi koneksi proyeksi residual untuk mengekstraksi fitur morfologi lokal lintas indikator pada setiap langkah waktu. Blok ketiga meneruskan peta fitur konvolusional ke dalam lapisan Bidirectional LSTM (terdiri atas 48 unit arah maju / </w:t>
      </w:r>
      <w:r>
        <w:rPr>
          <w:rFonts w:ascii="Times New Roman" w:hAnsi="Times New Roman"/>
          <w:b w:val="0"/>
          <w:i/>
          <w:sz w:val="24"/>
        </w:rPr>
        <w:t>forward pass</w:t>
      </w:r>
      <w:r>
        <w:rPr>
          <w:rFonts w:ascii="Times New Roman" w:hAnsi="Times New Roman"/>
          <w:b w:val="0"/>
          <w:i w:val="0"/>
          <w:sz w:val="24"/>
        </w:rPr>
        <w:t xml:space="preserve"> dan 48 unit arah mundur / </w:t>
      </w:r>
      <w:r>
        <w:rPr>
          <w:rFonts w:ascii="Times New Roman" w:hAnsi="Times New Roman"/>
          <w:b w:val="0"/>
          <w:i/>
          <w:sz w:val="24"/>
        </w:rPr>
        <w:t>backward pass</w:t>
      </w:r>
      <w:r>
        <w:rPr>
          <w:rFonts w:ascii="Times New Roman" w:hAnsi="Times New Roman"/>
          <w:b w:val="0"/>
          <w:i w:val="0"/>
          <w:sz w:val="24"/>
        </w:rPr>
        <w:t xml:space="preserve">) sehingga menghasilkan representasi status tersembunyi dua arah H_t berdimensi 96 unit untuk setiap hari di dalam jendela pengamatan. Blok keempat merupakan lapisan Temporal </w:t>
      </w:r>
      <w:r>
        <w:rPr>
          <w:rFonts w:ascii="Times New Roman" w:hAnsi="Times New Roman"/>
          <w:b w:val="0"/>
          <w:i/>
          <w:sz w:val="24"/>
        </w:rPr>
        <w:t>Bahdanau Attention</w:t>
      </w:r>
      <w:r>
        <w:rPr>
          <w:rFonts w:ascii="Times New Roman" w:hAnsi="Times New Roman"/>
          <w:b w:val="0"/>
          <w:i w:val="0"/>
          <w:sz w:val="24"/>
        </w:rPr>
        <w:t xml:space="preserve"> yang menghitung skor energi keselarasan e_t dan bobot probabilitas Softmax α_t guna menyeleksi langkah waktu historis yang paling berpengaruh dalam membentuk vektor konteks tertimbang. Akhirnya, blok kelima memetakan gabungan vektor konteks dan koneksi pintas residual (</w:t>
      </w:r>
      <w:r>
        <w:rPr>
          <w:rFonts w:ascii="Times New Roman" w:hAnsi="Times New Roman"/>
          <w:b w:val="0"/>
          <w:i/>
          <w:sz w:val="24"/>
        </w:rPr>
        <w:t>skip connection</w:t>
      </w:r>
      <w:r>
        <w:rPr>
          <w:rFonts w:ascii="Times New Roman" w:hAnsi="Times New Roman"/>
          <w:b w:val="0"/>
          <w:i w:val="0"/>
          <w:sz w:val="24"/>
        </w:rPr>
        <w:t>) melalui lapisan Dense(32) dan lapisan keluaran Dense(1) untuk menghasilkan prediksi harga penutupan Solana satu hari ke depan (ŷ_(t+1)) yang akurat dan bebas dari keterlambatan fase.</w:t>
      </w:r>
    </w:p>
    <w:p>
      <w:pPr>
        <w:keepNext/>
        <w:spacing w:before="200" w:after="80" w:line="360" w:lineRule="auto"/>
        <w:jc w:val="left"/>
      </w:pPr>
      <w:r>
        <w:rPr>
          <w:rFonts w:ascii="Times New Roman" w:hAnsi="Times New Roman"/>
          <w:b/>
          <w:sz w:val="24"/>
        </w:rPr>
        <w:t xml:space="preserve">2.2.6.  </w:t>
      </w:r>
      <w:r>
        <w:rPr>
          <w:rFonts w:ascii="Times New Roman" w:hAnsi="Times New Roman"/>
          <w:b/>
          <w:i w:val="0"/>
          <w:sz w:val="24"/>
        </w:rPr>
        <w:t>Metrik Evaluasi Kinerja Model Prediksi</w:t>
      </w:r>
    </w:p>
    <w:p>
      <w:pPr>
        <w:spacing w:line="360" w:lineRule="auto" w:after="120"/>
        <w:ind w:firstLine="567"/>
        <w:jc w:val="both"/>
      </w:pPr>
      <w:r>
        <w:rPr>
          <w:rFonts w:ascii="Times New Roman" w:hAnsi="Times New Roman"/>
          <w:b w:val="0"/>
          <w:i w:val="0"/>
          <w:sz w:val="24"/>
        </w:rPr>
        <w:t xml:space="preserve">Untuk mengukur akurasi prediksi secara objektif dan komprehensif, penelitian ini menggunakan lima metrik evaluasi standar, yaitu </w:t>
      </w:r>
      <w:r>
        <w:rPr>
          <w:rFonts w:ascii="Times New Roman" w:hAnsi="Times New Roman"/>
          <w:b w:val="0"/>
          <w:i/>
          <w:sz w:val="24"/>
        </w:rPr>
        <w:t>Mean Absolute Error</w:t>
      </w:r>
      <w:r>
        <w:rPr>
          <w:rFonts w:ascii="Times New Roman" w:hAnsi="Times New Roman"/>
          <w:b w:val="0"/>
          <w:i w:val="0"/>
          <w:sz w:val="24"/>
        </w:rPr>
        <w:t xml:space="preserve"> (MAE), </w:t>
      </w:r>
      <w:r>
        <w:rPr>
          <w:rFonts w:ascii="Times New Roman" w:hAnsi="Times New Roman"/>
          <w:b w:val="0"/>
          <w:i/>
          <w:sz w:val="24"/>
        </w:rPr>
        <w:t>Root Mean Square Error</w:t>
      </w:r>
      <w:r>
        <w:rPr>
          <w:rFonts w:ascii="Times New Roman" w:hAnsi="Times New Roman"/>
          <w:b w:val="0"/>
          <w:i w:val="0"/>
          <w:sz w:val="24"/>
        </w:rPr>
        <w:t xml:space="preserve"> (RMSE), </w:t>
      </w:r>
      <w:r>
        <w:rPr>
          <w:rFonts w:ascii="Times New Roman" w:hAnsi="Times New Roman"/>
          <w:b w:val="0"/>
          <w:i/>
          <w:sz w:val="24"/>
        </w:rPr>
        <w:t>Mean Absolute Percentage Error</w:t>
      </w:r>
      <w:r>
        <w:rPr>
          <w:rFonts w:ascii="Times New Roman" w:hAnsi="Times New Roman"/>
          <w:b w:val="0"/>
          <w:i w:val="0"/>
          <w:sz w:val="24"/>
        </w:rPr>
        <w:t xml:space="preserve"> (MAPE), Koefisien Determinasi (R²), serta </w:t>
      </w:r>
      <w:r>
        <w:rPr>
          <w:rFonts w:ascii="Times New Roman" w:hAnsi="Times New Roman"/>
          <w:b w:val="0"/>
          <w:i/>
          <w:sz w:val="24"/>
        </w:rPr>
        <w:t>Directional Accuracy</w:t>
      </w:r>
      <w:r>
        <w:rPr>
          <w:rFonts w:ascii="Times New Roman" w:hAnsi="Times New Roman"/>
          <w:b w:val="0"/>
          <w:i w:val="0"/>
          <w:sz w:val="24"/>
        </w:rPr>
        <w:t xml:space="preserve"> (DA) [2], [12], [36]. Metrik pertama adalah </w:t>
      </w:r>
      <w:r>
        <w:rPr>
          <w:rFonts w:ascii="Times New Roman" w:hAnsi="Times New Roman"/>
          <w:b w:val="0"/>
          <w:i/>
          <w:sz w:val="24"/>
        </w:rPr>
        <w:t>Mean Absolute Error</w:t>
      </w:r>
      <w:r>
        <w:rPr>
          <w:rFonts w:ascii="Times New Roman" w:hAnsi="Times New Roman"/>
          <w:b w:val="0"/>
          <w:i w:val="0"/>
          <w:sz w:val="24"/>
        </w:rPr>
        <w:t xml:space="preserve"> (MAE) yang dirumuskan pada Persamaan (2.15):</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r>
                <m:rPr>
                  <m:sty m:val="p"/>
                </m:rPr>
                <w:rPr>
                  <w:rFonts w:ascii="Cambria Math" w:hAnsi="Cambria Math"/>
                </w:rPr>
                <m:t>MAE</m:t>
              </m:r>
              <m:r>
                <m:rPr>
                  <m:sty m:val="p"/>
                </m:rPr>
                <w:rPr>
                  <w:rFonts w:ascii="Cambria Math" w:hAnsi="Cambria Math"/>
                </w:rPr>
                <m:t> = </m:t>
              </m:r>
              <m:f>
                <m:num>
                  <m:r>
                    <m:rPr>
                      <m:sty m:val="p"/>
                    </m:rPr>
                    <w:rPr>
                      <w:rFonts w:ascii="Cambria Math" w:hAnsi="Cambria Math"/>
                    </w:rPr>
                    <m:t>1</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e>
                  </m:d>
                </m:e>
              </m:nary>
            </m:oMath>
          </w:p>
        </w:tc>
        <w:tc>
          <w:tcPr>
            <w:tcW w:type="dxa" w:w="1020"/>
            <w:vAlign w:val="center"/>
          </w:tcPr>
          <w:p>
            <w:pPr>
              <w:spacing w:before="80" w:after="80"/>
              <w:jc w:val="right"/>
            </w:pPr>
            <w:r>
              <w:rPr>
                <w:rFonts w:ascii="Times New Roman" w:hAnsi="Times New Roman"/>
                <w:sz w:val="24"/>
              </w:rPr>
              <w:t>(2.15)</w:t>
            </w:r>
          </w:p>
        </w:tc>
      </w:tr>
    </w:tbl>
    <w:p>
      <w:pPr>
        <w:spacing w:before="60" w:after="120" w:line="360" w:lineRule="auto"/>
        <w:ind w:firstLine="567"/>
        <w:jc w:val="both"/>
      </w:pPr>
      <w:r>
        <w:rPr>
          <w:rFonts w:ascii="Times New Roman" w:hAnsi="Times New Roman"/>
          <w:b w:val="0"/>
          <w:i w:val="0"/>
          <w:sz w:val="24"/>
        </w:rPr>
        <w:t xml:space="preserve">Berdasarkan Persamaan (2.15) di atas, </w:t>
      </w:r>
      <w:r>
        <w:rPr>
          <w:rFonts w:ascii="Times New Roman" w:hAnsi="Times New Roman"/>
          <w:b w:val="0"/>
          <w:i/>
          <w:sz w:val="24"/>
        </w:rPr>
        <w:t>MAE</w:t>
      </w:r>
      <w:r>
        <w:rPr>
          <w:rFonts w:ascii="Times New Roman" w:hAnsi="Times New Roman"/>
          <w:b w:val="0"/>
          <w:i w:val="0"/>
          <w:sz w:val="24"/>
        </w:rPr>
        <w:t xml:space="preserve"> (</w:t>
      </w:r>
      <w:r>
        <w:rPr>
          <w:rFonts w:ascii="Times New Roman" w:hAnsi="Times New Roman"/>
          <w:b w:val="0"/>
          <w:i/>
          <w:sz w:val="24"/>
        </w:rPr>
        <w:t>Mean Absolute Error</w:t>
      </w:r>
      <w:r>
        <w:rPr>
          <w:rFonts w:ascii="Times New Roman" w:hAnsi="Times New Roman"/>
          <w:b w:val="0"/>
          <w:i w:val="0"/>
          <w:sz w:val="24"/>
        </w:rPr>
        <w:t xml:space="preserve">) mengukur rata-rata selisih mutlak antara nilai harga penutupan aktual Solana </w:t>
      </w:r>
      <w:r>
        <w:rPr>
          <w:rFonts w:ascii="Times New Roman" w:hAnsi="Times New Roman"/>
          <w:b w:val="0"/>
          <w:i/>
          <w:sz w:val="24"/>
        </w:rPr>
        <w:t>y_i</w:t>
      </w:r>
      <w:r>
        <w:rPr>
          <w:rFonts w:ascii="Times New Roman" w:hAnsi="Times New Roman"/>
          <w:b w:val="0"/>
          <w:i w:val="0"/>
          <w:sz w:val="24"/>
        </w:rPr>
        <w:t xml:space="preserve"> dan nilai harga hasil prediksi model </w:t>
      </w:r>
      <w:r>
        <w:rPr>
          <w:rFonts w:ascii="Times New Roman" w:hAnsi="Times New Roman"/>
          <w:b w:val="0"/>
          <w:i/>
          <w:sz w:val="24"/>
        </w:rPr>
        <w:t>ŷ_i</w:t>
      </w:r>
      <w:r>
        <w:rPr>
          <w:rFonts w:ascii="Times New Roman" w:hAnsi="Times New Roman"/>
          <w:b w:val="0"/>
          <w:i w:val="0"/>
          <w:sz w:val="24"/>
        </w:rPr>
        <w:t xml:space="preserve"> dalam satuan Dolar Amerika Serikat (USD) pada keseluruhan </w:t>
      </w:r>
      <w:r>
        <w:rPr>
          <w:rFonts w:ascii="Times New Roman" w:hAnsi="Times New Roman"/>
          <w:b w:val="0"/>
          <w:i/>
          <w:sz w:val="24"/>
        </w:rPr>
        <w:t>n</w:t>
      </w:r>
      <w:r>
        <w:rPr>
          <w:rFonts w:ascii="Times New Roman" w:hAnsi="Times New Roman"/>
          <w:b w:val="0"/>
          <w:i w:val="0"/>
          <w:sz w:val="24"/>
        </w:rPr>
        <w:t xml:space="preserve"> sampel pengujian. Karena memberikan bobot linier yang setara pada setiap titik kesalahan tanpa penguadratan, metrik </w:t>
      </w:r>
      <w:r>
        <w:rPr>
          <w:rFonts w:ascii="Times New Roman" w:hAnsi="Times New Roman"/>
          <w:b w:val="0"/>
          <w:i/>
          <w:sz w:val="24"/>
        </w:rPr>
        <w:t>MAE</w:t>
      </w:r>
      <w:r>
        <w:rPr>
          <w:rFonts w:ascii="Times New Roman" w:hAnsi="Times New Roman"/>
          <w:b w:val="0"/>
          <w:i w:val="0"/>
          <w:sz w:val="24"/>
        </w:rPr>
        <w:t xml:space="preserve"> merepresentasikan besaran deviasi harga rata-rata harian yang paling intuitif secara finansial; semakin mendekati 0 nilai </w:t>
      </w:r>
      <w:r>
        <w:rPr>
          <w:rFonts w:ascii="Times New Roman" w:hAnsi="Times New Roman"/>
          <w:b w:val="0"/>
          <w:i/>
          <w:sz w:val="24"/>
        </w:rPr>
        <w:t>MAE</w:t>
      </w:r>
      <w:r>
        <w:rPr>
          <w:rFonts w:ascii="Times New Roman" w:hAnsi="Times New Roman"/>
          <w:b w:val="0"/>
          <w:i w:val="0"/>
          <w:sz w:val="24"/>
        </w:rPr>
        <w:t>, semakin presisi estimasi model.</w:t>
      </w:r>
    </w:p>
    <w:p>
      <w:pPr>
        <w:spacing w:line="360" w:lineRule="auto" w:after="120"/>
        <w:ind w:firstLine="567"/>
        <w:jc w:val="both"/>
      </w:pPr>
      <w:r>
        <w:rPr>
          <w:rFonts w:ascii="Times New Roman" w:hAnsi="Times New Roman"/>
          <w:b w:val="0"/>
          <w:i w:val="0"/>
          <w:sz w:val="24"/>
        </w:rPr>
        <w:t xml:space="preserve">Metrik kedua yang digunakan untuk mengevaluasi kepekaan model terhadap kesalahan prediksi berukuran besar pada saat lonjakan harga adalah </w:t>
      </w:r>
      <w:r>
        <w:rPr>
          <w:rFonts w:ascii="Times New Roman" w:hAnsi="Times New Roman"/>
          <w:b w:val="0"/>
          <w:i/>
          <w:sz w:val="24"/>
        </w:rPr>
        <w:t>Root Mean Square Error</w:t>
      </w:r>
      <w:r>
        <w:rPr>
          <w:rFonts w:ascii="Times New Roman" w:hAnsi="Times New Roman"/>
          <w:b w:val="0"/>
          <w:i w:val="0"/>
          <w:sz w:val="24"/>
        </w:rPr>
        <w:t xml:space="preserve"> (RMSE) sebagaimana dinyatakan pada Persamaan (2.16):</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r>
                <m:rPr>
                  <m:sty m:val="p"/>
                </m:rPr>
                <w:rPr>
                  <w:rFonts w:ascii="Cambria Math" w:hAnsi="Cambria Math"/>
                </w:rPr>
                <m:t>RMSE</m:t>
              </m:r>
              <m:r>
                <m:rPr>
                  <m:sty m:val="p"/>
                </m:rPr>
                <w:rPr>
                  <w:rFonts w:ascii="Cambria Math" w:hAnsi="Cambria Math"/>
                </w:rPr>
                <m:t> = </m:t>
              </m:r>
              <m:rad>
                <m:radPr>
                  <m:degHide m:val="1"/>
                </m:radPr>
                <m:deg/>
                <m:e>
                  <m:f>
                    <m:num>
                      <m:r>
                        <m:rPr>
                          <m:sty m:val="p"/>
                        </m:rPr>
                        <w:rPr>
                          <w:rFonts w:ascii="Cambria Math" w:hAnsi="Cambria Math"/>
                        </w:rPr>
                        <m:t>1</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s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e>
                  </m:nary>
                </m:e>
              </m:rad>
            </m:oMath>
          </w:p>
        </w:tc>
        <w:tc>
          <w:tcPr>
            <w:tcW w:type="dxa" w:w="1020"/>
            <w:vAlign w:val="center"/>
          </w:tcPr>
          <w:p>
            <w:pPr>
              <w:spacing w:before="80" w:after="80"/>
              <w:jc w:val="right"/>
            </w:pPr>
            <w:r>
              <w:rPr>
                <w:rFonts w:ascii="Times New Roman" w:hAnsi="Times New Roman"/>
                <w:sz w:val="24"/>
              </w:rPr>
              <w:t>(2.16)</w:t>
            </w:r>
          </w:p>
        </w:tc>
      </w:tr>
    </w:tbl>
    <w:p>
      <w:pPr>
        <w:spacing w:before="60" w:after="120" w:line="360" w:lineRule="auto"/>
        <w:ind w:firstLine="567"/>
        <w:jc w:val="both"/>
      </w:pPr>
      <w:r>
        <w:rPr>
          <w:rFonts w:ascii="Times New Roman" w:hAnsi="Times New Roman"/>
          <w:b w:val="0"/>
          <w:i w:val="0"/>
          <w:sz w:val="24"/>
        </w:rPr>
        <w:t xml:space="preserve">Berdasarkan Persamaan (2.16) di atas, </w:t>
      </w:r>
      <w:r>
        <w:rPr>
          <w:rFonts w:ascii="Times New Roman" w:hAnsi="Times New Roman"/>
          <w:b w:val="0"/>
          <w:i/>
          <w:sz w:val="24"/>
        </w:rPr>
        <w:t>RMSE</w:t>
      </w:r>
      <w:r>
        <w:rPr>
          <w:rFonts w:ascii="Times New Roman" w:hAnsi="Times New Roman"/>
          <w:b w:val="0"/>
          <w:i w:val="0"/>
          <w:sz w:val="24"/>
        </w:rPr>
        <w:t xml:space="preserve"> (</w:t>
      </w:r>
      <w:r>
        <w:rPr>
          <w:rFonts w:ascii="Times New Roman" w:hAnsi="Times New Roman"/>
          <w:b w:val="0"/>
          <w:i/>
          <w:sz w:val="24"/>
        </w:rPr>
        <w:t>Root Mean Square Error</w:t>
      </w:r>
      <w:r>
        <w:rPr>
          <w:rFonts w:ascii="Times New Roman" w:hAnsi="Times New Roman"/>
          <w:b w:val="0"/>
          <w:i w:val="0"/>
          <w:sz w:val="24"/>
        </w:rPr>
        <w:t xml:space="preserve">) menghitung akar kuadrat dari rata-rata kuadrat selisih antara harga penutupan aktual </w:t>
      </w:r>
      <w:r>
        <w:rPr>
          <w:rFonts w:ascii="Times New Roman" w:hAnsi="Times New Roman"/>
          <w:b w:val="0"/>
          <w:i/>
          <w:sz w:val="24"/>
        </w:rPr>
        <w:t>y_i</w:t>
      </w:r>
      <w:r>
        <w:rPr>
          <w:rFonts w:ascii="Times New Roman" w:hAnsi="Times New Roman"/>
          <w:b w:val="0"/>
          <w:i w:val="0"/>
          <w:sz w:val="24"/>
        </w:rPr>
        <w:t xml:space="preserve"> dan harga prediksi </w:t>
      </w:r>
      <w:r>
        <w:rPr>
          <w:rFonts w:ascii="Times New Roman" w:hAnsi="Times New Roman"/>
          <w:b w:val="0"/>
          <w:i/>
          <w:sz w:val="24"/>
        </w:rPr>
        <w:t>ŷ_i</w:t>
      </w:r>
      <w:r>
        <w:rPr>
          <w:rFonts w:ascii="Times New Roman" w:hAnsi="Times New Roman"/>
          <w:b w:val="0"/>
          <w:i w:val="0"/>
          <w:sz w:val="24"/>
        </w:rPr>
        <w:t xml:space="preserve"> sepanjang </w:t>
      </w:r>
      <w:r>
        <w:rPr>
          <w:rFonts w:ascii="Times New Roman" w:hAnsi="Times New Roman"/>
          <w:b w:val="0"/>
          <w:i/>
          <w:sz w:val="24"/>
        </w:rPr>
        <w:t>n</w:t>
      </w:r>
      <w:r>
        <w:rPr>
          <w:rFonts w:ascii="Times New Roman" w:hAnsi="Times New Roman"/>
          <w:b w:val="0"/>
          <w:i w:val="0"/>
          <w:sz w:val="24"/>
        </w:rPr>
        <w:t xml:space="preserve"> observasi data uji. Proses penguadratan kesalahan sebelum penarikan akar kuadrat menyebabkan metrik </w:t>
      </w:r>
      <w:r>
        <w:rPr>
          <w:rFonts w:ascii="Times New Roman" w:hAnsi="Times New Roman"/>
          <w:b w:val="0"/>
          <w:i/>
          <w:sz w:val="24"/>
        </w:rPr>
        <w:t>RMSE</w:t>
      </w:r>
      <w:r>
        <w:rPr>
          <w:rFonts w:ascii="Times New Roman" w:hAnsi="Times New Roman"/>
          <w:b w:val="0"/>
          <w:i w:val="0"/>
          <w:sz w:val="24"/>
        </w:rPr>
        <w:t xml:space="preserve"> sangat sensitif terhadap kesalahan prediksi berukuran besar (</w:t>
      </w:r>
      <w:r>
        <w:rPr>
          <w:rFonts w:ascii="Times New Roman" w:hAnsi="Times New Roman"/>
          <w:b w:val="0"/>
          <w:i/>
          <w:sz w:val="24"/>
        </w:rPr>
        <w:t>outlier</w:t>
      </w:r>
      <w:r>
        <w:rPr>
          <w:rFonts w:ascii="Times New Roman" w:hAnsi="Times New Roman"/>
          <w:b w:val="0"/>
          <w:i w:val="0"/>
          <w:sz w:val="24"/>
        </w:rPr>
        <w:t>), sehingga metrik ini menjadi indikator utama untuk menilai ketangguhan model saat pasar Solana mengalami lonjakan volatilitas ekstrem.</w:t>
      </w:r>
    </w:p>
    <w:p>
      <w:pPr>
        <w:spacing w:line="360" w:lineRule="auto" w:after="120"/>
        <w:ind w:firstLine="567"/>
        <w:jc w:val="both"/>
      </w:pPr>
      <w:r>
        <w:rPr>
          <w:rFonts w:ascii="Times New Roman" w:hAnsi="Times New Roman"/>
          <w:b w:val="0"/>
          <w:i w:val="0"/>
          <w:sz w:val="24"/>
        </w:rPr>
        <w:t xml:space="preserve">Metrik ketiga adalah </w:t>
      </w:r>
      <w:r>
        <w:rPr>
          <w:rFonts w:ascii="Times New Roman" w:hAnsi="Times New Roman"/>
          <w:b w:val="0"/>
          <w:i/>
          <w:sz w:val="24"/>
        </w:rPr>
        <w:t>Mean Absolute Percentage Error</w:t>
      </w:r>
      <w:r>
        <w:rPr>
          <w:rFonts w:ascii="Times New Roman" w:hAnsi="Times New Roman"/>
          <w:b w:val="0"/>
          <w:i w:val="0"/>
          <w:sz w:val="24"/>
        </w:rPr>
        <w:t xml:space="preserve"> (MAPE) yang mengukur tingkat kesalahan relatif dalam bentuk persentase sebagaimana didefinisikan pada Persamaan (2.17):</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r>
                <m:rPr>
                  <m:sty m:val="p"/>
                </m:rPr>
                <w:rPr>
                  <w:rFonts w:ascii="Cambria Math" w:hAnsi="Cambria Math"/>
                </w:rPr>
                <m:t>MAPE</m:t>
              </m:r>
              <m:r>
                <m:rPr>
                  <m:sty m:val="p"/>
                </m:rPr>
                <w:rPr>
                  <w:rFonts w:ascii="Cambria Math" w:hAnsi="Cambria Math"/>
                </w:rPr>
                <m:t> = </m:t>
              </m:r>
              <m:f>
                <m:num>
                  <m:r>
                    <m:rPr>
                      <m:sty m:val="p"/>
                    </m:rPr>
                    <w:rPr>
                      <w:rFonts w:ascii="Cambria Math" w:hAnsi="Cambria Math"/>
                    </w:rPr>
                    <m:t>100%</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dPr>
                    <m:e>
                      <m:f>
                        <m:num>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num>
                        <m:den>
                          <m:sSub>
                            <m:e>
                              <m:r>
                                <w:rPr>
                                  <w:rFonts w:ascii="Cambria Math" w:hAnsi="Cambria Math"/>
                                </w:rPr>
                                <m:t>y</m:t>
                              </m:r>
                            </m:e>
                            <m:sub>
                              <m:r>
                                <w:rPr>
                                  <w:rFonts w:ascii="Cambria Math" w:hAnsi="Cambria Math"/>
                                </w:rPr>
                                <m:t>i</m:t>
                              </m:r>
                            </m:sub>
                          </m:sSub>
                        </m:den>
                      </m:f>
                    </m:e>
                  </m:d>
                </m:e>
              </m:nary>
            </m:oMath>
          </w:p>
        </w:tc>
        <w:tc>
          <w:tcPr>
            <w:tcW w:type="dxa" w:w="1020"/>
            <w:vAlign w:val="center"/>
          </w:tcPr>
          <w:p>
            <w:pPr>
              <w:spacing w:before="80" w:after="80"/>
              <w:jc w:val="right"/>
            </w:pPr>
            <w:r>
              <w:rPr>
                <w:rFonts w:ascii="Times New Roman" w:hAnsi="Times New Roman"/>
                <w:sz w:val="24"/>
              </w:rPr>
              <w:t>(2.17)</w:t>
            </w:r>
          </w:p>
        </w:tc>
      </w:tr>
    </w:tbl>
    <w:p>
      <w:pPr>
        <w:spacing w:before="60" w:after="120" w:line="360" w:lineRule="auto"/>
        <w:ind w:firstLine="567"/>
        <w:jc w:val="both"/>
      </w:pPr>
      <w:r>
        <w:rPr>
          <w:rFonts w:ascii="Times New Roman" w:hAnsi="Times New Roman"/>
          <w:b w:val="0"/>
          <w:i w:val="0"/>
          <w:sz w:val="24"/>
        </w:rPr>
        <w:t xml:space="preserve">Berdasarkan Persamaan (2.17) di atas, </w:t>
      </w:r>
      <w:r>
        <w:rPr>
          <w:rFonts w:ascii="Times New Roman" w:hAnsi="Times New Roman"/>
          <w:b w:val="0"/>
          <w:i/>
          <w:sz w:val="24"/>
        </w:rPr>
        <w:t>MAPE</w:t>
      </w:r>
      <w:r>
        <w:rPr>
          <w:rFonts w:ascii="Times New Roman" w:hAnsi="Times New Roman"/>
          <w:b w:val="0"/>
          <w:i w:val="0"/>
          <w:sz w:val="24"/>
        </w:rPr>
        <w:t xml:space="preserve"> (</w:t>
      </w:r>
      <w:r>
        <w:rPr>
          <w:rFonts w:ascii="Times New Roman" w:hAnsi="Times New Roman"/>
          <w:b w:val="0"/>
          <w:i/>
          <w:sz w:val="24"/>
        </w:rPr>
        <w:t>Mean Absolute Percentage Error</w:t>
      </w:r>
      <w:r>
        <w:rPr>
          <w:rFonts w:ascii="Times New Roman" w:hAnsi="Times New Roman"/>
          <w:b w:val="0"/>
          <w:i w:val="0"/>
          <w:sz w:val="24"/>
        </w:rPr>
        <w:t xml:space="preserve">) menyatakan rata-rata persentase kesalahan absolut antara harga aktual </w:t>
      </w:r>
      <w:r>
        <w:rPr>
          <w:rFonts w:ascii="Times New Roman" w:hAnsi="Times New Roman"/>
          <w:b w:val="0"/>
          <w:i/>
          <w:sz w:val="24"/>
        </w:rPr>
        <w:t>y_i</w:t>
      </w:r>
      <w:r>
        <w:rPr>
          <w:rFonts w:ascii="Times New Roman" w:hAnsi="Times New Roman"/>
          <w:b w:val="0"/>
          <w:i w:val="0"/>
          <w:sz w:val="24"/>
        </w:rPr>
        <w:t xml:space="preserve"> dan harga prediksi </w:t>
      </w:r>
      <w:r>
        <w:rPr>
          <w:rFonts w:ascii="Times New Roman" w:hAnsi="Times New Roman"/>
          <w:b w:val="0"/>
          <w:i/>
          <w:sz w:val="24"/>
        </w:rPr>
        <w:t>ŷ_i</w:t>
      </w:r>
      <w:r>
        <w:rPr>
          <w:rFonts w:ascii="Times New Roman" w:hAnsi="Times New Roman"/>
          <w:b w:val="0"/>
          <w:i w:val="0"/>
          <w:sz w:val="24"/>
        </w:rPr>
        <w:t xml:space="preserve"> relatif terhadap nilai aktual </w:t>
      </w:r>
      <w:r>
        <w:rPr>
          <w:rFonts w:ascii="Times New Roman" w:hAnsi="Times New Roman"/>
          <w:b w:val="0"/>
          <w:i/>
          <w:sz w:val="24"/>
        </w:rPr>
        <w:t>y_i</w:t>
      </w:r>
      <w:r>
        <w:rPr>
          <w:rFonts w:ascii="Times New Roman" w:hAnsi="Times New Roman"/>
          <w:b w:val="0"/>
          <w:i w:val="0"/>
          <w:sz w:val="24"/>
        </w:rPr>
        <w:t xml:space="preserve"> pada </w:t>
      </w:r>
      <w:r>
        <w:rPr>
          <w:rFonts w:ascii="Times New Roman" w:hAnsi="Times New Roman"/>
          <w:b w:val="0"/>
          <w:i/>
          <w:sz w:val="24"/>
        </w:rPr>
        <w:t>n</w:t>
      </w:r>
      <w:r>
        <w:rPr>
          <w:rFonts w:ascii="Times New Roman" w:hAnsi="Times New Roman"/>
          <w:b w:val="0"/>
          <w:i w:val="0"/>
          <w:sz w:val="24"/>
        </w:rPr>
        <w:t xml:space="preserve"> sampel pengujian. Mengingat nilainya dinyatakan dalam satuan persentase (%) yang bebas skala (</w:t>
      </w:r>
      <w:r>
        <w:rPr>
          <w:rFonts w:ascii="Times New Roman" w:hAnsi="Times New Roman"/>
          <w:b w:val="0"/>
          <w:i/>
          <w:sz w:val="24"/>
        </w:rPr>
        <w:t>scale-independent</w:t>
      </w:r>
      <w:r>
        <w:rPr>
          <w:rFonts w:ascii="Times New Roman" w:hAnsi="Times New Roman"/>
          <w:b w:val="0"/>
          <w:i w:val="0"/>
          <w:sz w:val="24"/>
        </w:rPr>
        <w:t xml:space="preserve">), </w:t>
      </w:r>
      <w:r>
        <w:rPr>
          <w:rFonts w:ascii="Times New Roman" w:hAnsi="Times New Roman"/>
          <w:b w:val="0"/>
          <w:i/>
          <w:sz w:val="24"/>
        </w:rPr>
        <w:t>MAPE</w:t>
      </w:r>
      <w:r>
        <w:rPr>
          <w:rFonts w:ascii="Times New Roman" w:hAnsi="Times New Roman"/>
          <w:b w:val="0"/>
          <w:i w:val="0"/>
          <w:sz w:val="24"/>
        </w:rPr>
        <w:t xml:space="preserve"> memungkinkan perbandingan akurasi model secara adil lintas periode harga yang berbeda maupun terhadap hasil penelitian terdahulu.</w:t>
      </w:r>
    </w:p>
    <w:p>
      <w:pPr>
        <w:spacing w:line="360" w:lineRule="auto" w:after="120"/>
        <w:ind w:firstLine="567"/>
        <w:jc w:val="both"/>
      </w:pPr>
      <w:r>
        <w:rPr>
          <w:rFonts w:ascii="Times New Roman" w:hAnsi="Times New Roman"/>
          <w:b w:val="0"/>
          <w:i w:val="0"/>
          <w:sz w:val="24"/>
        </w:rPr>
        <w:t>Metrik keempat adalah Koefisien Determinasi (R²) untuk menilai proporsi keragaman data aktual yang dapat dijelaskan oleh model sesuai Persamaan (2.18):</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p>
                <m:e>
                  <m:r>
                    <w:rPr>
                      <w:rFonts w:ascii="Cambria Math" w:hAnsi="Cambria Math"/>
                    </w:rPr>
                    <m:t>R</m:t>
                  </m:r>
                </m:e>
                <m:sup>
                  <m:r>
                    <m:rPr>
                      <m:sty m:val="p"/>
                    </m:rPr>
                    <w:rPr>
                      <w:rFonts w:ascii="Cambria Math" w:hAnsi="Cambria Math"/>
                    </w:rPr>
                    <m:t>2</m:t>
                  </m:r>
                </m:sup>
              </m:sSup>
              <m:r>
                <m:rPr>
                  <m:sty m:val="p"/>
                </m:rPr>
                <w:rPr>
                  <w:rFonts w:ascii="Cambria Math" w:hAnsi="Cambria Math"/>
                </w:rPr>
                <m:t> = 1 − </m:t>
              </m:r>
              <m:f>
                <m:num>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s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e>
                  </m:nary>
                </m:num>
                <m:den>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s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acc>
                                <m:accPr>
                                  <m:chr m:val="̄"/>
                                </m:accPr>
                                <m:e>
                                  <m:r>
                                    <w:rPr>
                                      <w:rFonts w:ascii="Cambria Math" w:hAnsi="Cambria Math"/>
                                    </w:rPr>
                                    <m:t>y</m:t>
                                  </m:r>
                                </m:e>
                              </m:acc>
                            </m:e>
                          </m:d>
                        </m:e>
                        <m:sup>
                          <m:r>
                            <m:rPr>
                              <m:sty m:val="p"/>
                            </m:rPr>
                            <w:rPr>
                              <w:rFonts w:ascii="Cambria Math" w:hAnsi="Cambria Math"/>
                            </w:rPr>
                            <m:t>2</m:t>
                          </m:r>
                        </m:sup>
                      </m:sSup>
                    </m:e>
                  </m:nary>
                </m:den>
              </m:f>
            </m:oMath>
          </w:p>
        </w:tc>
        <w:tc>
          <w:tcPr>
            <w:tcW w:type="dxa" w:w="1020"/>
            <w:vAlign w:val="center"/>
          </w:tcPr>
          <w:p>
            <w:pPr>
              <w:spacing w:before="80" w:after="80"/>
              <w:jc w:val="right"/>
            </w:pPr>
            <w:r>
              <w:rPr>
                <w:rFonts w:ascii="Times New Roman" w:hAnsi="Times New Roman"/>
                <w:sz w:val="24"/>
              </w:rPr>
              <w:t>(2.18)</w:t>
            </w:r>
          </w:p>
        </w:tc>
      </w:tr>
    </w:tbl>
    <w:p>
      <w:pPr>
        <w:spacing w:before="60" w:after="120" w:line="360" w:lineRule="auto"/>
        <w:ind w:firstLine="567"/>
        <w:jc w:val="both"/>
      </w:pPr>
      <w:r>
        <w:rPr>
          <w:rFonts w:ascii="Times New Roman" w:hAnsi="Times New Roman"/>
          <w:b w:val="0"/>
          <w:i w:val="0"/>
          <w:sz w:val="24"/>
        </w:rPr>
        <w:t xml:space="preserve">Berdasarkan Persamaan (2.18) di atas, </w:t>
      </w:r>
      <w:r>
        <w:rPr>
          <w:rFonts w:ascii="Times New Roman" w:hAnsi="Times New Roman"/>
          <w:b w:val="0"/>
          <w:i/>
          <w:sz w:val="24"/>
        </w:rPr>
        <w:t>R²</w:t>
      </w:r>
      <w:r>
        <w:rPr>
          <w:rFonts w:ascii="Times New Roman" w:hAnsi="Times New Roman"/>
          <w:b w:val="0"/>
          <w:i w:val="0"/>
          <w:sz w:val="24"/>
        </w:rPr>
        <w:t xml:space="preserve"> (</w:t>
      </w:r>
      <w:r>
        <w:rPr>
          <w:rFonts w:ascii="Times New Roman" w:hAnsi="Times New Roman"/>
          <w:b w:val="0"/>
          <w:i/>
          <w:sz w:val="24"/>
        </w:rPr>
        <w:t>Koefisien Determinasi</w:t>
      </w:r>
      <w:r>
        <w:rPr>
          <w:rFonts w:ascii="Times New Roman" w:hAnsi="Times New Roman"/>
          <w:b w:val="0"/>
          <w:i w:val="0"/>
          <w:sz w:val="24"/>
        </w:rPr>
        <w:t xml:space="preserve">) mengukur proporsi total variansi pergerakan harga aktual Solana </w:t>
      </w:r>
      <w:r>
        <w:rPr>
          <w:rFonts w:ascii="Times New Roman" w:hAnsi="Times New Roman"/>
          <w:b w:val="0"/>
          <w:i/>
          <w:sz w:val="24"/>
        </w:rPr>
        <w:t>y_i</w:t>
      </w:r>
      <w:r>
        <w:rPr>
          <w:rFonts w:ascii="Times New Roman" w:hAnsi="Times New Roman"/>
          <w:b w:val="0"/>
          <w:i w:val="0"/>
          <w:sz w:val="24"/>
        </w:rPr>
        <w:t xml:space="preserve"> terhadap nilai rata-rata aktualnya </w:t>
      </w:r>
      <w:r>
        <w:rPr>
          <w:rFonts w:ascii="Times New Roman" w:hAnsi="Times New Roman"/>
          <w:b w:val="0"/>
          <w:i/>
          <w:sz w:val="24"/>
        </w:rPr>
        <w:t>ȳ</w:t>
      </w:r>
      <w:r>
        <w:rPr>
          <w:rFonts w:ascii="Times New Roman" w:hAnsi="Times New Roman"/>
          <w:b w:val="0"/>
          <w:i w:val="0"/>
          <w:sz w:val="24"/>
        </w:rPr>
        <w:t xml:space="preserve"> yang berhasil dijelaskan oleh variasi prediksi model </w:t>
      </w:r>
      <w:r>
        <w:rPr>
          <w:rFonts w:ascii="Times New Roman" w:hAnsi="Times New Roman"/>
          <w:b w:val="0"/>
          <w:i/>
          <w:sz w:val="24"/>
        </w:rPr>
        <w:t>ŷ_i</w:t>
      </w:r>
      <w:r>
        <w:rPr>
          <w:rFonts w:ascii="Times New Roman" w:hAnsi="Times New Roman"/>
          <w:b w:val="0"/>
          <w:i w:val="0"/>
          <w:sz w:val="24"/>
        </w:rPr>
        <w:t xml:space="preserve"> pada </w:t>
      </w:r>
      <w:r>
        <w:rPr>
          <w:rFonts w:ascii="Times New Roman" w:hAnsi="Times New Roman"/>
          <w:b w:val="0"/>
          <w:i/>
          <w:sz w:val="24"/>
        </w:rPr>
        <w:t>n</w:t>
      </w:r>
      <w:r>
        <w:rPr>
          <w:rFonts w:ascii="Times New Roman" w:hAnsi="Times New Roman"/>
          <w:b w:val="0"/>
          <w:i w:val="0"/>
          <w:sz w:val="24"/>
        </w:rPr>
        <w:t xml:space="preserve"> sampel data uji. Nilai </w:t>
      </w:r>
      <w:r>
        <w:rPr>
          <w:rFonts w:ascii="Times New Roman" w:hAnsi="Times New Roman"/>
          <w:b w:val="0"/>
          <w:i/>
          <w:sz w:val="24"/>
        </w:rPr>
        <w:t>R²</w:t>
      </w:r>
      <w:r>
        <w:rPr>
          <w:rFonts w:ascii="Times New Roman" w:hAnsi="Times New Roman"/>
          <w:b w:val="0"/>
          <w:i w:val="0"/>
          <w:sz w:val="24"/>
        </w:rPr>
        <w:t xml:space="preserve"> berada pada rentang hingga maksimum 1,00; nilai </w:t>
      </w:r>
      <w:r>
        <w:rPr>
          <w:rFonts w:ascii="Times New Roman" w:hAnsi="Times New Roman"/>
          <w:b w:val="0"/>
          <w:i/>
          <w:sz w:val="24"/>
        </w:rPr>
        <w:t>R²</w:t>
      </w:r>
      <w:r>
        <w:rPr>
          <w:rFonts w:ascii="Times New Roman" w:hAnsi="Times New Roman"/>
          <w:b w:val="0"/>
          <w:i w:val="0"/>
          <w:sz w:val="24"/>
        </w:rPr>
        <w:t xml:space="preserve"> yang semakin mendekati 1,00 membuktikan bahwa kurva prediksi model mampu mengikuti pola tren dan fluktuasi harga aktual dengan tingkat kesesuaian (</w:t>
      </w:r>
      <w:r>
        <w:rPr>
          <w:rFonts w:ascii="Times New Roman" w:hAnsi="Times New Roman"/>
          <w:b w:val="0"/>
          <w:i/>
          <w:sz w:val="24"/>
        </w:rPr>
        <w:t>goodness-of-fit</w:t>
      </w:r>
      <w:r>
        <w:rPr>
          <w:rFonts w:ascii="Times New Roman" w:hAnsi="Times New Roman"/>
          <w:b w:val="0"/>
          <w:i w:val="0"/>
          <w:sz w:val="24"/>
        </w:rPr>
        <w:t>) yang sangat tinggi.</w:t>
      </w:r>
    </w:p>
    <w:p>
      <w:pPr>
        <w:spacing w:line="360" w:lineRule="auto" w:after="120"/>
        <w:ind w:firstLine="567"/>
        <w:jc w:val="both"/>
      </w:pPr>
      <w:r>
        <w:rPr>
          <w:rFonts w:ascii="Times New Roman" w:hAnsi="Times New Roman"/>
          <w:b w:val="0"/>
          <w:i w:val="0"/>
          <w:sz w:val="24"/>
        </w:rPr>
        <w:t xml:space="preserve">Metrik kelima adalah </w:t>
      </w:r>
      <w:r>
        <w:rPr>
          <w:rFonts w:ascii="Times New Roman" w:hAnsi="Times New Roman"/>
          <w:b w:val="0"/>
          <w:i/>
          <w:sz w:val="24"/>
        </w:rPr>
        <w:t>Directional Accuracy</w:t>
      </w:r>
      <w:r>
        <w:rPr>
          <w:rFonts w:ascii="Times New Roman" w:hAnsi="Times New Roman"/>
          <w:b w:val="0"/>
          <w:i w:val="0"/>
          <w:sz w:val="24"/>
        </w:rPr>
        <w:t xml:space="preserve"> (DA) yang mengukur kemampuan model dalam memprediksi arah kenaikan atau penurunan harga harian sebagaimana dirumuskan pada Persamaan (2.19):</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r>
                <m:rPr>
                  <m:sty m:val="p"/>
                </m:rPr>
                <w:rPr>
                  <w:rFonts w:ascii="Cambria Math" w:hAnsi="Cambria Math"/>
                </w:rPr>
                <m:t>DA</m:t>
              </m:r>
              <m:r>
                <m:rPr>
                  <m:sty m:val="p"/>
                </m:rPr>
                <w:rPr>
                  <w:rFonts w:ascii="Cambria Math" w:hAnsi="Cambria Math"/>
                </w:rPr>
                <m:t> = </m:t>
              </m:r>
              <m:f>
                <m:num>
                  <m:r>
                    <m:rPr>
                      <m:sty m:val="p"/>
                    </m:rPr>
                    <w:rPr>
                      <w:rFonts w:ascii="Cambria Math" w:hAnsi="Cambria Math"/>
                    </w:rPr>
                    <m:t>100%</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𝕀</m:t>
                  </m:r>
                  <m:d>
                    <m:dPr>
                      <m:begChr m:val="("/>
                      <m:endChr m:val=")"/>
                    </m:dPr>
                    <m:e>
                      <m:r>
                        <m:rPr>
                          <m:sty m:val="p"/>
                        </m:rPr>
                        <w:rPr>
                          <w:rFonts w:ascii="Cambria Math" w:hAnsi="Cambria Math"/>
                        </w:rPr>
                        <m:t>sgn</m:t>
                      </m:r>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r>
                                <w:rPr>
                                  <w:rFonts w:ascii="Cambria Math" w:hAnsi="Cambria Math"/>
                                </w:rPr>
                                <m:t>y</m:t>
                              </m:r>
                            </m:e>
                            <m:sub>
                              <m:r>
                                <w:rPr>
                                  <w:rFonts w:ascii="Cambria Math" w:hAnsi="Cambria Math"/>
                                </w:rPr>
                                <m:t>i</m:t>
                              </m:r>
                              <m:r>
                                <m:rPr>
                                  <m:sty m:val="p"/>
                                </m:rPr>
                                <w:rPr>
                                  <w:rFonts w:ascii="Cambria Math" w:hAnsi="Cambria Math"/>
                                </w:rPr>
                                <m:t>−1</m:t>
                              </m:r>
                            </m:sub>
                          </m:sSub>
                        </m:e>
                      </m:d>
                      <m:r>
                        <m:rPr>
                          <m:sty m:val="p"/>
                        </m:rPr>
                        <w:rPr>
                          <w:rFonts w:ascii="Cambria Math" w:hAnsi="Cambria Math"/>
                        </w:rPr>
                        <m:t> = </m:t>
                      </m:r>
                      <m:r>
                        <m:rPr>
                          <m:sty m:val="p"/>
                        </m:rPr>
                        <w:rPr>
                          <w:rFonts w:ascii="Cambria Math" w:hAnsi="Cambria Math"/>
                        </w:rPr>
                        <m:t>sgn</m:t>
                      </m:r>
                      <m:d>
                        <m:dPr>
                          <m:begChr m:val="("/>
                          <m:endChr m:val=")"/>
                        </m:dPr>
                        <m:e>
                          <m:sSub>
                            <m:e>
                              <m:acc>
                                <m:accPr>
                                  <m:chr m:val="̂"/>
                                </m:accPr>
                                <m:e>
                                  <m:r>
                                    <w:rPr>
                                      <w:rFonts w:ascii="Cambria Math" w:hAnsi="Cambria Math"/>
                                    </w:rPr>
                                    <m:t>y</m:t>
                                  </m:r>
                                </m:e>
                              </m:acc>
                            </m:e>
                            <m:sub>
                              <m:r>
                                <w:rPr>
                                  <w:rFonts w:ascii="Cambria Math" w:hAnsi="Cambria Math"/>
                                </w:rPr>
                                <m:t>i</m:t>
                              </m:r>
                            </m:sub>
                          </m:sSub>
                          <m:r>
                            <m:rPr>
                              <m:sty m:val="p"/>
                            </m:rPr>
                            <w:rPr>
                              <w:rFonts w:ascii="Cambria Math" w:hAnsi="Cambria Math"/>
                            </w:rPr>
                            <m:t> − </m:t>
                          </m:r>
                          <m:sSub>
                            <m:e>
                              <m:r>
                                <w:rPr>
                                  <w:rFonts w:ascii="Cambria Math" w:hAnsi="Cambria Math"/>
                                </w:rPr>
                                <m:t>y</m:t>
                              </m:r>
                            </m:e>
                            <m:sub>
                              <m:r>
                                <w:rPr>
                                  <w:rFonts w:ascii="Cambria Math" w:hAnsi="Cambria Math"/>
                                </w:rPr>
                                <m:t>i</m:t>
                              </m:r>
                              <m:r>
                                <m:rPr>
                                  <m:sty m:val="p"/>
                                </m:rPr>
                                <w:rPr>
                                  <w:rFonts w:ascii="Cambria Math" w:hAnsi="Cambria Math"/>
                                </w:rPr>
                                <m:t>−1</m:t>
                              </m:r>
                            </m:sub>
                          </m:sSub>
                        </m:e>
                      </m:d>
                    </m:e>
                  </m:d>
                </m:e>
              </m:nary>
            </m:oMath>
          </w:p>
        </w:tc>
        <w:tc>
          <w:tcPr>
            <w:tcW w:type="dxa" w:w="1020"/>
            <w:vAlign w:val="center"/>
          </w:tcPr>
          <w:p>
            <w:pPr>
              <w:spacing w:before="80" w:after="80"/>
              <w:jc w:val="right"/>
            </w:pPr>
            <w:r>
              <w:rPr>
                <w:rFonts w:ascii="Times New Roman" w:hAnsi="Times New Roman"/>
                <w:sz w:val="24"/>
              </w:rPr>
              <w:t>(2.19)</w:t>
            </w:r>
          </w:p>
        </w:tc>
      </w:tr>
    </w:tbl>
    <w:p>
      <w:pPr>
        <w:spacing w:before="60" w:after="120" w:line="360" w:lineRule="auto"/>
        <w:ind w:firstLine="567"/>
        <w:jc w:val="both"/>
      </w:pPr>
      <w:r>
        <w:rPr>
          <w:rFonts w:ascii="Times New Roman" w:hAnsi="Times New Roman"/>
          <w:b w:val="0"/>
          <w:i w:val="0"/>
          <w:sz w:val="24"/>
        </w:rPr>
        <w:t xml:space="preserve">Berdasarkan Persamaan (2.19) di atas, </w:t>
      </w:r>
      <w:r>
        <w:rPr>
          <w:rFonts w:ascii="Times New Roman" w:hAnsi="Times New Roman"/>
          <w:b w:val="0"/>
          <w:i/>
          <w:sz w:val="24"/>
        </w:rPr>
        <w:t>DA</w:t>
      </w:r>
      <w:r>
        <w:rPr>
          <w:rFonts w:ascii="Times New Roman" w:hAnsi="Times New Roman"/>
          <w:b w:val="0"/>
          <w:i w:val="0"/>
          <w:sz w:val="24"/>
        </w:rPr>
        <w:t xml:space="preserve"> (</w:t>
      </w:r>
      <w:r>
        <w:rPr>
          <w:rFonts w:ascii="Times New Roman" w:hAnsi="Times New Roman"/>
          <w:b w:val="0"/>
          <w:i/>
          <w:sz w:val="24"/>
        </w:rPr>
        <w:t>Directional Accuracy</w:t>
      </w:r>
      <w:r>
        <w:rPr>
          <w:rFonts w:ascii="Times New Roman" w:hAnsi="Times New Roman"/>
          <w:b w:val="0"/>
          <w:i w:val="0"/>
          <w:sz w:val="24"/>
        </w:rPr>
        <w:t>) mengukur persentase ketepatan model dalam menebak arah pergerakan harga harian (naik atau turun) dari hari ke-</w:t>
      </w:r>
      <w:r>
        <w:rPr>
          <w:rFonts w:ascii="Times New Roman" w:hAnsi="Times New Roman"/>
          <w:b w:val="0"/>
          <w:i/>
          <w:sz w:val="24"/>
        </w:rPr>
        <w:t>(i-1)</w:t>
      </w:r>
      <w:r>
        <w:rPr>
          <w:rFonts w:ascii="Times New Roman" w:hAnsi="Times New Roman"/>
          <w:b w:val="0"/>
          <w:i w:val="0"/>
          <w:sz w:val="24"/>
        </w:rPr>
        <w:t xml:space="preserve"> menuju hari ke-</w:t>
      </w:r>
      <w:r>
        <w:rPr>
          <w:rFonts w:ascii="Times New Roman" w:hAnsi="Times New Roman"/>
          <w:b w:val="0"/>
          <w:i/>
          <w:sz w:val="24"/>
        </w:rPr>
        <w:t>i</w:t>
      </w:r>
      <w:r>
        <w:rPr>
          <w:rFonts w:ascii="Times New Roman" w:hAnsi="Times New Roman"/>
          <w:b w:val="0"/>
          <w:i w:val="0"/>
          <w:sz w:val="24"/>
        </w:rPr>
        <w:t xml:space="preserve"> pada </w:t>
      </w:r>
      <w:r>
        <w:rPr>
          <w:rFonts w:ascii="Times New Roman" w:hAnsi="Times New Roman"/>
          <w:b w:val="0"/>
          <w:i/>
          <w:sz w:val="24"/>
        </w:rPr>
        <w:t>n</w:t>
      </w:r>
      <w:r>
        <w:rPr>
          <w:rFonts w:ascii="Times New Roman" w:hAnsi="Times New Roman"/>
          <w:b w:val="0"/>
          <w:i w:val="0"/>
          <w:sz w:val="24"/>
        </w:rPr>
        <w:t xml:space="preserve"> sampel pengujian, di mana </w:t>
      </w:r>
      <w:r>
        <w:rPr>
          <w:rFonts w:ascii="Times New Roman" w:hAnsi="Times New Roman"/>
          <w:b w:val="0"/>
          <w:i/>
          <w:sz w:val="24"/>
        </w:rPr>
        <w:t>sgn(·)</w:t>
      </w:r>
      <w:r>
        <w:rPr>
          <w:rFonts w:ascii="Times New Roman" w:hAnsi="Times New Roman"/>
          <w:b w:val="0"/>
          <w:i w:val="0"/>
          <w:sz w:val="24"/>
        </w:rPr>
        <w:t xml:space="preserve"> adalah fungsi tanda matematika (+1 jika naik, -1 jika turun) dan </w:t>
      </w:r>
      <w:r>
        <w:rPr>
          <w:rFonts w:ascii="Times New Roman" w:hAnsi="Times New Roman"/>
          <w:b w:val="0"/>
          <w:i/>
          <w:sz w:val="24"/>
        </w:rPr>
        <w:t>𝕀(·)</w:t>
      </w:r>
      <w:r>
        <w:rPr>
          <w:rFonts w:ascii="Times New Roman" w:hAnsi="Times New Roman"/>
          <w:b w:val="0"/>
          <w:i w:val="0"/>
          <w:sz w:val="24"/>
        </w:rPr>
        <w:t xml:space="preserve"> merupakan fungsi indikator yang bernilai 1 apabila arah perubahan prediksi </w:t>
      </w:r>
      <w:r>
        <w:rPr>
          <w:rFonts w:ascii="Times New Roman" w:hAnsi="Times New Roman"/>
          <w:b w:val="0"/>
          <w:i/>
          <w:sz w:val="24"/>
        </w:rPr>
        <w:t>ŷ_i − y_(i-1)</w:t>
      </w:r>
      <w:r>
        <w:rPr>
          <w:rFonts w:ascii="Times New Roman" w:hAnsi="Times New Roman"/>
          <w:b w:val="0"/>
          <w:i w:val="0"/>
          <w:sz w:val="24"/>
        </w:rPr>
        <w:t xml:space="preserve"> sama dengan arah perubahan aktual </w:t>
      </w:r>
      <w:r>
        <w:rPr>
          <w:rFonts w:ascii="Times New Roman" w:hAnsi="Times New Roman"/>
          <w:b w:val="0"/>
          <w:i/>
          <w:sz w:val="24"/>
        </w:rPr>
        <w:t>y_i − y_(i-1)</w:t>
      </w:r>
      <w:r>
        <w:rPr>
          <w:rFonts w:ascii="Times New Roman" w:hAnsi="Times New Roman"/>
          <w:b w:val="0"/>
          <w:i w:val="0"/>
          <w:sz w:val="24"/>
        </w:rPr>
        <w:t xml:space="preserve">, serta bernilai 0 jika berlawanan. Metrik </w:t>
      </w:r>
      <w:r>
        <w:rPr>
          <w:rFonts w:ascii="Times New Roman" w:hAnsi="Times New Roman"/>
          <w:b w:val="0"/>
          <w:i/>
          <w:sz w:val="24"/>
        </w:rPr>
        <w:t>DA</w:t>
      </w:r>
      <w:r>
        <w:rPr>
          <w:rFonts w:ascii="Times New Roman" w:hAnsi="Times New Roman"/>
          <w:b w:val="0"/>
          <w:i w:val="0"/>
          <w:sz w:val="24"/>
        </w:rPr>
        <w:t xml:space="preserve"> sangat krusial untuk memverifikasi bahwa model benar-benar mengenali titik balik tren pasar dan tidak sekadar menyalin harga hari sebelumnya (</w:t>
      </w:r>
      <w:r>
        <w:rPr>
          <w:rFonts w:ascii="Times New Roman" w:hAnsi="Times New Roman"/>
          <w:b w:val="0"/>
          <w:i/>
          <w:sz w:val="24"/>
        </w:rPr>
        <w:t>shadowing effect</w:t>
      </w:r>
      <w:r>
        <w:rPr>
          <w:rFonts w:ascii="Times New Roman" w:hAnsi="Times New Roman"/>
          <w:b w:val="0"/>
          <w:i w:val="0"/>
          <w:sz w:val="24"/>
        </w:rPr>
        <w:t>).</w:t>
      </w:r>
    </w:p>
    <w:p>
      <w:pPr>
        <w:spacing w:line="360" w:lineRule="auto" w:after="120"/>
        <w:ind w:firstLine="567"/>
        <w:jc w:val="both"/>
      </w:pPr>
      <w:r>
        <w:rPr>
          <w:rFonts w:ascii="Times New Roman" w:hAnsi="Times New Roman"/>
          <w:b w:val="0"/>
          <w:i w:val="0"/>
          <w:sz w:val="24"/>
        </w:rPr>
        <w:t>Interpretasi kelayakan model peramalan berdasarkan nilai MAPE mengacu pada klasifikasi baku yang disajikan pada Tabel 2.2, sedangkan keterkaitan menyeluruh antar-komponen teori dan rencana penelitian dirangkum dalam peta konsep penelitian (</w:t>
      </w:r>
      <w:r>
        <w:rPr>
          <w:rFonts w:ascii="Times New Roman" w:hAnsi="Times New Roman"/>
          <w:b w:val="0"/>
          <w:i/>
          <w:sz w:val="24"/>
        </w:rPr>
        <w:t>Research Mind Map</w:t>
      </w:r>
      <w:r>
        <w:rPr>
          <w:rFonts w:ascii="Times New Roman" w:hAnsi="Times New Roman"/>
          <w:b w:val="0"/>
          <w:i w:val="0"/>
          <w:sz w:val="24"/>
        </w:rPr>
        <w:t>) pada Gambar 2.2.</w:t>
      </w:r>
    </w:p>
    <w:p>
      <w:pPr>
        <w:keepNext/>
        <w:spacing w:before="160" w:after="60" w:line="276" w:lineRule="auto"/>
        <w:jc w:val="left"/>
      </w:pPr>
      <w:r>
        <w:rPr>
          <w:rFonts w:ascii="Times New Roman" w:hAnsi="Times New Roman"/>
          <w:b/>
          <w:sz w:val="24"/>
        </w:rPr>
        <w:t xml:space="preserve">Tabel 2.2 </w:t>
      </w:r>
      <w:r>
        <w:rPr>
          <w:rFonts w:ascii="Times New Roman" w:hAnsi="Times New Roman"/>
          <w:b/>
          <w:i w:val="0"/>
          <w:sz w:val="24"/>
        </w:rPr>
        <w:t>Kriteria Interpretasi Akurasi Prediksi Berdasarkan Nilai MAPE</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1F2"/>
            <w:vAlign w:val="center"/>
          </w:tcPr>
          <w:p>
            <w:pPr>
              <w:spacing w:line="276" w:lineRule="auto" w:before="60" w:after="60"/>
              <w:jc w:val="center"/>
            </w:pPr>
            <w:r>
              <w:rPr>
                <w:rFonts w:ascii="Times New Roman" w:hAnsi="Times New Roman"/>
                <w:b/>
                <w:sz w:val="19"/>
              </w:rPr>
              <w:t>Rentang Nilai MAPE</w:t>
            </w:r>
          </w:p>
        </w:tc>
        <w:tc>
          <w:tcPr>
            <w:tcW w:type="dxa" w:w="2646"/>
            <w:shd w:fill="D9E1F2"/>
            <w:vAlign w:val="center"/>
          </w:tcPr>
          <w:p>
            <w:pPr>
              <w:spacing w:line="276" w:lineRule="auto" w:before="60" w:after="60"/>
              <w:jc w:val="center"/>
            </w:pPr>
            <w:r>
              <w:rPr>
                <w:rFonts w:ascii="Times New Roman" w:hAnsi="Times New Roman"/>
                <w:b/>
                <w:sz w:val="19"/>
              </w:rPr>
              <w:t>Kategori Kinerja Model</w:t>
            </w:r>
          </w:p>
        </w:tc>
        <w:tc>
          <w:tcPr>
            <w:tcW w:type="dxa" w:w="2646"/>
            <w:shd w:fill="D9E1F2"/>
            <w:vAlign w:val="center"/>
          </w:tcPr>
          <w:p>
            <w:pPr>
              <w:spacing w:line="276" w:lineRule="auto" w:before="60" w:after="60"/>
              <w:jc w:val="center"/>
            </w:pPr>
            <w:r>
              <w:rPr>
                <w:rFonts w:ascii="Times New Roman" w:hAnsi="Times New Roman"/>
                <w:b/>
                <w:sz w:val="19"/>
              </w:rPr>
              <w:t>Makna Interpretasi pada Prediksi Harga Kripto</w:t>
            </w:r>
          </w:p>
        </w:tc>
      </w:tr>
      <w:tr>
        <w:tc>
          <w:tcPr>
            <w:tcW w:type="dxa" w:w="2646"/>
            <w:vAlign w:val="center"/>
          </w:tcPr>
          <w:p>
            <w:pPr>
              <w:spacing w:line="276" w:lineRule="auto" w:before="40" w:after="40"/>
            </w:pPr>
            <w:r>
              <w:rPr>
                <w:rFonts w:ascii="Times New Roman" w:hAnsi="Times New Roman"/>
                <w:sz w:val="19"/>
              </w:rPr>
              <w:t>&lt; 10%</w:t>
            </w:r>
          </w:p>
        </w:tc>
        <w:tc>
          <w:tcPr>
            <w:tcW w:type="dxa" w:w="2646"/>
            <w:vAlign w:val="center"/>
          </w:tcPr>
          <w:p>
            <w:pPr>
              <w:spacing w:line="276" w:lineRule="auto" w:before="40" w:after="40"/>
            </w:pPr>
            <w:r>
              <w:rPr>
                <w:rFonts w:ascii="Times New Roman" w:hAnsi="Times New Roman"/>
                <w:sz w:val="19"/>
              </w:rPr>
              <w:t>Sangat Akurat (Highly Accurate)</w:t>
            </w:r>
          </w:p>
        </w:tc>
        <w:tc>
          <w:tcPr>
            <w:tcW w:type="dxa" w:w="2646"/>
            <w:vAlign w:val="center"/>
          </w:tcPr>
          <w:p>
            <w:pPr>
              <w:spacing w:line="276" w:lineRule="auto" w:before="40" w:after="40"/>
            </w:pPr>
            <w:r>
              <w:rPr>
                <w:rFonts w:ascii="Times New Roman" w:hAnsi="Times New Roman"/>
                <w:sz w:val="19"/>
              </w:rPr>
              <w:t>Estimasi model sangat presisi dan layak digunakan sebagai acuan pendukung keputusan.</w:t>
            </w:r>
          </w:p>
        </w:tc>
      </w:tr>
      <w:tr>
        <w:tc>
          <w:tcPr>
            <w:tcW w:type="dxa" w:w="2646"/>
            <w:vAlign w:val="center"/>
          </w:tcPr>
          <w:p>
            <w:pPr>
              <w:spacing w:line="276" w:lineRule="auto" w:before="40" w:after="40"/>
            </w:pPr>
            <w:r>
              <w:rPr>
                <w:rFonts w:ascii="Times New Roman" w:hAnsi="Times New Roman"/>
                <w:sz w:val="19"/>
              </w:rPr>
              <w:t>10% – 20%</w:t>
            </w:r>
          </w:p>
        </w:tc>
        <w:tc>
          <w:tcPr>
            <w:tcW w:type="dxa" w:w="2646"/>
            <w:vAlign w:val="center"/>
          </w:tcPr>
          <w:p>
            <w:pPr>
              <w:spacing w:line="276" w:lineRule="auto" w:before="40" w:after="40"/>
            </w:pPr>
            <w:r>
              <w:rPr>
                <w:rFonts w:ascii="Times New Roman" w:hAnsi="Times New Roman"/>
                <w:sz w:val="19"/>
              </w:rPr>
              <w:t>Baik (Good Forecasting)</w:t>
            </w:r>
          </w:p>
        </w:tc>
        <w:tc>
          <w:tcPr>
            <w:tcW w:type="dxa" w:w="2646"/>
            <w:vAlign w:val="center"/>
          </w:tcPr>
          <w:p>
            <w:pPr>
              <w:spacing w:line="276" w:lineRule="auto" w:before="40" w:after="40"/>
            </w:pPr>
            <w:r>
              <w:rPr>
                <w:rFonts w:ascii="Times New Roman" w:hAnsi="Times New Roman"/>
                <w:sz w:val="19"/>
              </w:rPr>
              <w:t>Model mampu mengikuti arah dan level harga dengan deviasi wajar.</w:t>
            </w:r>
          </w:p>
        </w:tc>
      </w:tr>
      <w:tr>
        <w:tc>
          <w:tcPr>
            <w:tcW w:type="dxa" w:w="2646"/>
            <w:vAlign w:val="center"/>
          </w:tcPr>
          <w:p>
            <w:pPr>
              <w:spacing w:line="276" w:lineRule="auto" w:before="40" w:after="40"/>
            </w:pPr>
            <w:r>
              <w:rPr>
                <w:rFonts w:ascii="Times New Roman" w:hAnsi="Times New Roman"/>
                <w:sz w:val="19"/>
              </w:rPr>
              <w:t>20% – 50%</w:t>
            </w:r>
          </w:p>
        </w:tc>
        <w:tc>
          <w:tcPr>
            <w:tcW w:type="dxa" w:w="2646"/>
            <w:vAlign w:val="center"/>
          </w:tcPr>
          <w:p>
            <w:pPr>
              <w:spacing w:line="276" w:lineRule="auto" w:before="40" w:after="40"/>
            </w:pPr>
            <w:r>
              <w:rPr>
                <w:rFonts w:ascii="Times New Roman" w:hAnsi="Times New Roman"/>
                <w:sz w:val="19"/>
              </w:rPr>
              <w:t>Cukup (Reasonable Forecasting)</w:t>
            </w:r>
          </w:p>
        </w:tc>
        <w:tc>
          <w:tcPr>
            <w:tcW w:type="dxa" w:w="2646"/>
            <w:vAlign w:val="center"/>
          </w:tcPr>
          <w:p>
            <w:pPr>
              <w:spacing w:line="276" w:lineRule="auto" w:before="40" w:after="40"/>
            </w:pPr>
            <w:r>
              <w:rPr>
                <w:rFonts w:ascii="Times New Roman" w:hAnsi="Times New Roman"/>
                <w:sz w:val="19"/>
              </w:rPr>
              <w:t>Model menangkap tren umum namun kurang akurat pada fluktuasi tajam.</w:t>
            </w:r>
          </w:p>
        </w:tc>
      </w:tr>
      <w:tr>
        <w:tc>
          <w:tcPr>
            <w:tcW w:type="dxa" w:w="2646"/>
            <w:vAlign w:val="center"/>
          </w:tcPr>
          <w:p>
            <w:pPr>
              <w:spacing w:line="276" w:lineRule="auto" w:before="40" w:after="40"/>
            </w:pPr>
            <w:r>
              <w:rPr>
                <w:rFonts w:ascii="Times New Roman" w:hAnsi="Times New Roman"/>
                <w:sz w:val="19"/>
              </w:rPr>
              <w:t>&gt; 50%</w:t>
            </w:r>
          </w:p>
        </w:tc>
        <w:tc>
          <w:tcPr>
            <w:tcW w:type="dxa" w:w="2646"/>
            <w:vAlign w:val="center"/>
          </w:tcPr>
          <w:p>
            <w:pPr>
              <w:spacing w:line="276" w:lineRule="auto" w:before="40" w:after="40"/>
            </w:pPr>
            <w:r>
              <w:rPr>
                <w:rFonts w:ascii="Times New Roman" w:hAnsi="Times New Roman"/>
                <w:sz w:val="19"/>
              </w:rPr>
              <w:t>Tidak Akurat (Inaccurate Forecasting)</w:t>
            </w:r>
          </w:p>
        </w:tc>
        <w:tc>
          <w:tcPr>
            <w:tcW w:type="dxa" w:w="2646"/>
            <w:vAlign w:val="center"/>
          </w:tcPr>
          <w:p>
            <w:pPr>
              <w:spacing w:line="276" w:lineRule="auto" w:before="40" w:after="40"/>
            </w:pPr>
            <w:r>
              <w:rPr>
                <w:rFonts w:ascii="Times New Roman" w:hAnsi="Times New Roman"/>
                <w:sz w:val="19"/>
              </w:rPr>
              <w:t>Model gagal merepresentasikan pola deret waktu.</w:t>
            </w:r>
          </w:p>
        </w:tc>
      </w:tr>
    </w:tbl>
    <w:p>
      <w:pPr>
        <w:spacing w:line="360" w:lineRule="auto" w:after="120"/>
        <w:ind w:firstLine="567"/>
        <w:jc w:val="both"/>
      </w:pPr>
      <w:r>
        <w:rPr>
          <w:rFonts w:ascii="Times New Roman" w:hAnsi="Times New Roman"/>
          <w:b w:val="0"/>
          <w:i w:val="0"/>
          <w:sz w:val="24"/>
        </w:rPr>
        <w:t>Berdasarkan Tabel 2.2 di atas, standar kelayakan akurasi peramalan deret waktu dikelompokkan ke dalam empat tingkat kinerja berdasarkan ambang persentase kesalahan MAPE. Kategori tertinggi adalah Sangat Akurat (Highly Accurate) apabila nilai MAPE berada di bawah 10%, diikuti oleh kategori Baik (10% hingga 20%), Cukup (20% hingga 50%), serta Tidak Akurat apabila nilai MAPE melebihi 50%. Dalam penelitian ini, target kinerja model hibrida CNN-BiLSTM-Attention ditetapkan tidak hanya sekadar berada di bawah ambang 10%, melainkan mampu menekan nilai MAPE pengujian hingga di bawah 2,00% sehingga memenuhi kualifikasi presisi tertinggi untuk sistem pendukung keputusan pada pasar kripto Solana.</w:t>
      </w:r>
    </w:p>
    <w:p>
      <w:pPr>
        <w:keepNext/>
        <w:spacing w:before="160" w:after="60"/>
        <w:jc w:val="center"/>
      </w:pPr>
      <w:r>
        <w:drawing>
          <wp:inline xmlns:a="http://schemas.openxmlformats.org/drawingml/2006/main" xmlns:pic="http://schemas.openxmlformats.org/drawingml/2006/picture">
            <wp:extent cx="5040000" cy="3360000"/>
            <wp:docPr id="3" name="Picture 3"/>
            <wp:cNvGraphicFramePr>
              <a:graphicFrameLocks noChangeAspect="1"/>
            </wp:cNvGraphicFramePr>
            <a:graphic>
              <a:graphicData uri="http://schemas.openxmlformats.org/drawingml/2006/picture">
                <pic:pic>
                  <pic:nvPicPr>
                    <pic:cNvPr id="0" name="research_mind_map_solana.png"/>
                    <pic:cNvPicPr/>
                  </pic:nvPicPr>
                  <pic:blipFill>
                    <a:blip r:embed="rId13"/>
                    <a:stretch>
                      <a:fillRect/>
                    </a:stretch>
                  </pic:blipFill>
                  <pic:spPr>
                    <a:xfrm>
                      <a:off x="0" y="0"/>
                      <a:ext cx="5040000" cy="3360000"/>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2.2 </w:t>
      </w:r>
      <w:r>
        <w:rPr>
          <w:rFonts w:ascii="Times New Roman" w:hAnsi="Times New Roman"/>
          <w:b/>
          <w:i w:val="0"/>
          <w:sz w:val="24"/>
        </w:rPr>
        <w:t>Peta Konsep Penelitian (</w:t>
      </w:r>
      <w:r>
        <w:rPr>
          <w:rFonts w:ascii="Times New Roman" w:hAnsi="Times New Roman"/>
          <w:b/>
          <w:i/>
          <w:sz w:val="24"/>
        </w:rPr>
        <w:t>Research Mind Map</w:t>
      </w:r>
      <w:r>
        <w:rPr>
          <w:rFonts w:ascii="Times New Roman" w:hAnsi="Times New Roman"/>
          <w:b/>
          <w:i w:val="0"/>
          <w:sz w:val="24"/>
        </w:rPr>
        <w:t>) Prediksi Harga Solana</w:t>
      </w:r>
    </w:p>
    <w:p>
      <w:pPr>
        <w:spacing w:line="360" w:lineRule="auto" w:after="160"/>
        <w:ind w:firstLine="567"/>
        <w:jc w:val="both"/>
      </w:pPr>
      <w:r>
        <w:rPr>
          <w:rFonts w:ascii="Times New Roman" w:hAnsi="Times New Roman"/>
          <w:b w:val="0"/>
          <w:i w:val="0"/>
          <w:sz w:val="24"/>
        </w:rPr>
        <w:t>Berdasarkan Gambar 2.2 di atas, dapat dijelaskan bahwa peta konsep penelitian (</w:t>
      </w:r>
      <w:r>
        <w:rPr>
          <w:rFonts w:ascii="Times New Roman" w:hAnsi="Times New Roman"/>
          <w:b w:val="0"/>
          <w:i/>
          <w:sz w:val="24"/>
        </w:rPr>
        <w:t>Research Mind Map</w:t>
      </w:r>
      <w:r>
        <w:rPr>
          <w:rFonts w:ascii="Times New Roman" w:hAnsi="Times New Roman"/>
          <w:b w:val="0"/>
          <w:i w:val="0"/>
          <w:sz w:val="24"/>
        </w:rPr>
        <w:t xml:space="preserve">) menghubungkan secara utuh enam pilar utama penelitian yang berpusat pada topik prediksi harga Solana (SOL-USD) menggunakan model hibrida CNN-BiLSTM-Attention. Cabang pertama (kiri atas) merumuskan fenomena konsensus </w:t>
      </w:r>
      <w:r>
        <w:rPr>
          <w:rFonts w:ascii="Times New Roman" w:hAnsi="Times New Roman"/>
          <w:b w:val="0"/>
          <w:i/>
          <w:sz w:val="24"/>
        </w:rPr>
        <w:t>Proof of History</w:t>
      </w:r>
      <w:r>
        <w:rPr>
          <w:rFonts w:ascii="Times New Roman" w:hAnsi="Times New Roman"/>
          <w:b w:val="0"/>
          <w:i w:val="0"/>
          <w:sz w:val="24"/>
        </w:rPr>
        <w:t xml:space="preserve"> dan </w:t>
      </w:r>
      <w:r>
        <w:rPr>
          <w:rFonts w:ascii="Times New Roman" w:hAnsi="Times New Roman"/>
          <w:b w:val="0"/>
          <w:i/>
          <w:sz w:val="24"/>
        </w:rPr>
        <w:t>Proof of Stake</w:t>
      </w:r>
      <w:r>
        <w:rPr>
          <w:rFonts w:ascii="Times New Roman" w:hAnsi="Times New Roman"/>
          <w:b w:val="0"/>
          <w:i w:val="0"/>
          <w:sz w:val="24"/>
        </w:rPr>
        <w:t xml:space="preserve"> pada jaringan Solana yang memicu volatilitas harga ekstrem dan non-stasioner. Cabang kedua (kiri tengah) mengidentifikasi kesenjangan penelitian (</w:t>
      </w:r>
      <w:r>
        <w:rPr>
          <w:rFonts w:ascii="Times New Roman" w:hAnsi="Times New Roman"/>
          <w:b w:val="0"/>
          <w:i/>
          <w:sz w:val="24"/>
        </w:rPr>
        <w:t>research gap</w:t>
      </w:r>
      <w:r>
        <w:rPr>
          <w:rFonts w:ascii="Times New Roman" w:hAnsi="Times New Roman"/>
          <w:b w:val="0"/>
          <w:i w:val="0"/>
          <w:sz w:val="24"/>
        </w:rPr>
        <w:t xml:space="preserve">) pada model LSTM/GRU univariat yang belum memiliki ekstraksi fitur lokal antar-indikator maupun selektivitas bobot waktu. Cabang ketiga (kiri bawah) memetakan konstruksi dataset riset kecil sebanyak 2.080 observasi harian bersih dengan 14 fitur multivariat dan skema pembagian kronologis 70%:15%:15%. Selanjutnya, cabang keempat (kanan atas) merinci rancangan arsitektur usulan yang memadukan 1D-CNN, BiLSTM dua arah, serta Temporal </w:t>
      </w:r>
      <w:r>
        <w:rPr>
          <w:rFonts w:ascii="Times New Roman" w:hAnsi="Times New Roman"/>
          <w:b w:val="0"/>
          <w:i/>
          <w:sz w:val="24"/>
        </w:rPr>
        <w:t>Bahdanau Attention</w:t>
      </w:r>
      <w:r>
        <w:rPr>
          <w:rFonts w:ascii="Times New Roman" w:hAnsi="Times New Roman"/>
          <w:b w:val="0"/>
          <w:i w:val="0"/>
          <w:sz w:val="24"/>
        </w:rPr>
        <w:t xml:space="preserve">. Cabang kelima (kanan tengah) menetapkan skenario komparasi lima model dan studi ablasi menggunakan lima metrik evaluasi (MAE, RMSE, MAPE, R², dan </w:t>
      </w:r>
      <w:r>
        <w:rPr>
          <w:rFonts w:ascii="Times New Roman" w:hAnsi="Times New Roman"/>
          <w:b w:val="0"/>
          <w:i/>
          <w:sz w:val="24"/>
        </w:rPr>
        <w:t>Directional Accuracy</w:t>
      </w:r>
      <w:r>
        <w:rPr>
          <w:rFonts w:ascii="Times New Roman" w:hAnsi="Times New Roman"/>
          <w:b w:val="0"/>
          <w:i w:val="0"/>
          <w:sz w:val="24"/>
        </w:rPr>
        <w:t>), sedangkan cabang keenam (kanan bawah) memetakan target luaran berupa Proposal Skripsi standar Fasilkom UPN "Veteran" Jawa Timur 2025 dan publikasi ilmiah.</w:t>
      </w:r>
    </w:p>
    <w:p>
      <w:r>
        <w:br w:type="page"/>
      </w:r>
    </w:p>
    <w:p>
      <w:pPr>
        <w:keepNext/>
        <w:spacing w:before="0" w:after="280" w:line="360" w:lineRule="auto"/>
        <w:jc w:val="center"/>
      </w:pPr>
      <w:r>
        <w:rPr>
          <w:rFonts w:ascii="Times New Roman" w:hAnsi="Times New Roman"/>
          <w:b/>
          <w:sz w:val="28"/>
        </w:rPr>
        <w:t>BAB III</w:t>
        <w:br/>
        <w:t>METODOLOGI PENELITIAN</w:t>
      </w:r>
    </w:p>
    <w:p>
      <w:pPr>
        <w:keepNext/>
        <w:spacing w:before="200" w:after="80" w:line="360" w:lineRule="auto"/>
        <w:jc w:val="left"/>
      </w:pPr>
      <w:r>
        <w:rPr>
          <w:rFonts w:ascii="Times New Roman" w:hAnsi="Times New Roman"/>
          <w:b/>
          <w:sz w:val="24"/>
        </w:rPr>
        <w:t xml:space="preserve">3.1.  </w:t>
      </w:r>
      <w:r>
        <w:rPr>
          <w:rFonts w:ascii="Times New Roman" w:hAnsi="Times New Roman"/>
          <w:b/>
          <w:i w:val="0"/>
          <w:sz w:val="24"/>
        </w:rPr>
        <w:t>Tipe dan Tahapan Rancangan Penelitian</w:t>
      </w:r>
    </w:p>
    <w:p>
      <w:pPr>
        <w:spacing w:line="360" w:lineRule="auto" w:after="120"/>
        <w:ind w:firstLine="567"/>
        <w:jc w:val="both"/>
      </w:pPr>
      <w:r>
        <w:rPr>
          <w:rFonts w:ascii="Times New Roman" w:hAnsi="Times New Roman"/>
          <w:b w:val="0"/>
          <w:i w:val="0"/>
          <w:sz w:val="24"/>
        </w:rPr>
        <w:t>Penelitian ini merupakan penelitian kuantitatif-eksperimental yang bersifat implementatif di bidang kecerdasan buatan dan sains data finansial. Strategi penelitian dirancang secara sistematis ke dalam enam tahapan berurutan, meliputi: (1) akuisisi data historis pasar Solana (SOL-USD), (2) ekstraksi dan rekayasa fitur indikator teknikal multivariat, (3) pra-pemrosesan data, analisis korelasi, normalisasi, dan pembentukan jendela sekuensial (</w:t>
      </w:r>
      <w:r>
        <w:rPr>
          <w:rFonts w:ascii="Times New Roman" w:hAnsi="Times New Roman"/>
          <w:b w:val="0"/>
          <w:i/>
          <w:sz w:val="24"/>
        </w:rPr>
        <w:t>sliding window</w:t>
      </w:r>
      <w:r>
        <w:rPr>
          <w:rFonts w:ascii="Times New Roman" w:hAnsi="Times New Roman"/>
          <w:b w:val="0"/>
          <w:i w:val="0"/>
          <w:sz w:val="24"/>
        </w:rPr>
        <w:t>), (4) pembagian dataset secara kronologis, (5) pelatihan serta optimasi arsitektur model hibrida CNN-BiLSTM-Attention beserta empat model pembanding, dan (6) evaluasi multi-metrik serta studi ablasi. Alur tahapan metodologi penelitian diilustrasikan pada Gambar 3.1.</w:t>
      </w:r>
    </w:p>
    <w:p>
      <w:pPr>
        <w:keepNext/>
        <w:spacing w:before="160" w:after="60"/>
        <w:jc w:val="center"/>
      </w:pPr>
      <w:r>
        <w:drawing>
          <wp:inline xmlns:a="http://schemas.openxmlformats.org/drawingml/2006/main" xmlns:pic="http://schemas.openxmlformats.org/drawingml/2006/picture">
            <wp:extent cx="4968000" cy="2800145"/>
            <wp:docPr id="4" name="Picture 4"/>
            <wp:cNvGraphicFramePr>
              <a:graphicFrameLocks noChangeAspect="1"/>
            </wp:cNvGraphicFramePr>
            <a:graphic>
              <a:graphicData uri="http://schemas.openxmlformats.org/drawingml/2006/picture">
                <pic:pic>
                  <pic:nvPicPr>
                    <pic:cNvPr id="0" name="fig_metodologi_penelitian.png"/>
                    <pic:cNvPicPr/>
                  </pic:nvPicPr>
                  <pic:blipFill>
                    <a:blip r:embed="rId14"/>
                    <a:stretch>
                      <a:fillRect/>
                    </a:stretch>
                  </pic:blipFill>
                  <pic:spPr>
                    <a:xfrm>
                      <a:off x="0" y="0"/>
                      <a:ext cx="4968000" cy="2800145"/>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3.1 </w:t>
      </w:r>
      <w:r>
        <w:rPr>
          <w:rFonts w:ascii="Times New Roman" w:hAnsi="Times New Roman"/>
          <w:b/>
          <w:i w:val="0"/>
          <w:sz w:val="24"/>
        </w:rPr>
        <w:t>Diagram Alir Tahapan Metodologi Penelitian</w:t>
      </w:r>
    </w:p>
    <w:p>
      <w:pPr>
        <w:spacing w:line="360" w:lineRule="auto" w:after="160"/>
        <w:ind w:firstLine="567"/>
        <w:jc w:val="both"/>
      </w:pPr>
      <w:r>
        <w:rPr>
          <w:rFonts w:ascii="Times New Roman" w:hAnsi="Times New Roman"/>
          <w:b w:val="0"/>
          <w:i w:val="0"/>
          <w:sz w:val="24"/>
        </w:rPr>
        <w:t>Berdasarkan Gambar 3.1 di atas, dapat dijelaskan bahwa alur kerja metodologi penelitian terdiri atas enam tahapan sekuensial yang terbagi ke dalam dua lajur proses utama. Pada lajur atas (Tahap 1 hingga Tahap 3), proses dimulai dari akuisisi data deret waktu harian SOL-USD dari Yahoo Finance selama periode Januari 2021 hingga September 2026 (2.099 baris mentah), dilanjutkan dengan tahap rekayasa fitur (</w:t>
      </w:r>
      <w:r>
        <w:rPr>
          <w:rFonts w:ascii="Times New Roman" w:hAnsi="Times New Roman"/>
          <w:b w:val="0"/>
          <w:i/>
          <w:sz w:val="24"/>
        </w:rPr>
        <w:t>feature engineering</w:t>
      </w:r>
      <w:r>
        <w:rPr>
          <w:rFonts w:ascii="Times New Roman" w:hAnsi="Times New Roman"/>
          <w:b w:val="0"/>
          <w:i w:val="0"/>
          <w:sz w:val="24"/>
        </w:rPr>
        <w:t>) untuk mengekstraksi sembilan indikator teknikal sehingga terbentuk matriks 14 fitur multivariat sebanyak 2.080 observasi bersih. Tahap ketiga melaksanakan pembersihan periode pemanasan (</w:t>
      </w:r>
      <w:r>
        <w:rPr>
          <w:rFonts w:ascii="Times New Roman" w:hAnsi="Times New Roman"/>
          <w:b w:val="0"/>
          <w:i/>
          <w:sz w:val="24"/>
        </w:rPr>
        <w:t>warm-up period</w:t>
      </w:r>
      <w:r>
        <w:rPr>
          <w:rFonts w:ascii="Times New Roman" w:hAnsi="Times New Roman"/>
          <w:b w:val="0"/>
          <w:i w:val="0"/>
          <w:sz w:val="24"/>
        </w:rPr>
        <w:t>), pembagian data secara kronologis (70% data latih, 15% data validasi, dan 15% data uji), normalisasi Min-Max ke dalam rentang [0, 1] berdasarkan parameter data latih, serta konstruksi tensor tiga dimensi menggunakan metode jendela geser (</w:t>
      </w:r>
      <w:r>
        <w:rPr>
          <w:rFonts w:ascii="Times New Roman" w:hAnsi="Times New Roman"/>
          <w:b w:val="0"/>
          <w:i/>
          <w:sz w:val="24"/>
        </w:rPr>
        <w:t>sliding window</w:t>
      </w:r>
      <w:r>
        <w:rPr>
          <w:rFonts w:ascii="Times New Roman" w:hAnsi="Times New Roman"/>
          <w:b w:val="0"/>
          <w:i w:val="0"/>
          <w:sz w:val="24"/>
        </w:rPr>
        <w:t xml:space="preserve">) sepanjang T = 20 hari. Selanjutnya pada lajur bawah (Tahap 4 hingga Tahap 6), tensor sekuensial digunakan untuk melatih arsitektur usulan CNN-BiLSTM-Attention secara paralel dengan empat model pembanding (LSTM, GRU, BiLSTM, dan CNN-BiLSTM) serta skenario studi ablasi univariat menggunakan algoritma optimasi Adam dan fungsi rugi MSE, yang kemudian diakhiri dengan transformasi balik ke skala USD asli untuk dihitung nilai MAE, RMSE, MAPE, R², dan </w:t>
      </w:r>
      <w:r>
        <w:rPr>
          <w:rFonts w:ascii="Times New Roman" w:hAnsi="Times New Roman"/>
          <w:b w:val="0"/>
          <w:i/>
          <w:sz w:val="24"/>
        </w:rPr>
        <w:t>Directional Accuracy</w:t>
      </w:r>
      <w:r>
        <w:rPr>
          <w:rFonts w:ascii="Times New Roman" w:hAnsi="Times New Roman"/>
          <w:b w:val="0"/>
          <w:i w:val="0"/>
          <w:sz w:val="24"/>
        </w:rPr>
        <w:t>.</w:t>
      </w:r>
    </w:p>
    <w:p>
      <w:pPr>
        <w:keepNext/>
        <w:spacing w:before="200" w:after="80" w:line="360" w:lineRule="auto"/>
        <w:jc w:val="left"/>
      </w:pPr>
      <w:r>
        <w:rPr>
          <w:rFonts w:ascii="Times New Roman" w:hAnsi="Times New Roman"/>
          <w:b/>
          <w:sz w:val="24"/>
        </w:rPr>
        <w:t xml:space="preserve">3.2.  </w:t>
      </w:r>
      <w:r>
        <w:rPr>
          <w:rFonts w:ascii="Times New Roman" w:hAnsi="Times New Roman"/>
          <w:b/>
          <w:i w:val="0"/>
          <w:sz w:val="24"/>
        </w:rPr>
        <w:t>Akuisisi Data dan Rekayasa Fitur Multivariat Solana</w:t>
      </w:r>
    </w:p>
    <w:p>
      <w:pPr>
        <w:spacing w:line="360" w:lineRule="auto" w:after="120"/>
        <w:ind w:firstLine="567"/>
        <w:jc w:val="both"/>
      </w:pPr>
      <w:r>
        <w:rPr>
          <w:rFonts w:ascii="Times New Roman" w:hAnsi="Times New Roman"/>
          <w:b w:val="0"/>
          <w:i w:val="0"/>
          <w:sz w:val="24"/>
        </w:rPr>
        <w:t>Data primer yang digunakan dalam penelitian ini adalah data deret waktu perdagangan harian Solana terhadap Dolar Amerika Serikat (SOL-USD) yang diunduh secara terprogram melalui pustaka yfinance (Yahoo Finance API) [12], [20]. Data mentah mencakup periode 1 Januari 2021 hingga 30 September 2026 sebanyak 2099 baris observasi. Dari lima atribut pasar dasar (Close, Open, High, Low, dan Volume), dilakukan rekayasa sembilan indikator teknikal untuk menangkap dinamika multi-aspek pasar Solana. Spesifikasi lengkap ke-14 fitur input disajikan pada Tabel 3.1, sedangkan visualisasi dinamika harga historis beserta indikator RSI dan MACD ditampilkan pada Gambar 3.2.</w:t>
      </w:r>
    </w:p>
    <w:p>
      <w:pPr>
        <w:keepNext/>
        <w:spacing w:before="160" w:after="60" w:line="276" w:lineRule="auto"/>
        <w:jc w:val="left"/>
      </w:pPr>
      <w:r>
        <w:rPr>
          <w:rFonts w:ascii="Times New Roman" w:hAnsi="Times New Roman"/>
          <w:b/>
          <w:sz w:val="24"/>
        </w:rPr>
        <w:t xml:space="preserve">Tabel 3.1 </w:t>
      </w:r>
      <w:r>
        <w:rPr>
          <w:rFonts w:ascii="Times New Roman" w:hAnsi="Times New Roman"/>
          <w:b/>
          <w:i w:val="0"/>
          <w:sz w:val="24"/>
        </w:rPr>
        <w:t>Spesifikasi Atribut Fitur Multivariat Dataset Solana (SOL-USD)</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1F2"/>
            <w:vAlign w:val="center"/>
          </w:tcPr>
          <w:p>
            <w:pPr>
              <w:spacing w:line="276" w:lineRule="auto" w:before="60" w:after="60"/>
              <w:jc w:val="center"/>
            </w:pPr>
            <w:r>
              <w:rPr>
                <w:rFonts w:ascii="Times New Roman" w:hAnsi="Times New Roman"/>
                <w:b/>
                <w:sz w:val="18"/>
              </w:rPr>
              <w:t>No</w:t>
            </w:r>
          </w:p>
        </w:tc>
        <w:tc>
          <w:tcPr>
            <w:tcW w:type="dxa" w:w="1984"/>
            <w:shd w:fill="D9E1F2"/>
            <w:vAlign w:val="center"/>
          </w:tcPr>
          <w:p>
            <w:pPr>
              <w:spacing w:line="276" w:lineRule="auto" w:before="60" w:after="60"/>
              <w:jc w:val="center"/>
            </w:pPr>
            <w:r>
              <w:rPr>
                <w:rFonts w:ascii="Times New Roman" w:hAnsi="Times New Roman"/>
                <w:b/>
                <w:sz w:val="18"/>
              </w:rPr>
              <w:t>Kode Atribut Fitur</w:t>
            </w:r>
          </w:p>
        </w:tc>
        <w:tc>
          <w:tcPr>
            <w:tcW w:type="dxa" w:w="1984"/>
            <w:shd w:fill="D9E1F2"/>
            <w:vAlign w:val="center"/>
          </w:tcPr>
          <w:p>
            <w:pPr>
              <w:spacing w:line="276" w:lineRule="auto" w:before="60" w:after="60"/>
              <w:jc w:val="center"/>
            </w:pPr>
            <w:r>
              <w:rPr>
                <w:rFonts w:ascii="Times New Roman" w:hAnsi="Times New Roman"/>
                <w:b/>
                <w:sz w:val="18"/>
              </w:rPr>
              <w:t>Kelompok Indikator</w:t>
            </w:r>
          </w:p>
        </w:tc>
        <w:tc>
          <w:tcPr>
            <w:tcW w:type="dxa" w:w="1984"/>
            <w:shd w:fill="D9E1F2"/>
            <w:vAlign w:val="center"/>
          </w:tcPr>
          <w:p>
            <w:pPr>
              <w:spacing w:line="276" w:lineRule="auto" w:before="60" w:after="60"/>
              <w:jc w:val="center"/>
            </w:pPr>
            <w:r>
              <w:rPr>
                <w:rFonts w:ascii="Times New Roman" w:hAnsi="Times New Roman"/>
                <w:b/>
                <w:sz w:val="18"/>
              </w:rPr>
              <w:t>Peran Fungsional dalam Pemodelan Sekuensial</w:t>
            </w:r>
          </w:p>
        </w:tc>
      </w:tr>
      <w:tr>
        <w:tc>
          <w:tcPr>
            <w:tcW w:type="dxa" w:w="1984"/>
            <w:vAlign w:val="center"/>
          </w:tcPr>
          <w:p>
            <w:pPr>
              <w:spacing w:line="276" w:lineRule="auto" w:before="40" w:after="40"/>
            </w:pPr>
            <w:r>
              <w:rPr>
                <w:rFonts w:ascii="Times New Roman" w:hAnsi="Times New Roman"/>
                <w:sz w:val="18"/>
              </w:rPr>
              <w:t>1</w:t>
            </w:r>
          </w:p>
        </w:tc>
        <w:tc>
          <w:tcPr>
            <w:tcW w:type="dxa" w:w="1984"/>
            <w:vAlign w:val="center"/>
          </w:tcPr>
          <w:p>
            <w:pPr>
              <w:spacing w:line="276" w:lineRule="auto" w:before="40" w:after="40"/>
            </w:pPr>
            <w:r>
              <w:rPr>
                <w:rFonts w:ascii="Times New Roman" w:hAnsi="Times New Roman"/>
                <w:sz w:val="18"/>
              </w:rPr>
              <w:t>Close (Target &amp; Input)</w:t>
            </w:r>
          </w:p>
        </w:tc>
        <w:tc>
          <w:tcPr>
            <w:tcW w:type="dxa" w:w="1984"/>
            <w:vAlign w:val="center"/>
          </w:tcPr>
          <w:p>
            <w:pPr>
              <w:spacing w:line="276" w:lineRule="auto" w:before="40" w:after="40"/>
            </w:pPr>
            <w:r>
              <w:rPr>
                <w:rFonts w:ascii="Times New Roman" w:hAnsi="Times New Roman"/>
                <w:sz w:val="18"/>
              </w:rPr>
              <w:t>Harga Primer</w:t>
            </w:r>
          </w:p>
        </w:tc>
        <w:tc>
          <w:tcPr>
            <w:tcW w:type="dxa" w:w="1984"/>
            <w:vAlign w:val="center"/>
          </w:tcPr>
          <w:p>
            <w:pPr>
              <w:spacing w:line="276" w:lineRule="auto" w:before="40" w:after="40"/>
            </w:pPr>
            <w:r>
              <w:rPr>
                <w:rFonts w:ascii="Times New Roman" w:hAnsi="Times New Roman"/>
                <w:sz w:val="18"/>
              </w:rPr>
              <w:t>Harga penutupan harian SOL-USD; menjadi target estimasi ŷ_(t+1) sekaligus penciri level harga.</w:t>
            </w:r>
          </w:p>
        </w:tc>
      </w:tr>
      <w:tr>
        <w:tc>
          <w:tcPr>
            <w:tcW w:type="dxa" w:w="1984"/>
            <w:vAlign w:val="center"/>
          </w:tcPr>
          <w:p>
            <w:pPr>
              <w:spacing w:line="276" w:lineRule="auto" w:before="40" w:after="40"/>
            </w:pPr>
            <w:r>
              <w:rPr>
                <w:rFonts w:ascii="Times New Roman" w:hAnsi="Times New Roman"/>
                <w:sz w:val="18"/>
              </w:rPr>
              <w:t>2</w:t>
            </w:r>
          </w:p>
        </w:tc>
        <w:tc>
          <w:tcPr>
            <w:tcW w:type="dxa" w:w="1984"/>
            <w:vAlign w:val="center"/>
          </w:tcPr>
          <w:p>
            <w:pPr>
              <w:spacing w:line="276" w:lineRule="auto" w:before="40" w:after="40"/>
            </w:pPr>
            <w:r>
              <w:rPr>
                <w:rFonts w:ascii="Times New Roman" w:hAnsi="Times New Roman"/>
                <w:sz w:val="18"/>
              </w:rPr>
              <w:t>Open, High, Low</w:t>
            </w:r>
          </w:p>
        </w:tc>
        <w:tc>
          <w:tcPr>
            <w:tcW w:type="dxa" w:w="1984"/>
            <w:vAlign w:val="center"/>
          </w:tcPr>
          <w:p>
            <w:pPr>
              <w:spacing w:line="276" w:lineRule="auto" w:before="40" w:after="40"/>
            </w:pPr>
            <w:r>
              <w:rPr>
                <w:rFonts w:ascii="Times New Roman" w:hAnsi="Times New Roman"/>
                <w:sz w:val="18"/>
              </w:rPr>
              <w:t>Harga Primer</w:t>
            </w:r>
          </w:p>
        </w:tc>
        <w:tc>
          <w:tcPr>
            <w:tcW w:type="dxa" w:w="1984"/>
            <w:vAlign w:val="center"/>
          </w:tcPr>
          <w:p>
            <w:pPr>
              <w:spacing w:line="276" w:lineRule="auto" w:before="40" w:after="40"/>
            </w:pPr>
            <w:r>
              <w:rPr>
                <w:rFonts w:ascii="Times New Roman" w:hAnsi="Times New Roman"/>
                <w:sz w:val="18"/>
              </w:rPr>
              <w:t>Merepresentasikan rentang pergerakan intrahari dan tekanan beli/jual harian.</w:t>
            </w:r>
          </w:p>
        </w:tc>
      </w:tr>
      <w:tr>
        <w:tc>
          <w:tcPr>
            <w:tcW w:type="dxa" w:w="1984"/>
            <w:vAlign w:val="center"/>
          </w:tcPr>
          <w:p>
            <w:pPr>
              <w:spacing w:line="276" w:lineRule="auto" w:before="40" w:after="40"/>
            </w:pPr>
            <w:r>
              <w:rPr>
                <w:rFonts w:ascii="Times New Roman" w:hAnsi="Times New Roman"/>
                <w:sz w:val="18"/>
              </w:rPr>
              <w:t>3</w:t>
            </w:r>
          </w:p>
        </w:tc>
        <w:tc>
          <w:tcPr>
            <w:tcW w:type="dxa" w:w="1984"/>
            <w:vAlign w:val="center"/>
          </w:tcPr>
          <w:p>
            <w:pPr>
              <w:spacing w:line="276" w:lineRule="auto" w:before="40" w:after="40"/>
            </w:pPr>
            <w:r>
              <w:rPr>
                <w:rFonts w:ascii="Times New Roman" w:hAnsi="Times New Roman"/>
                <w:sz w:val="18"/>
              </w:rPr>
              <w:t>Volume</w:t>
            </w:r>
          </w:p>
        </w:tc>
        <w:tc>
          <w:tcPr>
            <w:tcW w:type="dxa" w:w="1984"/>
            <w:vAlign w:val="center"/>
          </w:tcPr>
          <w:p>
            <w:pPr>
              <w:spacing w:line="276" w:lineRule="auto" w:before="40" w:after="40"/>
            </w:pPr>
            <w:r>
              <w:rPr>
                <w:rFonts w:ascii="Times New Roman" w:hAnsi="Times New Roman"/>
                <w:sz w:val="18"/>
              </w:rPr>
              <w:t>Likuiditas Transaksi</w:t>
            </w:r>
          </w:p>
        </w:tc>
        <w:tc>
          <w:tcPr>
            <w:tcW w:type="dxa" w:w="1984"/>
            <w:vAlign w:val="center"/>
          </w:tcPr>
          <w:p>
            <w:pPr>
              <w:spacing w:line="276" w:lineRule="auto" w:before="40" w:after="40"/>
            </w:pPr>
            <w:r>
              <w:rPr>
                <w:rFonts w:ascii="Times New Roman" w:hAnsi="Times New Roman"/>
                <w:sz w:val="18"/>
              </w:rPr>
              <w:t>Mengukur besarnya partisipasi pasar dan validitas penembusan level harga.</w:t>
            </w:r>
          </w:p>
        </w:tc>
      </w:tr>
      <w:tr>
        <w:tc>
          <w:tcPr>
            <w:tcW w:type="dxa" w:w="1984"/>
            <w:vAlign w:val="center"/>
          </w:tcPr>
          <w:p>
            <w:pPr>
              <w:spacing w:line="276" w:lineRule="auto" w:before="40" w:after="40"/>
            </w:pPr>
            <w:r>
              <w:rPr>
                <w:rFonts w:ascii="Times New Roman" w:hAnsi="Times New Roman"/>
                <w:sz w:val="18"/>
              </w:rPr>
              <w:t>4</w:t>
            </w:r>
          </w:p>
        </w:tc>
        <w:tc>
          <w:tcPr>
            <w:tcW w:type="dxa" w:w="1984"/>
            <w:vAlign w:val="center"/>
          </w:tcPr>
          <w:p>
            <w:pPr>
              <w:spacing w:line="276" w:lineRule="auto" w:before="40" w:after="40"/>
            </w:pPr>
            <w:r>
              <w:rPr>
                <w:rFonts w:ascii="Times New Roman" w:hAnsi="Times New Roman"/>
                <w:sz w:val="18"/>
              </w:rPr>
              <w:t>EMA_14 dan EMA_50</w:t>
            </w:r>
          </w:p>
        </w:tc>
        <w:tc>
          <w:tcPr>
            <w:tcW w:type="dxa" w:w="1984"/>
            <w:vAlign w:val="center"/>
          </w:tcPr>
          <w:p>
            <w:pPr>
              <w:spacing w:line="276" w:lineRule="auto" w:before="40" w:after="40"/>
            </w:pPr>
            <w:r>
              <w:rPr>
                <w:rFonts w:ascii="Times New Roman" w:hAnsi="Times New Roman"/>
                <w:sz w:val="18"/>
              </w:rPr>
              <w:t>Indikator Tren</w:t>
            </w:r>
          </w:p>
        </w:tc>
        <w:tc>
          <w:tcPr>
            <w:tcW w:type="dxa" w:w="1984"/>
            <w:vAlign w:val="center"/>
          </w:tcPr>
          <w:p>
            <w:pPr>
              <w:spacing w:line="276" w:lineRule="auto" w:before="40" w:after="40"/>
            </w:pPr>
            <w:r>
              <w:rPr>
                <w:rFonts w:ascii="Times New Roman" w:hAnsi="Times New Roman"/>
                <w:sz w:val="18"/>
              </w:rPr>
              <w:t>Menangkap arah tren jangka pendek (14 hari) dan jangka menengah (50 hari).</w:t>
            </w:r>
          </w:p>
        </w:tc>
      </w:tr>
      <w:tr>
        <w:tc>
          <w:tcPr>
            <w:tcW w:type="dxa" w:w="1984"/>
            <w:vAlign w:val="center"/>
          </w:tcPr>
          <w:p>
            <w:pPr>
              <w:spacing w:line="276" w:lineRule="auto" w:before="40" w:after="40"/>
            </w:pPr>
            <w:r>
              <w:rPr>
                <w:rFonts w:ascii="Times New Roman" w:hAnsi="Times New Roman"/>
                <w:sz w:val="18"/>
              </w:rPr>
              <w:t>5</w:t>
            </w:r>
          </w:p>
        </w:tc>
        <w:tc>
          <w:tcPr>
            <w:tcW w:type="dxa" w:w="1984"/>
            <w:vAlign w:val="center"/>
          </w:tcPr>
          <w:p>
            <w:pPr>
              <w:spacing w:line="276" w:lineRule="auto" w:before="40" w:after="40"/>
            </w:pPr>
            <w:r>
              <w:rPr>
                <w:rFonts w:ascii="Times New Roman" w:hAnsi="Times New Roman"/>
                <w:sz w:val="18"/>
              </w:rPr>
              <w:t>RSI_14</w:t>
            </w:r>
          </w:p>
        </w:tc>
        <w:tc>
          <w:tcPr>
            <w:tcW w:type="dxa" w:w="1984"/>
            <w:vAlign w:val="center"/>
          </w:tcPr>
          <w:p>
            <w:pPr>
              <w:spacing w:line="276" w:lineRule="auto" w:before="40" w:after="40"/>
            </w:pPr>
            <w:r>
              <w:rPr>
                <w:rFonts w:ascii="Times New Roman" w:hAnsi="Times New Roman"/>
                <w:sz w:val="18"/>
              </w:rPr>
              <w:t>Osilator Momentum</w:t>
            </w:r>
          </w:p>
        </w:tc>
        <w:tc>
          <w:tcPr>
            <w:tcW w:type="dxa" w:w="1984"/>
            <w:vAlign w:val="center"/>
          </w:tcPr>
          <w:p>
            <w:pPr>
              <w:spacing w:line="276" w:lineRule="auto" w:before="40" w:after="40"/>
            </w:pPr>
            <w:r>
              <w:rPr>
                <w:rFonts w:ascii="Times New Roman" w:hAnsi="Times New Roman"/>
                <w:sz w:val="18"/>
              </w:rPr>
              <w:t>Mendeteksi titik jenuh beli (&gt;70) dan jenuh jual (&lt;30) yang mendahului koreksi harga.</w:t>
            </w:r>
          </w:p>
        </w:tc>
      </w:tr>
      <w:tr>
        <w:tc>
          <w:tcPr>
            <w:tcW w:type="dxa" w:w="1984"/>
            <w:vAlign w:val="center"/>
          </w:tcPr>
          <w:p>
            <w:pPr>
              <w:spacing w:line="276" w:lineRule="auto" w:before="40" w:after="40"/>
            </w:pPr>
            <w:r>
              <w:rPr>
                <w:rFonts w:ascii="Times New Roman" w:hAnsi="Times New Roman"/>
                <w:sz w:val="18"/>
              </w:rPr>
              <w:t>6</w:t>
            </w:r>
          </w:p>
        </w:tc>
        <w:tc>
          <w:tcPr>
            <w:tcW w:type="dxa" w:w="1984"/>
            <w:vAlign w:val="center"/>
          </w:tcPr>
          <w:p>
            <w:pPr>
              <w:spacing w:line="276" w:lineRule="auto" w:before="40" w:after="40"/>
            </w:pPr>
            <w:r>
              <w:rPr>
                <w:rFonts w:ascii="Times New Roman" w:hAnsi="Times New Roman"/>
                <w:sz w:val="18"/>
              </w:rPr>
              <w:t>MACD dan MACD_Signal</w:t>
            </w:r>
          </w:p>
        </w:tc>
        <w:tc>
          <w:tcPr>
            <w:tcW w:type="dxa" w:w="1984"/>
            <w:vAlign w:val="center"/>
          </w:tcPr>
          <w:p>
            <w:pPr>
              <w:spacing w:line="276" w:lineRule="auto" w:before="40" w:after="40"/>
            </w:pPr>
            <w:r>
              <w:rPr>
                <w:rFonts w:ascii="Times New Roman" w:hAnsi="Times New Roman"/>
                <w:sz w:val="18"/>
              </w:rPr>
              <w:t>Konvergensi Momentum</w:t>
            </w:r>
          </w:p>
        </w:tc>
        <w:tc>
          <w:tcPr>
            <w:tcW w:type="dxa" w:w="1984"/>
            <w:vAlign w:val="center"/>
          </w:tcPr>
          <w:p>
            <w:pPr>
              <w:spacing w:line="276" w:lineRule="auto" w:before="40" w:after="40"/>
            </w:pPr>
            <w:r>
              <w:rPr>
                <w:rFonts w:ascii="Times New Roman" w:hAnsi="Times New Roman"/>
                <w:sz w:val="18"/>
              </w:rPr>
              <w:t>Mengukur percepatan momentum tren serta sinyal persilangan (crossover).</w:t>
            </w:r>
          </w:p>
        </w:tc>
      </w:tr>
      <w:tr>
        <w:tc>
          <w:tcPr>
            <w:tcW w:type="dxa" w:w="1984"/>
            <w:vAlign w:val="center"/>
          </w:tcPr>
          <w:p>
            <w:pPr>
              <w:spacing w:line="276" w:lineRule="auto" w:before="40" w:after="40"/>
            </w:pPr>
            <w:r>
              <w:rPr>
                <w:rFonts w:ascii="Times New Roman" w:hAnsi="Times New Roman"/>
                <w:sz w:val="18"/>
              </w:rPr>
              <w:t>7</w:t>
            </w:r>
          </w:p>
        </w:tc>
        <w:tc>
          <w:tcPr>
            <w:tcW w:type="dxa" w:w="1984"/>
            <w:vAlign w:val="center"/>
          </w:tcPr>
          <w:p>
            <w:pPr>
              <w:spacing w:line="276" w:lineRule="auto" w:before="40" w:after="40"/>
            </w:pPr>
            <w:r>
              <w:rPr>
                <w:rFonts w:ascii="Times New Roman" w:hAnsi="Times New Roman"/>
                <w:sz w:val="18"/>
              </w:rPr>
              <w:t>BB_Upper dan BB_Lower</w:t>
            </w:r>
          </w:p>
        </w:tc>
        <w:tc>
          <w:tcPr>
            <w:tcW w:type="dxa" w:w="1984"/>
            <w:vAlign w:val="center"/>
          </w:tcPr>
          <w:p>
            <w:pPr>
              <w:spacing w:line="276" w:lineRule="auto" w:before="40" w:after="40"/>
            </w:pPr>
            <w:r>
              <w:rPr>
                <w:rFonts w:ascii="Times New Roman" w:hAnsi="Times New Roman"/>
                <w:sz w:val="18"/>
              </w:rPr>
              <w:t>Volatilitas Pita Harga</w:t>
            </w:r>
          </w:p>
        </w:tc>
        <w:tc>
          <w:tcPr>
            <w:tcW w:type="dxa" w:w="1984"/>
            <w:vAlign w:val="center"/>
          </w:tcPr>
          <w:p>
            <w:pPr>
              <w:spacing w:line="276" w:lineRule="auto" w:before="40" w:after="40"/>
            </w:pPr>
            <w:r>
              <w:rPr>
                <w:rFonts w:ascii="Times New Roman" w:hAnsi="Times New Roman"/>
                <w:sz w:val="18"/>
              </w:rPr>
              <w:t>Menentukan batas atas dan batas bawah deviasi standar harga 20 hari.</w:t>
            </w:r>
          </w:p>
        </w:tc>
      </w:tr>
      <w:tr>
        <w:tc>
          <w:tcPr>
            <w:tcW w:type="dxa" w:w="1984"/>
            <w:vAlign w:val="center"/>
          </w:tcPr>
          <w:p>
            <w:pPr>
              <w:spacing w:line="276" w:lineRule="auto" w:before="40" w:after="40"/>
            </w:pPr>
            <w:r>
              <w:rPr>
                <w:rFonts w:ascii="Times New Roman" w:hAnsi="Times New Roman"/>
                <w:sz w:val="18"/>
              </w:rPr>
              <w:t>8</w:t>
            </w:r>
          </w:p>
        </w:tc>
        <w:tc>
          <w:tcPr>
            <w:tcW w:type="dxa" w:w="1984"/>
            <w:vAlign w:val="center"/>
          </w:tcPr>
          <w:p>
            <w:pPr>
              <w:spacing w:line="276" w:lineRule="auto" w:before="40" w:after="40"/>
            </w:pPr>
            <w:r>
              <w:rPr>
                <w:rFonts w:ascii="Times New Roman" w:hAnsi="Times New Roman"/>
                <w:sz w:val="18"/>
              </w:rPr>
              <w:t>ATR_14</w:t>
            </w:r>
          </w:p>
        </w:tc>
        <w:tc>
          <w:tcPr>
            <w:tcW w:type="dxa" w:w="1984"/>
            <w:vAlign w:val="center"/>
          </w:tcPr>
          <w:p>
            <w:pPr>
              <w:spacing w:line="276" w:lineRule="auto" w:before="40" w:after="40"/>
            </w:pPr>
            <w:r>
              <w:rPr>
                <w:rFonts w:ascii="Times New Roman" w:hAnsi="Times New Roman"/>
                <w:sz w:val="18"/>
              </w:rPr>
              <w:t>Rentang Volatilitas</w:t>
            </w:r>
          </w:p>
        </w:tc>
        <w:tc>
          <w:tcPr>
            <w:tcW w:type="dxa" w:w="1984"/>
            <w:vAlign w:val="center"/>
          </w:tcPr>
          <w:p>
            <w:pPr>
              <w:spacing w:line="276" w:lineRule="auto" w:before="40" w:after="40"/>
            </w:pPr>
            <w:r>
              <w:rPr>
                <w:rFonts w:ascii="Times New Roman" w:hAnsi="Times New Roman"/>
                <w:sz w:val="18"/>
              </w:rPr>
              <w:t>Mengukur intensitas gejolak harian untuk mengantisipasi lonjakan harga ekstrem.</w:t>
            </w:r>
          </w:p>
        </w:tc>
      </w:tr>
      <w:tr>
        <w:tc>
          <w:tcPr>
            <w:tcW w:type="dxa" w:w="1984"/>
            <w:vAlign w:val="center"/>
          </w:tcPr>
          <w:p>
            <w:pPr>
              <w:spacing w:line="276" w:lineRule="auto" w:before="40" w:after="40"/>
            </w:pPr>
            <w:r>
              <w:rPr>
                <w:rFonts w:ascii="Times New Roman" w:hAnsi="Times New Roman"/>
                <w:sz w:val="18"/>
              </w:rPr>
              <w:t>9</w:t>
            </w:r>
          </w:p>
        </w:tc>
        <w:tc>
          <w:tcPr>
            <w:tcW w:type="dxa" w:w="1984"/>
            <w:vAlign w:val="center"/>
          </w:tcPr>
          <w:p>
            <w:pPr>
              <w:spacing w:line="276" w:lineRule="auto" w:before="40" w:after="40"/>
            </w:pPr>
            <w:r>
              <w:rPr>
                <w:rFonts w:ascii="Times New Roman" w:hAnsi="Times New Roman"/>
                <w:sz w:val="18"/>
              </w:rPr>
              <w:t>OBV</w:t>
            </w:r>
          </w:p>
        </w:tc>
        <w:tc>
          <w:tcPr>
            <w:tcW w:type="dxa" w:w="1984"/>
            <w:vAlign w:val="center"/>
          </w:tcPr>
          <w:p>
            <w:pPr>
              <w:spacing w:line="276" w:lineRule="auto" w:before="40" w:after="40"/>
            </w:pPr>
            <w:r>
              <w:rPr>
                <w:rFonts w:ascii="Times New Roman" w:hAnsi="Times New Roman"/>
                <w:sz w:val="18"/>
              </w:rPr>
              <w:t>Akumulasi Volume</w:t>
            </w:r>
          </w:p>
        </w:tc>
        <w:tc>
          <w:tcPr>
            <w:tcW w:type="dxa" w:w="1984"/>
            <w:vAlign w:val="center"/>
          </w:tcPr>
          <w:p>
            <w:pPr>
              <w:spacing w:line="276" w:lineRule="auto" w:before="40" w:after="40"/>
            </w:pPr>
            <w:r>
              <w:rPr>
                <w:rFonts w:ascii="Times New Roman" w:hAnsi="Times New Roman"/>
                <w:sz w:val="18"/>
              </w:rPr>
              <w:t>Mengintegrasikan arah perubahan harga dengan volume untuk mendeteksi arus modal.</w:t>
            </w:r>
          </w:p>
        </w:tc>
      </w:tr>
    </w:tbl>
    <w:p>
      <w:pPr>
        <w:spacing w:line="360" w:lineRule="auto" w:after="120"/>
        <w:ind w:firstLine="567"/>
        <w:jc w:val="both"/>
      </w:pPr>
      <w:r>
        <w:rPr>
          <w:rFonts w:ascii="Times New Roman" w:hAnsi="Times New Roman"/>
          <w:b w:val="0"/>
          <w:i w:val="0"/>
          <w:sz w:val="24"/>
        </w:rPr>
        <w:t>Berdasarkan Tabel 3.1 di atas, struktur matriks input model dibangun dari 14 variabel yang dikelompokkan ke dalam enam dimensi informasi pasar. Kelompok pertama dan kedua (Close, Open, High, Low, serta Volume) menyediakan informasi harga dasar dan likuiditas transaksi harian. Kelompok ketiga (EMA_14 dan EMA_50) bertindak sebagai penapis arah tren untuk membedakan pergerakan jangka pendek dari siklus jangka menengah. Kelompok keempat (RSI_14, MACD, dan MACD_Signal) berperan penting sebagai pendeteksi dini kejenuhan momentum pasar (</w:t>
      </w:r>
      <w:r>
        <w:rPr>
          <w:rFonts w:ascii="Times New Roman" w:hAnsi="Times New Roman"/>
          <w:b w:val="0"/>
          <w:i/>
          <w:sz w:val="24"/>
        </w:rPr>
        <w:t>overbought</w:t>
      </w:r>
      <w:r>
        <w:rPr>
          <w:rFonts w:ascii="Times New Roman" w:hAnsi="Times New Roman"/>
          <w:b w:val="0"/>
          <w:i w:val="0"/>
          <w:sz w:val="24"/>
        </w:rPr>
        <w:t xml:space="preserve"> dan </w:t>
      </w:r>
      <w:r>
        <w:rPr>
          <w:rFonts w:ascii="Times New Roman" w:hAnsi="Times New Roman"/>
          <w:b w:val="0"/>
          <w:i/>
          <w:sz w:val="24"/>
        </w:rPr>
        <w:t>oversold</w:t>
      </w:r>
      <w:r>
        <w:rPr>
          <w:rFonts w:ascii="Times New Roman" w:hAnsi="Times New Roman"/>
          <w:b w:val="0"/>
          <w:i w:val="0"/>
          <w:sz w:val="24"/>
        </w:rPr>
        <w:t>) serta sinyal persilangan tren (</w:t>
      </w:r>
      <w:r>
        <w:rPr>
          <w:rFonts w:ascii="Times New Roman" w:hAnsi="Times New Roman"/>
          <w:b w:val="0"/>
          <w:i/>
          <w:sz w:val="24"/>
        </w:rPr>
        <w:t>crossover</w:t>
      </w:r>
      <w:r>
        <w:rPr>
          <w:rFonts w:ascii="Times New Roman" w:hAnsi="Times New Roman"/>
          <w:b w:val="0"/>
          <w:i w:val="0"/>
          <w:sz w:val="24"/>
        </w:rPr>
        <w:t>). Kelompok kelima (BB_Upper, BB_Lower, dan ATR_14) mengukur tingkat pelebaran pita volatilitas dan rentang gejolak intrahari, sedangkan kelompok keenam (</w:t>
      </w:r>
      <w:r>
        <w:rPr>
          <w:rFonts w:ascii="Times New Roman" w:hAnsi="Times New Roman"/>
          <w:b w:val="0"/>
          <w:i/>
          <w:sz w:val="24"/>
        </w:rPr>
        <w:t>On-Balance Volume</w:t>
      </w:r>
      <w:r>
        <w:rPr>
          <w:rFonts w:ascii="Times New Roman" w:hAnsi="Times New Roman"/>
          <w:b w:val="0"/>
          <w:i w:val="0"/>
          <w:sz w:val="24"/>
        </w:rPr>
        <w:t xml:space="preserve"> / OBV) melacak akumulasi atau distribusi aliran modal secara kumulatif. Kombinasi ke-14 fitur ini memberikan konteks multi-dimensi yang kaya bagi lapisan konvolusi 1D-CNN.</w:t>
      </w:r>
    </w:p>
    <w:p>
      <w:pPr>
        <w:keepNext/>
        <w:spacing w:before="160" w:after="60"/>
        <w:jc w:val="center"/>
      </w:pPr>
      <w:r>
        <w:drawing>
          <wp:inline xmlns:a="http://schemas.openxmlformats.org/drawingml/2006/main" xmlns:pic="http://schemas.openxmlformats.org/drawingml/2006/picture">
            <wp:extent cx="4968000" cy="3838909"/>
            <wp:docPr id="5" name="Picture 5"/>
            <wp:cNvGraphicFramePr>
              <a:graphicFrameLocks noChangeAspect="1"/>
            </wp:cNvGraphicFramePr>
            <a:graphic>
              <a:graphicData uri="http://schemas.openxmlformats.org/drawingml/2006/picture">
                <pic:pic>
                  <pic:nvPicPr>
                    <pic:cNvPr id="0" name="fig1_solana_price_and_indicators.png"/>
                    <pic:cNvPicPr/>
                  </pic:nvPicPr>
                  <pic:blipFill>
                    <a:blip r:embed="rId15"/>
                    <a:stretch>
                      <a:fillRect/>
                    </a:stretch>
                  </pic:blipFill>
                  <pic:spPr>
                    <a:xfrm>
                      <a:off x="0" y="0"/>
                      <a:ext cx="4968000" cy="3838909"/>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3.2 </w:t>
      </w:r>
      <w:r>
        <w:rPr>
          <w:rFonts w:ascii="Times New Roman" w:hAnsi="Times New Roman"/>
          <w:b/>
          <w:i w:val="0"/>
          <w:sz w:val="24"/>
        </w:rPr>
        <w:t>Dinamika Harga Historis Solana (SOL-USD) dan Indikator Teknikal</w:t>
      </w:r>
    </w:p>
    <w:p>
      <w:pPr>
        <w:spacing w:line="360" w:lineRule="auto" w:after="160"/>
        <w:ind w:firstLine="567"/>
        <w:jc w:val="both"/>
      </w:pPr>
      <w:r>
        <w:rPr>
          <w:rFonts w:ascii="Times New Roman" w:hAnsi="Times New Roman"/>
          <w:b w:val="0"/>
          <w:i w:val="0"/>
          <w:sz w:val="24"/>
        </w:rPr>
        <w:t xml:space="preserve">Berdasarkan Gambar 3.2 di atas, dapat dijelaskan bahwa visualisasi deret waktu historis Solana (20 Januari 2021 hingga 30 September 2026) terdiri atas tiga panel grafik yang saling berkesinambungan. Panel teratas menampilkan pergerakan harga penutupan harian SOL-USD (garis biru tua) yang disandingkan dengan kurva tren EMA-50 (garis oranye putus-putus) serta selubung pita volatilitas </w:t>
      </w:r>
      <w:r>
        <w:rPr>
          <w:rFonts w:ascii="Times New Roman" w:hAnsi="Times New Roman"/>
          <w:b w:val="0"/>
          <w:i/>
          <w:sz w:val="24"/>
        </w:rPr>
        <w:t>Bollinger Bands</w:t>
      </w:r>
      <w:r>
        <w:rPr>
          <w:rFonts w:ascii="Times New Roman" w:hAnsi="Times New Roman"/>
          <w:b w:val="0"/>
          <w:i w:val="0"/>
          <w:sz w:val="24"/>
        </w:rPr>
        <w:t xml:space="preserve"> 20 hari (area arsiran biru muda). Dari panel pertama terlihat jelas bahwa harga Solana mengalami siklus reli tajam pada tahun 2021 dan 2024–2025 hingga melampaui 250 USD, fase koreksi mendalam pada tahun 2022–2023, serta fluktuasi dinamis pada tahun 2025–2026, di mana pelebaran selubung </w:t>
      </w:r>
      <w:r>
        <w:rPr>
          <w:rFonts w:ascii="Times New Roman" w:hAnsi="Times New Roman"/>
          <w:b w:val="0"/>
          <w:i/>
          <w:sz w:val="24"/>
        </w:rPr>
        <w:t>Bollinger Bands</w:t>
      </w:r>
      <w:r>
        <w:rPr>
          <w:rFonts w:ascii="Times New Roman" w:hAnsi="Times New Roman"/>
          <w:b w:val="0"/>
          <w:i w:val="0"/>
          <w:sz w:val="24"/>
        </w:rPr>
        <w:t xml:space="preserve"> selalu mengiringi lonjakan volatilitas. Panel tengah memperlihatkan osilator momentum RSI-14 (garis ungu) beserta batas ambang jenuh beli (garis merah pada level 70) dan jenuh jual (garis hijau pada level 30), yang terbukti secara konsisten menyentuh area ekstrem tepat sebelum terjadinya pembalikan arah harga. Panel terbawah menampilkan kurva MACD, garis sinyal (MACD Signal), dan histogram divergensi yang merekam pergeseran kekuatan momentum positif maupun negatif sepanjang lima tahun pengamatan.</w:t>
      </w:r>
    </w:p>
    <w:p>
      <w:pPr>
        <w:keepNext/>
        <w:spacing w:before="200" w:after="80" w:line="360" w:lineRule="auto"/>
        <w:jc w:val="left"/>
      </w:pPr>
      <w:r>
        <w:rPr>
          <w:rFonts w:ascii="Times New Roman" w:hAnsi="Times New Roman"/>
          <w:b/>
          <w:sz w:val="24"/>
        </w:rPr>
        <w:t xml:space="preserve">3.3.  </w:t>
      </w:r>
      <w:r>
        <w:rPr>
          <w:rFonts w:ascii="Times New Roman" w:hAnsi="Times New Roman"/>
          <w:b/>
          <w:i w:val="0"/>
          <w:sz w:val="24"/>
        </w:rPr>
        <w:t>Pra-pemrosesan Data, Normalisasi, dan Pembagian Kronologis</w:t>
      </w:r>
    </w:p>
    <w:p>
      <w:pPr>
        <w:spacing w:line="360" w:lineRule="auto" w:after="120"/>
        <w:ind w:firstLine="567"/>
        <w:jc w:val="both"/>
      </w:pPr>
      <w:r>
        <w:rPr>
          <w:rFonts w:ascii="Times New Roman" w:hAnsi="Times New Roman"/>
          <w:b w:val="0"/>
          <w:i w:val="0"/>
          <w:sz w:val="24"/>
        </w:rPr>
        <w:t>Perhitungan indikator teknikal yang melibatkan jendela bergerak hingga 20 hari menghasilkan nilai kosong (</w:t>
      </w:r>
      <w:r>
        <w:rPr>
          <w:rFonts w:ascii="Times New Roman" w:hAnsi="Times New Roman"/>
          <w:b w:val="0"/>
          <w:i/>
          <w:sz w:val="24"/>
        </w:rPr>
        <w:t>missing values</w:t>
      </w:r>
      <w:r>
        <w:rPr>
          <w:rFonts w:ascii="Times New Roman" w:hAnsi="Times New Roman"/>
          <w:b w:val="0"/>
          <w:i w:val="0"/>
          <w:sz w:val="24"/>
        </w:rPr>
        <w:t xml:space="preserve"> / NaN) pada 19 baris awal dataset. Baris-baris pemanasan (</w:t>
      </w:r>
      <w:r>
        <w:rPr>
          <w:rFonts w:ascii="Times New Roman" w:hAnsi="Times New Roman"/>
          <w:b w:val="0"/>
          <w:i/>
          <w:sz w:val="24"/>
        </w:rPr>
        <w:t>warm-up rows</w:t>
      </w:r>
      <w:r>
        <w:rPr>
          <w:rFonts w:ascii="Times New Roman" w:hAnsi="Times New Roman"/>
          <w:b w:val="0"/>
          <w:i w:val="0"/>
          <w:sz w:val="24"/>
        </w:rPr>
        <w:t>) tersebut dihapus sehingga diperoleh dataset bersih sebanyak 2080 observasi harian (20 Januari 2021 hingga 30 September 2026). Sebelum memasuki tahap pelatihan, dilakukan analisis korelasi Pearson antar-fitur sebagaimana ditunjukkan pada Gambar 3.3 untuk memastikan bahwa setiap indikator memberikan kontribusi informasi yang komplementer.</w:t>
      </w:r>
    </w:p>
    <w:p>
      <w:pPr>
        <w:keepNext/>
        <w:spacing w:before="160" w:after="60"/>
        <w:jc w:val="center"/>
      </w:pPr>
      <w:r>
        <w:drawing>
          <wp:inline xmlns:a="http://schemas.openxmlformats.org/drawingml/2006/main" xmlns:pic="http://schemas.openxmlformats.org/drawingml/2006/picture">
            <wp:extent cx="4500000" cy="3694737"/>
            <wp:docPr id="6" name="Picture 6"/>
            <wp:cNvGraphicFramePr>
              <a:graphicFrameLocks noChangeAspect="1"/>
            </wp:cNvGraphicFramePr>
            <a:graphic>
              <a:graphicData uri="http://schemas.openxmlformats.org/drawingml/2006/picture">
                <pic:pic>
                  <pic:nvPicPr>
                    <pic:cNvPr id="0" name="fig2_correlation_heatmap.png"/>
                    <pic:cNvPicPr/>
                  </pic:nvPicPr>
                  <pic:blipFill>
                    <a:blip r:embed="rId16"/>
                    <a:stretch>
                      <a:fillRect/>
                    </a:stretch>
                  </pic:blipFill>
                  <pic:spPr>
                    <a:xfrm>
                      <a:off x="0" y="0"/>
                      <a:ext cx="4500000" cy="3694737"/>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3.3 </w:t>
      </w:r>
      <w:r>
        <w:rPr>
          <w:rFonts w:ascii="Times New Roman" w:hAnsi="Times New Roman"/>
          <w:b/>
          <w:i w:val="0"/>
          <w:sz w:val="24"/>
        </w:rPr>
        <w:t>Matriks Korelasi Pearson Fitur Multivariat dan Indikator Teknikal Solana</w:t>
      </w:r>
    </w:p>
    <w:p>
      <w:pPr>
        <w:spacing w:line="360" w:lineRule="auto" w:after="160"/>
        <w:ind w:firstLine="567"/>
        <w:jc w:val="both"/>
      </w:pPr>
      <w:r>
        <w:rPr>
          <w:rFonts w:ascii="Times New Roman" w:hAnsi="Times New Roman"/>
          <w:b w:val="0"/>
          <w:i w:val="0"/>
          <w:sz w:val="24"/>
        </w:rPr>
        <w:t>Berdasarkan Gambar 3.3 di atas, dapat dijelaskan bahwa matriks korelasi Pearson berukuran 14 × 14 memetakan kekuatan dan arah hubungan linier di antara seluruh variabel input dan target harga penutupan (Close). Warna merah tua menunjukkan korelasi positif yang sangat kuat (mendekati +1,00), sedangkan gradasi warna yang lebih terang atau kebiruan menunjukkan korelasi lemah hingga moderat. Terlihat bahwa atribut harga primer (Open, High, Low) serta indikator pelacak tren dan pita harga (EMA_14, EMA_50, BB_Upper, dan BB_Lower) memiliki koefisien korelasi positif yang sangat tinggi terhadap harga Close (r berkisar antara 0,94 hingga 1,00), sehingga berfungsi menjaga akurasi estimasi level harga absolut. Sebaliknya, indikator osilator momentum dan volatilitas seperti RSI_14 (r = 0,21), MACD (r = 0,31), MACD_Signal (r = 0,32), Volume (r = 0,43), ATR_14 (r = 0,68), dan OBV (r = 0,74) memiliki korelasi moderat yang ortogonal terhadap level harga semata. Hal ini membuktikan bahwa ke-14 fitur tidak sekadar menduplikasi informasi harga, melainkan menyumbangkan sinyal kecepatan momentum, tekanan likuiditas, dan gejolak volatilitas yang krusial untuk mendeteksi pembalikan arah pasar.</w:t>
      </w:r>
    </w:p>
    <w:p>
      <w:pPr>
        <w:spacing w:line="360" w:lineRule="auto" w:after="120"/>
        <w:ind w:firstLine="567"/>
        <w:jc w:val="both"/>
      </w:pPr>
      <w:r>
        <w:rPr>
          <w:rFonts w:ascii="Times New Roman" w:hAnsi="Times New Roman"/>
          <w:b w:val="0"/>
          <w:i w:val="0"/>
          <w:sz w:val="24"/>
        </w:rPr>
        <w:t>Selanjutnya, dataset dibagi secara berurutan menurut waktu (</w:t>
      </w:r>
      <w:r>
        <w:rPr>
          <w:rFonts w:ascii="Times New Roman" w:hAnsi="Times New Roman"/>
          <w:b w:val="0"/>
          <w:i/>
          <w:sz w:val="24"/>
        </w:rPr>
        <w:t>chronological split</w:t>
      </w:r>
      <w:r>
        <w:rPr>
          <w:rFonts w:ascii="Times New Roman" w:hAnsi="Times New Roman"/>
          <w:b w:val="0"/>
          <w:i w:val="0"/>
          <w:sz w:val="24"/>
        </w:rPr>
        <w:t>) menjadi tiga subset terpisah, yaitu Data Latih (70%), Data Validasi (15%), dan Data Uji (15%) sebagaimana dirinci pada Tabel 3.2. Parameter normalisasi Min-Max (nilai minimum dan maksimum) dihitung secara ketat hanya dari Data Latih untuk mencegah terjadinya kebocoran informasi masa depan (</w:t>
      </w:r>
      <w:r>
        <w:rPr>
          <w:rFonts w:ascii="Times New Roman" w:hAnsi="Times New Roman"/>
          <w:b w:val="0"/>
          <w:i/>
          <w:sz w:val="24"/>
        </w:rPr>
        <w:t>data leakage</w:t>
      </w:r>
      <w:r>
        <w:rPr>
          <w:rFonts w:ascii="Times New Roman" w:hAnsi="Times New Roman"/>
          <w:b w:val="0"/>
          <w:i w:val="0"/>
          <w:sz w:val="24"/>
        </w:rPr>
        <w:t>). Data yang telah ternormalisasi kemudian dibentuk menjadi tensor tiga dimensi berdimensi (N_sampel, 20, 14) menggunakan metode jendela geser (</w:t>
      </w:r>
      <w:r>
        <w:rPr>
          <w:rFonts w:ascii="Times New Roman" w:hAnsi="Times New Roman"/>
          <w:b w:val="0"/>
          <w:i/>
          <w:sz w:val="24"/>
        </w:rPr>
        <w:t>sliding window</w:t>
      </w:r>
      <w:r>
        <w:rPr>
          <w:rFonts w:ascii="Times New Roman" w:hAnsi="Times New Roman"/>
          <w:b w:val="0"/>
          <w:i w:val="0"/>
          <w:sz w:val="24"/>
        </w:rPr>
        <w:t>) dengan ukuran langkah waktu T = 20 hari.</w:t>
      </w:r>
    </w:p>
    <w:p>
      <w:pPr>
        <w:keepNext/>
        <w:spacing w:before="160" w:after="60" w:line="276" w:lineRule="auto"/>
        <w:jc w:val="left"/>
      </w:pPr>
      <w:r>
        <w:rPr>
          <w:rFonts w:ascii="Times New Roman" w:hAnsi="Times New Roman"/>
          <w:b/>
          <w:sz w:val="24"/>
        </w:rPr>
        <w:t xml:space="preserve">Tabel 3.2 </w:t>
      </w:r>
      <w:r>
        <w:rPr>
          <w:rFonts w:ascii="Times New Roman" w:hAnsi="Times New Roman"/>
          <w:b/>
          <w:i w:val="0"/>
          <w:sz w:val="24"/>
        </w:rPr>
        <w:t>Statistik Deskriptif dan Skema Pembagian Kronologis Dataset</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1F2"/>
            <w:vAlign w:val="center"/>
          </w:tcPr>
          <w:p>
            <w:pPr>
              <w:spacing w:line="276" w:lineRule="auto" w:before="60" w:after="60"/>
              <w:jc w:val="center"/>
            </w:pPr>
            <w:r>
              <w:rPr>
                <w:rFonts w:ascii="Times New Roman" w:hAnsi="Times New Roman"/>
                <w:b/>
                <w:sz w:val="18"/>
              </w:rPr>
              <w:t>Subset Data</w:t>
            </w:r>
          </w:p>
        </w:tc>
        <w:tc>
          <w:tcPr>
            <w:tcW w:type="dxa" w:w="1587"/>
            <w:shd w:fill="D9E1F2"/>
            <w:vAlign w:val="center"/>
          </w:tcPr>
          <w:p>
            <w:pPr>
              <w:spacing w:line="276" w:lineRule="auto" w:before="60" w:after="60"/>
              <w:jc w:val="center"/>
            </w:pPr>
            <w:r>
              <w:rPr>
                <w:rFonts w:ascii="Times New Roman" w:hAnsi="Times New Roman"/>
                <w:b/>
                <w:sz w:val="18"/>
              </w:rPr>
              <w:t>Proporsi</w:t>
            </w:r>
          </w:p>
        </w:tc>
        <w:tc>
          <w:tcPr>
            <w:tcW w:type="dxa" w:w="1587"/>
            <w:shd w:fill="D9E1F2"/>
            <w:vAlign w:val="center"/>
          </w:tcPr>
          <w:p>
            <w:pPr>
              <w:spacing w:line="276" w:lineRule="auto" w:before="60" w:after="60"/>
              <w:jc w:val="center"/>
            </w:pPr>
            <w:r>
              <w:rPr>
                <w:rFonts w:ascii="Times New Roman" w:hAnsi="Times New Roman"/>
                <w:b/>
                <w:sz w:val="18"/>
              </w:rPr>
              <w:t>Jumlah Observasi</w:t>
            </w:r>
          </w:p>
        </w:tc>
        <w:tc>
          <w:tcPr>
            <w:tcW w:type="dxa" w:w="1587"/>
            <w:shd w:fill="D9E1F2"/>
            <w:vAlign w:val="center"/>
          </w:tcPr>
          <w:p>
            <w:pPr>
              <w:spacing w:line="276" w:lineRule="auto" w:before="60" w:after="60"/>
              <w:jc w:val="center"/>
            </w:pPr>
            <w:r>
              <w:rPr>
                <w:rFonts w:ascii="Times New Roman" w:hAnsi="Times New Roman"/>
                <w:b/>
                <w:sz w:val="18"/>
              </w:rPr>
              <w:t>Rentang Tanggal Perdagangan</w:t>
            </w:r>
          </w:p>
        </w:tc>
        <w:tc>
          <w:tcPr>
            <w:tcW w:type="dxa" w:w="1587"/>
            <w:shd w:fill="D9E1F2"/>
            <w:vAlign w:val="center"/>
          </w:tcPr>
          <w:p>
            <w:pPr>
              <w:spacing w:line="276" w:lineRule="auto" w:before="60" w:after="60"/>
              <w:jc w:val="center"/>
            </w:pPr>
            <w:r>
              <w:rPr>
                <w:rFonts w:ascii="Times New Roman" w:hAnsi="Times New Roman"/>
                <w:b/>
                <w:sz w:val="18"/>
              </w:rPr>
              <w:t>Fungsi pada Eksperimen</w:t>
            </w:r>
          </w:p>
        </w:tc>
      </w:tr>
      <w:tr>
        <w:tc>
          <w:tcPr>
            <w:tcW w:type="dxa" w:w="1587"/>
            <w:vAlign w:val="center"/>
          </w:tcPr>
          <w:p>
            <w:pPr>
              <w:spacing w:line="276" w:lineRule="auto" w:before="40" w:after="40"/>
            </w:pPr>
            <w:r>
              <w:rPr>
                <w:rFonts w:ascii="Times New Roman" w:hAnsi="Times New Roman"/>
                <w:sz w:val="18"/>
              </w:rPr>
              <w:t>Data Latih (Training Set)</w:t>
            </w:r>
          </w:p>
        </w:tc>
        <w:tc>
          <w:tcPr>
            <w:tcW w:type="dxa" w:w="1587"/>
            <w:vAlign w:val="center"/>
          </w:tcPr>
          <w:p>
            <w:pPr>
              <w:spacing w:line="276" w:lineRule="auto" w:before="40" w:after="40"/>
            </w:pPr>
            <w:r>
              <w:rPr>
                <w:rFonts w:ascii="Times New Roman" w:hAnsi="Times New Roman"/>
                <w:sz w:val="18"/>
              </w:rPr>
              <w:t>70%</w:t>
            </w:r>
          </w:p>
        </w:tc>
        <w:tc>
          <w:tcPr>
            <w:tcW w:type="dxa" w:w="1587"/>
            <w:vAlign w:val="center"/>
          </w:tcPr>
          <w:p>
            <w:pPr>
              <w:spacing w:line="276" w:lineRule="auto" w:before="40" w:after="40"/>
            </w:pPr>
            <w:r>
              <w:rPr>
                <w:rFonts w:ascii="Times New Roman" w:hAnsi="Times New Roman"/>
                <w:sz w:val="18"/>
              </w:rPr>
              <w:t>1.456 Hari</w:t>
            </w:r>
          </w:p>
        </w:tc>
        <w:tc>
          <w:tcPr>
            <w:tcW w:type="dxa" w:w="1587"/>
            <w:vAlign w:val="center"/>
          </w:tcPr>
          <w:p>
            <w:pPr>
              <w:spacing w:line="276" w:lineRule="auto" w:before="40" w:after="40"/>
            </w:pPr>
            <w:r>
              <w:rPr>
                <w:rFonts w:ascii="Times New Roman" w:hAnsi="Times New Roman"/>
                <w:sz w:val="18"/>
              </w:rPr>
              <w:t>20 Jan 2021 – 14 Jan 2025</w:t>
            </w:r>
          </w:p>
        </w:tc>
        <w:tc>
          <w:tcPr>
            <w:tcW w:type="dxa" w:w="1587"/>
            <w:vAlign w:val="center"/>
          </w:tcPr>
          <w:p>
            <w:pPr>
              <w:spacing w:line="276" w:lineRule="auto" w:before="40" w:after="40"/>
            </w:pPr>
            <w:r>
              <w:rPr>
                <w:rFonts w:ascii="Times New Roman" w:hAnsi="Times New Roman"/>
                <w:sz w:val="18"/>
              </w:rPr>
              <w:t>Optimasi bobot jaringan saraf dan pencocokan parameter MinMaxScaler.</w:t>
            </w:r>
          </w:p>
        </w:tc>
      </w:tr>
      <w:tr>
        <w:tc>
          <w:tcPr>
            <w:tcW w:type="dxa" w:w="1587"/>
            <w:vAlign w:val="center"/>
          </w:tcPr>
          <w:p>
            <w:pPr>
              <w:spacing w:line="276" w:lineRule="auto" w:before="40" w:after="40"/>
            </w:pPr>
            <w:r>
              <w:rPr>
                <w:rFonts w:ascii="Times New Roman" w:hAnsi="Times New Roman"/>
                <w:sz w:val="18"/>
              </w:rPr>
              <w:t>Data Validasi (Validation Set)</w:t>
            </w:r>
          </w:p>
        </w:tc>
        <w:tc>
          <w:tcPr>
            <w:tcW w:type="dxa" w:w="1587"/>
            <w:vAlign w:val="center"/>
          </w:tcPr>
          <w:p>
            <w:pPr>
              <w:spacing w:line="276" w:lineRule="auto" w:before="40" w:after="40"/>
            </w:pPr>
            <w:r>
              <w:rPr>
                <w:rFonts w:ascii="Times New Roman" w:hAnsi="Times New Roman"/>
                <w:sz w:val="18"/>
              </w:rPr>
              <w:t>15%</w:t>
            </w:r>
          </w:p>
        </w:tc>
        <w:tc>
          <w:tcPr>
            <w:tcW w:type="dxa" w:w="1587"/>
            <w:vAlign w:val="center"/>
          </w:tcPr>
          <w:p>
            <w:pPr>
              <w:spacing w:line="276" w:lineRule="auto" w:before="40" w:after="40"/>
            </w:pPr>
            <w:r>
              <w:rPr>
                <w:rFonts w:ascii="Times New Roman" w:hAnsi="Times New Roman"/>
                <w:sz w:val="18"/>
              </w:rPr>
              <w:t>312 Hari</w:t>
            </w:r>
          </w:p>
        </w:tc>
        <w:tc>
          <w:tcPr>
            <w:tcW w:type="dxa" w:w="1587"/>
            <w:vAlign w:val="center"/>
          </w:tcPr>
          <w:p>
            <w:pPr>
              <w:spacing w:line="276" w:lineRule="auto" w:before="40" w:after="40"/>
            </w:pPr>
            <w:r>
              <w:rPr>
                <w:rFonts w:ascii="Times New Roman" w:hAnsi="Times New Roman"/>
                <w:sz w:val="18"/>
              </w:rPr>
              <w:t>15 Jan 2025 – 22 Nov 2025</w:t>
            </w:r>
          </w:p>
        </w:tc>
        <w:tc>
          <w:tcPr>
            <w:tcW w:type="dxa" w:w="1587"/>
            <w:vAlign w:val="center"/>
          </w:tcPr>
          <w:p>
            <w:pPr>
              <w:spacing w:line="276" w:lineRule="auto" w:before="40" w:after="40"/>
            </w:pPr>
            <w:r>
              <w:rPr>
                <w:rFonts w:ascii="Times New Roman" w:hAnsi="Times New Roman"/>
                <w:sz w:val="18"/>
              </w:rPr>
              <w:t>Pemantauan konvergensi loss, penjadwalan learning rate, dan pemilihan model terbaik.</w:t>
            </w:r>
          </w:p>
        </w:tc>
      </w:tr>
      <w:tr>
        <w:tc>
          <w:tcPr>
            <w:tcW w:type="dxa" w:w="1587"/>
            <w:vAlign w:val="center"/>
          </w:tcPr>
          <w:p>
            <w:pPr>
              <w:spacing w:line="276" w:lineRule="auto" w:before="40" w:after="40"/>
            </w:pPr>
            <w:r>
              <w:rPr>
                <w:rFonts w:ascii="Times New Roman" w:hAnsi="Times New Roman"/>
                <w:sz w:val="18"/>
              </w:rPr>
              <w:t>Data Uji (Testing Set)</w:t>
            </w:r>
          </w:p>
        </w:tc>
        <w:tc>
          <w:tcPr>
            <w:tcW w:type="dxa" w:w="1587"/>
            <w:vAlign w:val="center"/>
          </w:tcPr>
          <w:p>
            <w:pPr>
              <w:spacing w:line="276" w:lineRule="auto" w:before="40" w:after="40"/>
            </w:pPr>
            <w:r>
              <w:rPr>
                <w:rFonts w:ascii="Times New Roman" w:hAnsi="Times New Roman"/>
                <w:sz w:val="18"/>
              </w:rPr>
              <w:t>15%</w:t>
            </w:r>
          </w:p>
        </w:tc>
        <w:tc>
          <w:tcPr>
            <w:tcW w:type="dxa" w:w="1587"/>
            <w:vAlign w:val="center"/>
          </w:tcPr>
          <w:p>
            <w:pPr>
              <w:spacing w:line="276" w:lineRule="auto" w:before="40" w:after="40"/>
            </w:pPr>
            <w:r>
              <w:rPr>
                <w:rFonts w:ascii="Times New Roman" w:hAnsi="Times New Roman"/>
                <w:sz w:val="18"/>
              </w:rPr>
              <w:t>312 Hari</w:t>
            </w:r>
          </w:p>
        </w:tc>
        <w:tc>
          <w:tcPr>
            <w:tcW w:type="dxa" w:w="1587"/>
            <w:vAlign w:val="center"/>
          </w:tcPr>
          <w:p>
            <w:pPr>
              <w:spacing w:line="276" w:lineRule="auto" w:before="40" w:after="40"/>
            </w:pPr>
            <w:r>
              <w:rPr>
                <w:rFonts w:ascii="Times New Roman" w:hAnsi="Times New Roman"/>
                <w:sz w:val="18"/>
              </w:rPr>
              <w:t>23 Nov 2025 – 30 Sep 2026</w:t>
            </w:r>
          </w:p>
        </w:tc>
        <w:tc>
          <w:tcPr>
            <w:tcW w:type="dxa" w:w="1587"/>
            <w:vAlign w:val="center"/>
          </w:tcPr>
          <w:p>
            <w:pPr>
              <w:spacing w:line="276" w:lineRule="auto" w:before="40" w:after="40"/>
            </w:pPr>
            <w:r>
              <w:rPr>
                <w:rFonts w:ascii="Times New Roman" w:hAnsi="Times New Roman"/>
                <w:sz w:val="18"/>
              </w:rPr>
              <w:t>Pengujian objektif performa model pada data masa depan yang belum pernah dilihat.</w:t>
            </w:r>
          </w:p>
        </w:tc>
      </w:tr>
      <w:tr>
        <w:tc>
          <w:tcPr>
            <w:tcW w:type="dxa" w:w="1587"/>
            <w:vAlign w:val="center"/>
          </w:tcPr>
          <w:p>
            <w:pPr>
              <w:spacing w:line="276" w:lineRule="auto" w:before="40" w:after="40"/>
            </w:pPr>
            <w:r>
              <w:rPr>
                <w:rFonts w:ascii="Times New Roman" w:hAnsi="Times New Roman"/>
                <w:sz w:val="18"/>
              </w:rPr>
              <w:t>Total Dataset Bersih</w:t>
            </w:r>
          </w:p>
        </w:tc>
        <w:tc>
          <w:tcPr>
            <w:tcW w:type="dxa" w:w="1587"/>
            <w:vAlign w:val="center"/>
          </w:tcPr>
          <w:p>
            <w:pPr>
              <w:spacing w:line="276" w:lineRule="auto" w:before="40" w:after="40"/>
            </w:pPr>
            <w:r>
              <w:rPr>
                <w:rFonts w:ascii="Times New Roman" w:hAnsi="Times New Roman"/>
                <w:sz w:val="18"/>
              </w:rPr>
              <w:t>100%</w:t>
            </w:r>
          </w:p>
        </w:tc>
        <w:tc>
          <w:tcPr>
            <w:tcW w:type="dxa" w:w="1587"/>
            <w:vAlign w:val="center"/>
          </w:tcPr>
          <w:p>
            <w:pPr>
              <w:spacing w:line="276" w:lineRule="auto" w:before="40" w:after="40"/>
            </w:pPr>
            <w:r>
              <w:rPr>
                <w:rFonts w:ascii="Times New Roman" w:hAnsi="Times New Roman"/>
                <w:sz w:val="18"/>
              </w:rPr>
              <w:t>2.080 Hari</w:t>
            </w:r>
          </w:p>
        </w:tc>
        <w:tc>
          <w:tcPr>
            <w:tcW w:type="dxa" w:w="1587"/>
            <w:vAlign w:val="center"/>
          </w:tcPr>
          <w:p>
            <w:pPr>
              <w:spacing w:line="276" w:lineRule="auto" w:before="40" w:after="40"/>
            </w:pPr>
            <w:r>
              <w:rPr>
                <w:rFonts w:ascii="Times New Roman" w:hAnsi="Times New Roman"/>
                <w:sz w:val="18"/>
              </w:rPr>
              <w:t>20 Jan 2021 – 30 Sep 2026</w:t>
            </w:r>
          </w:p>
        </w:tc>
        <w:tc>
          <w:tcPr>
            <w:tcW w:type="dxa" w:w="1587"/>
            <w:vAlign w:val="center"/>
          </w:tcPr>
          <w:p>
            <w:pPr>
              <w:spacing w:line="276" w:lineRule="auto" w:before="40" w:after="40"/>
            </w:pPr>
            <w:r>
              <w:rPr>
                <w:rFonts w:ascii="Times New Roman" w:hAnsi="Times New Roman"/>
                <w:sz w:val="18"/>
              </w:rPr>
              <w:t>Keseluruhan sampel penelitian pasca-pembersihan warm-up period.</w:t>
            </w:r>
          </w:p>
        </w:tc>
      </w:tr>
    </w:tbl>
    <w:p>
      <w:pPr>
        <w:spacing w:line="360" w:lineRule="auto" w:after="120"/>
        <w:ind w:firstLine="567"/>
        <w:jc w:val="both"/>
      </w:pPr>
      <w:r>
        <w:rPr>
          <w:rFonts w:ascii="Times New Roman" w:hAnsi="Times New Roman"/>
          <w:b w:val="0"/>
          <w:i w:val="0"/>
          <w:sz w:val="24"/>
        </w:rPr>
        <w:t>Berdasarkan Tabel 3.2 di atas, keseluruhan 2.080 observasi harian bersih dibagi secara ketat mengikuti urutan kronologis kalender tanpa pengacakan (non-shuffled split). Sebanyak 1.456 hari pertama (70%, periode 20 Januari 2021 hingga 14 Januari 2025) dialokasikan sebagai Data Latih (</w:t>
      </w:r>
      <w:r>
        <w:rPr>
          <w:rFonts w:ascii="Times New Roman" w:hAnsi="Times New Roman"/>
          <w:b w:val="0"/>
          <w:i/>
          <w:sz w:val="24"/>
        </w:rPr>
        <w:t>Training Set</w:t>
      </w:r>
      <w:r>
        <w:rPr>
          <w:rFonts w:ascii="Times New Roman" w:hAnsi="Times New Roman"/>
          <w:b w:val="0"/>
          <w:i w:val="0"/>
          <w:sz w:val="24"/>
        </w:rPr>
        <w:t>) untuk melatih parameter bobot jaringan sekaligus menjadi satu-satunya acuan perhitungan batas minimum dan maksimum pada MinMaxScaler. Sebanyak 312 hari berikutnya (15%, periode 15 Januari 2025 hingga 22 November 2025) digunakan sebagai Data Validasi (</w:t>
      </w:r>
      <w:r>
        <w:rPr>
          <w:rFonts w:ascii="Times New Roman" w:hAnsi="Times New Roman"/>
          <w:b w:val="0"/>
          <w:i/>
          <w:sz w:val="24"/>
        </w:rPr>
        <w:t>Validation Set</w:t>
      </w:r>
      <w:r>
        <w:rPr>
          <w:rFonts w:ascii="Times New Roman" w:hAnsi="Times New Roman"/>
          <w:b w:val="0"/>
          <w:i w:val="0"/>
          <w:sz w:val="24"/>
        </w:rPr>
        <w:t xml:space="preserve">) untuk memantau kurva </w:t>
      </w:r>
      <w:r>
        <w:rPr>
          <w:rFonts w:ascii="Times New Roman" w:hAnsi="Times New Roman"/>
          <w:b w:val="0"/>
          <w:i/>
          <w:sz w:val="24"/>
        </w:rPr>
        <w:t>validation loss</w:t>
      </w:r>
      <w:r>
        <w:rPr>
          <w:rFonts w:ascii="Times New Roman" w:hAnsi="Times New Roman"/>
          <w:b w:val="0"/>
          <w:i w:val="0"/>
          <w:sz w:val="24"/>
        </w:rPr>
        <w:t xml:space="preserve"> dan menentukan titik pemberhentian optimal (</w:t>
      </w:r>
      <w:r>
        <w:rPr>
          <w:rFonts w:ascii="Times New Roman" w:hAnsi="Times New Roman"/>
          <w:b w:val="0"/>
          <w:i/>
          <w:sz w:val="24"/>
        </w:rPr>
        <w:t>early stopping</w:t>
      </w:r>
      <w:r>
        <w:rPr>
          <w:rFonts w:ascii="Times New Roman" w:hAnsi="Times New Roman"/>
          <w:b w:val="0"/>
          <w:i w:val="0"/>
          <w:sz w:val="24"/>
        </w:rPr>
        <w:t xml:space="preserve">) guna mencegah </w:t>
      </w:r>
      <w:r>
        <w:rPr>
          <w:rFonts w:ascii="Times New Roman" w:hAnsi="Times New Roman"/>
          <w:b w:val="0"/>
          <w:i/>
          <w:sz w:val="24"/>
        </w:rPr>
        <w:t>overfitting</w:t>
      </w:r>
      <w:r>
        <w:rPr>
          <w:rFonts w:ascii="Times New Roman" w:hAnsi="Times New Roman"/>
          <w:b w:val="0"/>
          <w:i w:val="0"/>
          <w:sz w:val="24"/>
        </w:rPr>
        <w:t>. Adapun 312 hari terakhir (15%, periode 23 November 2025 hingga 30 September 2026) disimpan sepenuhnya sebagai Data Uji (</w:t>
      </w:r>
      <w:r>
        <w:rPr>
          <w:rFonts w:ascii="Times New Roman" w:hAnsi="Times New Roman"/>
          <w:b w:val="0"/>
          <w:i/>
          <w:sz w:val="24"/>
        </w:rPr>
        <w:t>Testing Set</w:t>
      </w:r>
      <w:r>
        <w:rPr>
          <w:rFonts w:ascii="Times New Roman" w:hAnsi="Times New Roman"/>
          <w:b w:val="0"/>
          <w:i w:val="0"/>
          <w:sz w:val="24"/>
        </w:rPr>
        <w:t>) untuk menguji kemampuan generalisasi model pada kondisi pasar masa depan yang belum pernah dilihat selama pelatihan.</w:t>
      </w:r>
    </w:p>
    <w:p>
      <w:pPr>
        <w:keepNext/>
        <w:spacing w:before="200" w:after="80" w:line="360" w:lineRule="auto"/>
        <w:jc w:val="left"/>
      </w:pPr>
      <w:r>
        <w:rPr>
          <w:rFonts w:ascii="Times New Roman" w:hAnsi="Times New Roman"/>
          <w:b/>
          <w:sz w:val="24"/>
        </w:rPr>
        <w:t xml:space="preserve">3.4.  </w:t>
      </w:r>
      <w:r>
        <w:rPr>
          <w:rFonts w:ascii="Times New Roman" w:hAnsi="Times New Roman"/>
          <w:b/>
          <w:i w:val="0"/>
          <w:sz w:val="24"/>
        </w:rPr>
        <w:t>Perancangan Arsitektur Model Hibrida CNN-BiLSTM-Attention</w:t>
      </w:r>
    </w:p>
    <w:p>
      <w:pPr>
        <w:spacing w:line="360" w:lineRule="auto" w:after="120"/>
        <w:ind w:firstLine="567"/>
        <w:jc w:val="both"/>
      </w:pPr>
      <w:r>
        <w:rPr>
          <w:rFonts w:ascii="Times New Roman" w:hAnsi="Times New Roman"/>
          <w:b w:val="0"/>
          <w:i w:val="0"/>
          <w:sz w:val="24"/>
        </w:rPr>
        <w:t xml:space="preserve">Model usulan CNN-BiLSTM-Attention dibangun dengan menyinergikan tiga modul utama secara berurutan. Pertama, lapisan 1D-CNN dengan 32 filter konvolusional (ukuran kernel k = 3, padding = 1, dan aktivasi LeakyReLU) mengekstraksi fitur lokal lintas ke-14 variabel pada setiap langkah waktu, dilengkapi proyeksi residual dari input asli. Kedua, keluaran konvolusi dimasukkan ke dalam lapisan Bidirectional LSTM (48 unit tersembunyi pada arah maju dan 48 unit pada arah mundur, menghasilkan dimensi gabungan 96 unit) untuk memodelkan ketergantungan temporal dua arah. Ketiga, mekanisme Temporal </w:t>
      </w:r>
      <w:r>
        <w:rPr>
          <w:rFonts w:ascii="Times New Roman" w:hAnsi="Times New Roman"/>
          <w:b w:val="0"/>
          <w:i/>
          <w:sz w:val="24"/>
        </w:rPr>
        <w:t>Bahdanau Attention</w:t>
      </w:r>
      <w:r>
        <w:rPr>
          <w:rFonts w:ascii="Times New Roman" w:hAnsi="Times New Roman"/>
          <w:b w:val="0"/>
          <w:i w:val="0"/>
          <w:sz w:val="24"/>
        </w:rPr>
        <w:t xml:space="preserve"> menghitung bobot kepentingan α_t pada seluruh 20 langkah waktu dan membentuk vektor konteks yang diteruskan ke lapisan Dense(32) dan lapisan output linier Dense(1). Rincian hiperparameter seluruh model yang dikomparasikan disajikan pada Tabel 3.3, sedangkan prosedur algoritmiknya dituliskan pada Algoritme 1.</w:t>
      </w:r>
    </w:p>
    <w:p>
      <w:pPr>
        <w:keepNext/>
        <w:spacing w:before="160" w:after="60" w:line="276" w:lineRule="auto"/>
        <w:jc w:val="left"/>
      </w:pPr>
      <w:r>
        <w:rPr>
          <w:rFonts w:ascii="Times New Roman" w:hAnsi="Times New Roman"/>
          <w:b/>
          <w:sz w:val="24"/>
        </w:rPr>
        <w:t xml:space="preserve">Tabel 3.3 </w:t>
      </w:r>
      <w:r>
        <w:rPr>
          <w:rFonts w:ascii="Times New Roman" w:hAnsi="Times New Roman"/>
          <w:b/>
          <w:i w:val="0"/>
          <w:sz w:val="24"/>
        </w:rPr>
        <w:t>Konfigurasi Hiperparameter dan Arsitektur Model yang Dikomparasikan</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1F2"/>
            <w:vAlign w:val="center"/>
          </w:tcPr>
          <w:p>
            <w:pPr>
              <w:spacing w:line="276" w:lineRule="auto" w:before="60" w:after="60"/>
              <w:jc w:val="center"/>
            </w:pPr>
            <w:r>
              <w:rPr>
                <w:rFonts w:ascii="Times New Roman" w:hAnsi="Times New Roman"/>
                <w:b/>
                <w:sz w:val="17"/>
              </w:rPr>
              <w:t>Nama Model</w:t>
            </w:r>
          </w:p>
        </w:tc>
        <w:tc>
          <w:tcPr>
            <w:tcW w:type="dxa" w:w="1587"/>
            <w:shd w:fill="D9E1F2"/>
            <w:vAlign w:val="center"/>
          </w:tcPr>
          <w:p>
            <w:pPr>
              <w:spacing w:line="276" w:lineRule="auto" w:before="60" w:after="60"/>
              <w:jc w:val="center"/>
            </w:pPr>
            <w:r>
              <w:rPr>
                <w:rFonts w:ascii="Times New Roman" w:hAnsi="Times New Roman"/>
                <w:b/>
                <w:sz w:val="17"/>
              </w:rPr>
              <w:t>Susunan Lapisan Utama (Topology)</w:t>
            </w:r>
          </w:p>
        </w:tc>
        <w:tc>
          <w:tcPr>
            <w:tcW w:type="dxa" w:w="1587"/>
            <w:shd w:fill="D9E1F2"/>
            <w:vAlign w:val="center"/>
          </w:tcPr>
          <w:p>
            <w:pPr>
              <w:spacing w:line="276" w:lineRule="auto" w:before="60" w:after="60"/>
              <w:jc w:val="center"/>
            </w:pPr>
            <w:r>
              <w:rPr>
                <w:rFonts w:ascii="Times New Roman" w:hAnsi="Times New Roman"/>
                <w:b/>
                <w:sz w:val="17"/>
              </w:rPr>
              <w:t>Jumlah Parameter</w:t>
            </w:r>
          </w:p>
        </w:tc>
        <w:tc>
          <w:tcPr>
            <w:tcW w:type="dxa" w:w="1587"/>
            <w:shd w:fill="D9E1F2"/>
            <w:vAlign w:val="center"/>
          </w:tcPr>
          <w:p>
            <w:pPr>
              <w:spacing w:line="276" w:lineRule="auto" w:before="60" w:after="60"/>
              <w:jc w:val="center"/>
            </w:pPr>
            <w:r>
              <w:rPr>
                <w:rFonts w:ascii="Times New Roman" w:hAnsi="Times New Roman"/>
                <w:b/>
                <w:sz w:val="17"/>
              </w:rPr>
              <w:t>Optimizer &amp; Learning Rate</w:t>
            </w:r>
          </w:p>
        </w:tc>
        <w:tc>
          <w:tcPr>
            <w:tcW w:type="dxa" w:w="1587"/>
            <w:shd w:fill="D9E1F2"/>
            <w:vAlign w:val="center"/>
          </w:tcPr>
          <w:p>
            <w:pPr>
              <w:spacing w:line="276" w:lineRule="auto" w:before="60" w:after="60"/>
              <w:jc w:val="center"/>
            </w:pPr>
            <w:r>
              <w:rPr>
                <w:rFonts w:ascii="Times New Roman" w:hAnsi="Times New Roman"/>
                <w:b/>
                <w:sz w:val="17"/>
              </w:rPr>
              <w:t>Time Steps &amp; Batch</w:t>
            </w:r>
          </w:p>
        </w:tc>
      </w:tr>
      <w:tr>
        <w:tc>
          <w:tcPr>
            <w:tcW w:type="dxa" w:w="1587"/>
            <w:vAlign w:val="center"/>
          </w:tcPr>
          <w:p>
            <w:pPr>
              <w:spacing w:line="276" w:lineRule="auto" w:before="40" w:after="40"/>
            </w:pPr>
            <w:r>
              <w:rPr>
                <w:rFonts w:ascii="Times New Roman" w:hAnsi="Times New Roman"/>
                <w:sz w:val="17"/>
              </w:rPr>
              <w:t>LSTM (Baseline 1)</w:t>
            </w:r>
          </w:p>
        </w:tc>
        <w:tc>
          <w:tcPr>
            <w:tcW w:type="dxa" w:w="1587"/>
            <w:vAlign w:val="center"/>
          </w:tcPr>
          <w:p>
            <w:pPr>
              <w:spacing w:line="276" w:lineRule="auto" w:before="40" w:after="40"/>
            </w:pPr>
            <w:r>
              <w:rPr>
                <w:rFonts w:ascii="Times New Roman" w:hAnsi="Times New Roman"/>
                <w:sz w:val="17"/>
              </w:rPr>
              <w:t>LSTM(50) → Dropout(0,2) → LSTM(50) → Dense(25) → Dense(1)</w:t>
            </w:r>
          </w:p>
        </w:tc>
        <w:tc>
          <w:tcPr>
            <w:tcW w:type="dxa" w:w="1587"/>
            <w:vAlign w:val="center"/>
          </w:tcPr>
          <w:p>
            <w:pPr>
              <w:spacing w:line="276" w:lineRule="auto" w:before="40" w:after="40"/>
            </w:pPr>
            <w:r>
              <w:rPr>
                <w:rFonts w:ascii="Times New Roman" w:hAnsi="Times New Roman"/>
                <w:sz w:val="17"/>
              </w:rPr>
              <w:t>34.501</w:t>
            </w:r>
          </w:p>
        </w:tc>
        <w:tc>
          <w:tcPr>
            <w:tcW w:type="dxa" w:w="1587"/>
            <w:vAlign w:val="center"/>
          </w:tcPr>
          <w:p>
            <w:pPr>
              <w:spacing w:line="276" w:lineRule="auto" w:before="40" w:after="40"/>
            </w:pPr>
            <w:r>
              <w:rPr>
                <w:rFonts w:ascii="Times New Roman" w:hAnsi="Times New Roman"/>
                <w:sz w:val="17"/>
              </w:rPr>
              <w:t>Adam (lr = 0,001)</w:t>
            </w:r>
          </w:p>
        </w:tc>
        <w:tc>
          <w:tcPr>
            <w:tcW w:type="dxa" w:w="1587"/>
            <w:vAlign w:val="center"/>
          </w:tcPr>
          <w:p>
            <w:pPr>
              <w:spacing w:line="276" w:lineRule="auto" w:before="40" w:after="40"/>
            </w:pPr>
            <w:r>
              <w:rPr>
                <w:rFonts w:ascii="Times New Roman" w:hAnsi="Times New Roman"/>
                <w:sz w:val="17"/>
              </w:rPr>
              <w:t>T = 20, Batch = 32</w:t>
            </w:r>
          </w:p>
        </w:tc>
      </w:tr>
      <w:tr>
        <w:tc>
          <w:tcPr>
            <w:tcW w:type="dxa" w:w="1587"/>
            <w:vAlign w:val="center"/>
          </w:tcPr>
          <w:p>
            <w:pPr>
              <w:spacing w:line="276" w:lineRule="auto" w:before="40" w:after="40"/>
            </w:pPr>
            <w:r>
              <w:rPr>
                <w:rFonts w:ascii="Times New Roman" w:hAnsi="Times New Roman"/>
                <w:sz w:val="17"/>
              </w:rPr>
              <w:t>GRU (Baseline 2)</w:t>
            </w:r>
          </w:p>
        </w:tc>
        <w:tc>
          <w:tcPr>
            <w:tcW w:type="dxa" w:w="1587"/>
            <w:vAlign w:val="center"/>
          </w:tcPr>
          <w:p>
            <w:pPr>
              <w:spacing w:line="276" w:lineRule="auto" w:before="40" w:after="40"/>
            </w:pPr>
            <w:r>
              <w:rPr>
                <w:rFonts w:ascii="Times New Roman" w:hAnsi="Times New Roman"/>
                <w:sz w:val="17"/>
              </w:rPr>
              <w:t>GRU(50) → Dropout(0,2) → GRU(50) → Dense(25) → Dense(1)</w:t>
            </w:r>
          </w:p>
        </w:tc>
        <w:tc>
          <w:tcPr>
            <w:tcW w:type="dxa" w:w="1587"/>
            <w:vAlign w:val="center"/>
          </w:tcPr>
          <w:p>
            <w:pPr>
              <w:spacing w:line="276" w:lineRule="auto" w:before="40" w:after="40"/>
            </w:pPr>
            <w:r>
              <w:rPr>
                <w:rFonts w:ascii="Times New Roman" w:hAnsi="Times New Roman"/>
                <w:sz w:val="17"/>
              </w:rPr>
              <w:t>26.201</w:t>
            </w:r>
          </w:p>
        </w:tc>
        <w:tc>
          <w:tcPr>
            <w:tcW w:type="dxa" w:w="1587"/>
            <w:vAlign w:val="center"/>
          </w:tcPr>
          <w:p>
            <w:pPr>
              <w:spacing w:line="276" w:lineRule="auto" w:before="40" w:after="40"/>
            </w:pPr>
            <w:r>
              <w:rPr>
                <w:rFonts w:ascii="Times New Roman" w:hAnsi="Times New Roman"/>
                <w:sz w:val="17"/>
              </w:rPr>
              <w:t>Adam (lr = 0,001)</w:t>
            </w:r>
          </w:p>
        </w:tc>
        <w:tc>
          <w:tcPr>
            <w:tcW w:type="dxa" w:w="1587"/>
            <w:vAlign w:val="center"/>
          </w:tcPr>
          <w:p>
            <w:pPr>
              <w:spacing w:line="276" w:lineRule="auto" w:before="40" w:after="40"/>
            </w:pPr>
            <w:r>
              <w:rPr>
                <w:rFonts w:ascii="Times New Roman" w:hAnsi="Times New Roman"/>
                <w:sz w:val="17"/>
              </w:rPr>
              <w:t>T = 20, Batch = 32</w:t>
            </w:r>
          </w:p>
        </w:tc>
      </w:tr>
      <w:tr>
        <w:tc>
          <w:tcPr>
            <w:tcW w:type="dxa" w:w="1587"/>
            <w:vAlign w:val="center"/>
          </w:tcPr>
          <w:p>
            <w:pPr>
              <w:spacing w:line="276" w:lineRule="auto" w:before="40" w:after="40"/>
            </w:pPr>
            <w:r>
              <w:rPr>
                <w:rFonts w:ascii="Times New Roman" w:hAnsi="Times New Roman"/>
                <w:sz w:val="17"/>
              </w:rPr>
              <w:t>BiLSTM (Baseline 3)</w:t>
            </w:r>
          </w:p>
        </w:tc>
        <w:tc>
          <w:tcPr>
            <w:tcW w:type="dxa" w:w="1587"/>
            <w:vAlign w:val="center"/>
          </w:tcPr>
          <w:p>
            <w:pPr>
              <w:spacing w:line="276" w:lineRule="auto" w:before="40" w:after="40"/>
            </w:pPr>
            <w:r>
              <w:rPr>
                <w:rFonts w:ascii="Times New Roman" w:hAnsi="Times New Roman"/>
                <w:sz w:val="17"/>
              </w:rPr>
              <w:t>BiLSTM(2×40, 2 Layer) → Dense(25) → Dense(1)</w:t>
            </w:r>
          </w:p>
        </w:tc>
        <w:tc>
          <w:tcPr>
            <w:tcW w:type="dxa" w:w="1587"/>
            <w:vAlign w:val="center"/>
          </w:tcPr>
          <w:p>
            <w:pPr>
              <w:spacing w:line="276" w:lineRule="auto" w:before="40" w:after="40"/>
            </w:pPr>
            <w:r>
              <w:rPr>
                <w:rFonts w:ascii="Times New Roman" w:hAnsi="Times New Roman"/>
                <w:sz w:val="17"/>
              </w:rPr>
              <w:t>58.371</w:t>
            </w:r>
          </w:p>
        </w:tc>
        <w:tc>
          <w:tcPr>
            <w:tcW w:type="dxa" w:w="1587"/>
            <w:vAlign w:val="center"/>
          </w:tcPr>
          <w:p>
            <w:pPr>
              <w:spacing w:line="276" w:lineRule="auto" w:before="40" w:after="40"/>
            </w:pPr>
            <w:r>
              <w:rPr>
                <w:rFonts w:ascii="Times New Roman" w:hAnsi="Times New Roman"/>
                <w:sz w:val="17"/>
              </w:rPr>
              <w:t>Adam (lr = 0,001)</w:t>
            </w:r>
          </w:p>
        </w:tc>
        <w:tc>
          <w:tcPr>
            <w:tcW w:type="dxa" w:w="1587"/>
            <w:vAlign w:val="center"/>
          </w:tcPr>
          <w:p>
            <w:pPr>
              <w:spacing w:line="276" w:lineRule="auto" w:before="40" w:after="40"/>
            </w:pPr>
            <w:r>
              <w:rPr>
                <w:rFonts w:ascii="Times New Roman" w:hAnsi="Times New Roman"/>
                <w:sz w:val="17"/>
              </w:rPr>
              <w:t>T = 20, Batch = 32</w:t>
            </w:r>
          </w:p>
        </w:tc>
      </w:tr>
      <w:tr>
        <w:tc>
          <w:tcPr>
            <w:tcW w:type="dxa" w:w="1587"/>
            <w:vAlign w:val="center"/>
          </w:tcPr>
          <w:p>
            <w:pPr>
              <w:spacing w:line="276" w:lineRule="auto" w:before="40" w:after="40"/>
            </w:pPr>
            <w:r>
              <w:rPr>
                <w:rFonts w:ascii="Times New Roman" w:hAnsi="Times New Roman"/>
                <w:sz w:val="17"/>
              </w:rPr>
              <w:t>CNN-BiLSTM (Ablasi)</w:t>
            </w:r>
          </w:p>
        </w:tc>
        <w:tc>
          <w:tcPr>
            <w:tcW w:type="dxa" w:w="1587"/>
            <w:vAlign w:val="center"/>
          </w:tcPr>
          <w:p>
            <w:pPr>
              <w:spacing w:line="276" w:lineRule="auto" w:before="40" w:after="40"/>
            </w:pPr>
            <w:r>
              <w:rPr>
                <w:rFonts w:ascii="Times New Roman" w:hAnsi="Times New Roman"/>
                <w:sz w:val="17"/>
              </w:rPr>
              <w:t>Conv1D(32, k=3) → BiLSTM(2×48) → Dense(32) → Dense(1)</w:t>
            </w:r>
          </w:p>
        </w:tc>
        <w:tc>
          <w:tcPr>
            <w:tcW w:type="dxa" w:w="1587"/>
            <w:vAlign w:val="center"/>
          </w:tcPr>
          <w:p>
            <w:pPr>
              <w:spacing w:line="276" w:lineRule="auto" w:before="40" w:after="40"/>
            </w:pPr>
            <w:r>
              <w:rPr>
                <w:rFonts w:ascii="Times New Roman" w:hAnsi="Times New Roman"/>
                <w:sz w:val="17"/>
              </w:rPr>
              <w:t>35.617</w:t>
            </w:r>
          </w:p>
        </w:tc>
        <w:tc>
          <w:tcPr>
            <w:tcW w:type="dxa" w:w="1587"/>
            <w:vAlign w:val="center"/>
          </w:tcPr>
          <w:p>
            <w:pPr>
              <w:spacing w:line="276" w:lineRule="auto" w:before="40" w:after="40"/>
            </w:pPr>
            <w:r>
              <w:rPr>
                <w:rFonts w:ascii="Times New Roman" w:hAnsi="Times New Roman"/>
                <w:sz w:val="17"/>
              </w:rPr>
              <w:t>Adam (lr = 0,0012)</w:t>
            </w:r>
          </w:p>
        </w:tc>
        <w:tc>
          <w:tcPr>
            <w:tcW w:type="dxa" w:w="1587"/>
            <w:vAlign w:val="center"/>
          </w:tcPr>
          <w:p>
            <w:pPr>
              <w:spacing w:line="276" w:lineRule="auto" w:before="40" w:after="40"/>
            </w:pPr>
            <w:r>
              <w:rPr>
                <w:rFonts w:ascii="Times New Roman" w:hAnsi="Times New Roman"/>
                <w:sz w:val="17"/>
              </w:rPr>
              <w:t>T = 20, Batch = 32</w:t>
            </w:r>
          </w:p>
        </w:tc>
      </w:tr>
      <w:tr>
        <w:tc>
          <w:tcPr>
            <w:tcW w:type="dxa" w:w="1587"/>
            <w:vAlign w:val="center"/>
          </w:tcPr>
          <w:p>
            <w:pPr>
              <w:spacing w:line="276" w:lineRule="auto" w:before="40" w:after="40"/>
            </w:pPr>
            <w:r>
              <w:rPr>
                <w:rFonts w:ascii="Times New Roman" w:hAnsi="Times New Roman"/>
                <w:sz w:val="17"/>
              </w:rPr>
              <w:t>CNN-BiLSTM-Attention (Model Usulan)</w:t>
            </w:r>
          </w:p>
        </w:tc>
        <w:tc>
          <w:tcPr>
            <w:tcW w:type="dxa" w:w="1587"/>
            <w:vAlign w:val="center"/>
          </w:tcPr>
          <w:p>
            <w:pPr>
              <w:spacing w:line="276" w:lineRule="auto" w:before="40" w:after="40"/>
            </w:pPr>
            <w:r>
              <w:rPr>
                <w:rFonts w:ascii="Times New Roman" w:hAnsi="Times New Roman"/>
                <w:sz w:val="17"/>
              </w:rPr>
              <w:t>Conv1D(32, k=3) + ResProj → BiLSTM(2×48) → Bahdanau Attention → Dense(32) + Skip → Dense(1)</w:t>
            </w:r>
          </w:p>
        </w:tc>
        <w:tc>
          <w:tcPr>
            <w:tcW w:type="dxa" w:w="1587"/>
            <w:vAlign w:val="center"/>
          </w:tcPr>
          <w:p>
            <w:pPr>
              <w:spacing w:line="276" w:lineRule="auto" w:before="40" w:after="40"/>
            </w:pPr>
            <w:r>
              <w:rPr>
                <w:rFonts w:ascii="Times New Roman" w:hAnsi="Times New Roman"/>
                <w:sz w:val="17"/>
              </w:rPr>
              <w:t>40.321</w:t>
            </w:r>
          </w:p>
        </w:tc>
        <w:tc>
          <w:tcPr>
            <w:tcW w:type="dxa" w:w="1587"/>
            <w:vAlign w:val="center"/>
          </w:tcPr>
          <w:p>
            <w:pPr>
              <w:spacing w:line="276" w:lineRule="auto" w:before="40" w:after="40"/>
            </w:pPr>
            <w:r>
              <w:rPr>
                <w:rFonts w:ascii="Times New Roman" w:hAnsi="Times New Roman"/>
                <w:sz w:val="17"/>
              </w:rPr>
              <w:t>Adam (lr = 0,0015)</w:t>
            </w:r>
          </w:p>
        </w:tc>
        <w:tc>
          <w:tcPr>
            <w:tcW w:type="dxa" w:w="1587"/>
            <w:vAlign w:val="center"/>
          </w:tcPr>
          <w:p>
            <w:pPr>
              <w:spacing w:line="276" w:lineRule="auto" w:before="40" w:after="40"/>
            </w:pPr>
            <w:r>
              <w:rPr>
                <w:rFonts w:ascii="Times New Roman" w:hAnsi="Times New Roman"/>
                <w:sz w:val="17"/>
              </w:rPr>
              <w:t>T = 20, Batch = 32</w:t>
            </w:r>
          </w:p>
        </w:tc>
      </w:tr>
    </w:tbl>
    <w:p>
      <w:pPr>
        <w:spacing w:line="360" w:lineRule="auto" w:after="120"/>
        <w:ind w:firstLine="567"/>
        <w:jc w:val="both"/>
      </w:pPr>
      <w:r>
        <w:rPr>
          <w:rFonts w:ascii="Times New Roman" w:hAnsi="Times New Roman"/>
          <w:b w:val="0"/>
          <w:i w:val="0"/>
          <w:sz w:val="24"/>
        </w:rPr>
        <w:t xml:space="preserve">Berdasarkan Tabel 3.3 di atas, dapat dilihat bahwa kelima arsitektur jaringan saraf dalam dirancang dengan proporsi kapasitas parameter yang seimbang dan diuji menggunakan ukuran jendela waktu (T = 20 hari), ukuran batch (32 sampel), serta algoritma optimasi Adam yang seragam agar perbandingan kinerja berlangsung secara adil (apple-to-apple comparison). Model GRU memiliki jumlah parameter paling ringkas (26.201 parameter) karena menyatukan gerbang lupa dan gerbang masukan, sedangkan model BiLSTM dua lapis memiliki 58.371 parameter akibat penggandaan bobot maju-mundur. Adapun arsitektur usulan CNN-BiLSTM-Attention memiliki 40.321 parameter terlatih yang mengintegrasikan konvolusi 1D-CNN (32 filter, k = 3), lapisan BiLSTM (2 × 48 unit), jaringan skoring </w:t>
      </w:r>
      <w:r>
        <w:rPr>
          <w:rFonts w:ascii="Times New Roman" w:hAnsi="Times New Roman"/>
          <w:b w:val="0"/>
          <w:i/>
          <w:sz w:val="24"/>
        </w:rPr>
        <w:t>Bahdanau Attention</w:t>
      </w:r>
      <w:r>
        <w:rPr>
          <w:rFonts w:ascii="Times New Roman" w:hAnsi="Times New Roman"/>
          <w:b w:val="0"/>
          <w:i w:val="0"/>
          <w:sz w:val="24"/>
        </w:rPr>
        <w:t>, serta koneksi pintas residual dengan laju pembelajaran (</w:t>
      </w:r>
      <w:r>
        <w:rPr>
          <w:rFonts w:ascii="Times New Roman" w:hAnsi="Times New Roman"/>
          <w:b w:val="0"/>
          <w:i/>
          <w:sz w:val="24"/>
        </w:rPr>
        <w:t>learning rate</w:t>
      </w:r>
      <w:r>
        <w:rPr>
          <w:rFonts w:ascii="Times New Roman" w:hAnsi="Times New Roman"/>
          <w:b w:val="0"/>
          <w:i w:val="0"/>
          <w:sz w:val="24"/>
        </w:rPr>
        <w:t>) awal sebesar 0,0015.</w:t>
      </w:r>
    </w:p>
    <w:p>
      <w:pPr>
        <w:keepNext/>
        <w:spacing w:before="120" w:after="40"/>
      </w:pPr>
    </w:p>
    <w:tbl>
      <w:tblPr>
        <w:tblStyle w:val="TableGrid"/>
        <w:tblW w:type="auto" w:w="0"/>
        <w:jc w:val="center"/>
        <w:tblLook w:firstColumn="1" w:firstRow="1" w:lastColumn="0" w:lastRow="0" w:noHBand="0" w:noVBand="1" w:val="04A0"/>
      </w:tblPr>
      <w:tblGrid>
        <w:gridCol w:w="3968"/>
        <w:gridCol w:w="3968"/>
      </w:tblGrid>
      <w:tr>
        <w:tc>
          <w:tcPr>
            <w:tcW w:type="dxa" w:w="7936"/>
            <w:gridSpan w:val="2"/>
            <w:shd w:fill="D9E1F2"/>
          </w:tcPr>
          <w:p>
            <w:pPr>
              <w:spacing w:line="240" w:lineRule="auto" w:before="60" w:after="60"/>
            </w:pPr>
            <w:r>
              <w:rPr>
                <w:rFonts w:ascii="Times New Roman" w:hAnsi="Times New Roman"/>
                <w:b/>
                <w:sz w:val="20"/>
              </w:rPr>
              <w:t>Algoritme 1: Pelatihan dan Prediksi Model Hibrida CNN-BiLSTM-Attention</w:t>
            </w:r>
          </w:p>
        </w:tc>
      </w:tr>
      <w:tr>
        <w:tc>
          <w:tcPr>
            <w:tcW w:type="dxa" w:w="68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r>
          </w:p>
        </w:tc>
        <w:tc>
          <w:tcPr>
            <w:tcW w:type="dxa" w:w="7257"/>
          </w:tcPr>
          <w:p>
            <w:pPr>
              <w:spacing w:line="240" w:lineRule="auto"/>
            </w:pPr>
            <w:r>
              <w:rPr>
                <w:rFonts w:ascii="Courier New" w:hAnsi="Courier New"/>
                <w:sz w:val="18"/>
              </w:rPr>
              <w:t>Input  : Matriks deret waktu multivariat X ∈ R^(N×14), target harga Close y ∈ R^N, jendela T = 20</w:t>
              <w:br/>
              <w:t>Output : Estimasi harga penutupan Solana ŷ_(t+1) dalam USD dan bobot perhatian α_t</w:t>
              <w:br/>
              <w:t>Hitung 9 indikator teknikal (EMA14, EMA50, RSI14, MACD, Signal, BB_Up, BB_Low, ATR14, OBV)</w:t>
              <w:br/>
              <w:t>Bagi dataset secara kronologis: D_train (70%), D_val (15%), D_test (15%)</w:t>
              <w:br/>
              <w:t>Normalisasi fitur dan target menggunakan MinMaxScaler yang di-fit pada D_train</w:t>
              <w:br/>
              <w:t>Konstruksi tensor sekuensial S_t = [x_(t-T), ..., x_(t-1)] berukuran (B, 20, 14)</w:t>
              <w:br/>
              <w:t>for epoch = 1 to MaxEpochs do</w:t>
              <w:br/>
              <w:t xml:space="preserve">    Ekstraksi fitur lokal: C = LeakyReLU(Conv1D(S_t, k=3)) + LinearProj(S_t)</w:t>
              <w:br/>
              <w:t xml:space="preserve">    Pemodelan dua arah   : H = BiLSTM(C) // H_t = [h_t^forward ⊕ h_t^backward]</w:t>
              <w:br/>
              <w:t xml:space="preserve">    Skor energi Attention: e_t = v^T * tanh(W_a * H_t + b_a) untuk setiap t ∈ [1..T]</w:t>
              <w:br/>
              <w:t xml:space="preserve">    Bobot probabilitas   : α_t = exp(e_t) / sum_{k=1}^T exp(e_k)</w:t>
              <w:br/>
              <w:t xml:space="preserve">    Vektor konteks       : g = sum_{t=1}^T (α_t * H_t) + H_T</w:t>
              <w:br/>
              <w:t xml:space="preserve">    Estimasi keluaran    : ŷ_scaled = W_out * LeakyReLU(W_d * g + b_d) + W_res * x_T</w:t>
              <w:br/>
              <w:t xml:space="preserve">    Perbarui parameter bobot menggunakan Adam Optimizer terhadap fungsi rugi MSE</w:t>
              <w:br/>
              <w:t>end for</w:t>
              <w:br/>
              <w:t>Transformasi balik: ŷ_USD = InverseMinMaxScaler(ŷ_scaled) dan hitung MAE, RMSE, MAPE, R², DA</w:t>
            </w:r>
          </w:p>
        </w:tc>
      </w:tr>
    </w:tbl>
    <w:p>
      <w:pPr>
        <w:spacing w:line="360" w:lineRule="auto" w:after="120"/>
        <w:ind w:firstLine="567"/>
        <w:jc w:val="both"/>
      </w:pPr>
      <w:r>
        <w:rPr>
          <w:rFonts w:ascii="Times New Roman" w:hAnsi="Times New Roman"/>
          <w:b w:val="0"/>
          <w:i w:val="0"/>
          <w:sz w:val="24"/>
        </w:rPr>
        <w:t>Berdasarkan Algoritme 1 di atas, tahapan komputasi pelatihan dan inferensi model hibrida CNN-BiLSTM-Attention dieksekusi melalui enam belas baris instruksi yang terstruktur. Baris 1 hingga baris 6 mendefinisikan spesifikasi tensor input berdimensi 14 fitur dengan jendela waktu T = 20 hari, perhitungan sembilan indikator teknikal, pembagian dataset secara kronologis (70% latih, 15% validasi, dan 15% uji), normalisasi Min-Max yang di-fit pada D_train, serta pembentukan tensor sekuensial tiga dimensi S_t. Selanjutnya, baris 7 hingga baris 15 memuat siklus pelatihan berulang (</w:t>
      </w:r>
      <w:r>
        <w:rPr>
          <w:rFonts w:ascii="Times New Roman" w:hAnsi="Times New Roman"/>
          <w:b w:val="0"/>
          <w:i/>
          <w:sz w:val="24"/>
        </w:rPr>
        <w:t>epoch</w:t>
      </w:r>
      <w:r>
        <w:rPr>
          <w:rFonts w:ascii="Times New Roman" w:hAnsi="Times New Roman"/>
          <w:b w:val="0"/>
          <w:i w:val="0"/>
          <w:sz w:val="24"/>
        </w:rPr>
        <w:t xml:space="preserve"> loop), di mana pada setiap iterasi jaringan mengekstraksi peta fitur lokal C melalui lapisan Conv1D beraktivasi LeakyReLU beserta proyeksi linier residual (baris 8), memproses urutan fitur secara maju dan mundur melalui lapisan BiLSTM untuk membentuk representasi H_t (baris 9), menghitung skor energi keselarasan Bahdanau e_t dan bobot probabilitas Softmax α_t (baris 10–11), menggabungkan vektor konteks tertimbang g dengan status tersembunyi akhir H_T (baris 12), serta menghitung estimasi keluaran ŷ_scaled melalui lapisan Dense dan koneksi pintas W_res x_T untuk diperbarui bobotnya menggunakan Adam Optimizer terhadap fungsi rugi MSE (baris 13–14). Terakhir, pada baris 16 dilakukan transformasi balik (</w:t>
      </w:r>
      <w:r>
        <w:rPr>
          <w:rFonts w:ascii="Times New Roman" w:hAnsi="Times New Roman"/>
          <w:b w:val="0"/>
          <w:i/>
          <w:sz w:val="24"/>
        </w:rPr>
        <w:t>inverse scaling</w:t>
      </w:r>
      <w:r>
        <w:rPr>
          <w:rFonts w:ascii="Times New Roman" w:hAnsi="Times New Roman"/>
          <w:b w:val="0"/>
          <w:i w:val="0"/>
          <w:sz w:val="24"/>
        </w:rPr>
        <w:t>) ke satuan Dolar Amerika Serikat (USD) untuk menghitung kelima metrik evaluasi.</w:t>
      </w:r>
    </w:p>
    <w:p>
      <w:pPr>
        <w:keepNext/>
        <w:spacing w:before="200" w:after="80" w:line="360" w:lineRule="auto"/>
        <w:jc w:val="left"/>
      </w:pPr>
      <w:r>
        <w:rPr>
          <w:rFonts w:ascii="Times New Roman" w:hAnsi="Times New Roman"/>
          <w:b/>
          <w:sz w:val="24"/>
        </w:rPr>
        <w:t xml:space="preserve">3.5.  </w:t>
      </w:r>
      <w:r>
        <w:rPr>
          <w:rFonts w:ascii="Times New Roman" w:hAnsi="Times New Roman"/>
          <w:b/>
          <w:i w:val="0"/>
          <w:sz w:val="24"/>
        </w:rPr>
        <w:t>Skenario Pengujian, Evaluasi, dan Peralatan Pendukung</w:t>
      </w:r>
    </w:p>
    <w:p>
      <w:pPr>
        <w:spacing w:line="360" w:lineRule="auto" w:after="120"/>
        <w:ind w:firstLine="567"/>
        <w:jc w:val="both"/>
      </w:pPr>
      <w:r>
        <w:rPr>
          <w:rFonts w:ascii="Times New Roman" w:hAnsi="Times New Roman"/>
          <w:b w:val="0"/>
          <w:i w:val="0"/>
          <w:sz w:val="24"/>
        </w:rPr>
        <w:t>Sebagai bagian dari validasi kelayakan metodologi pada riset kecil ini, telah dilaksanakan pengujian eksperimental terhadap kelima arsitektur jaringan saraf dalam serta satu skenario ablasi univariat menggunakan lingkungan pemrograman Python 3.12, pustaka NumPy, Scikit-Learn, Pandas, dan Matplotlib pada komputer berspesifikasi prosesor multi-inti 64-bit dan memori RAM 16 GB. Ringkasan hasil pengujian awal pada data uji (312 hari perdagangan) disajikan pada Tabel 3.4 dan Gambar 3.4.</w:t>
      </w:r>
    </w:p>
    <w:p>
      <w:pPr>
        <w:keepNext/>
        <w:spacing w:before="160" w:after="60" w:line="276" w:lineRule="auto"/>
        <w:jc w:val="left"/>
      </w:pPr>
      <w:r>
        <w:rPr>
          <w:rFonts w:ascii="Times New Roman" w:hAnsi="Times New Roman"/>
          <w:b/>
          <w:sz w:val="24"/>
        </w:rPr>
        <w:t xml:space="preserve">Tabel 3.4 </w:t>
      </w:r>
      <w:r>
        <w:rPr>
          <w:rFonts w:ascii="Times New Roman" w:hAnsi="Times New Roman"/>
          <w:b/>
          <w:i w:val="0"/>
          <w:sz w:val="24"/>
        </w:rPr>
        <w:t>Hasil Riset Pendahuluan (</w:t>
      </w:r>
      <w:r>
        <w:rPr>
          <w:rFonts w:ascii="Times New Roman" w:hAnsi="Times New Roman"/>
          <w:b/>
          <w:i/>
          <w:sz w:val="24"/>
        </w:rPr>
        <w:t>Pilot Study</w:t>
      </w:r>
      <w:r>
        <w:rPr>
          <w:rFonts w:ascii="Times New Roman" w:hAnsi="Times New Roman"/>
          <w:b/>
          <w:i w:val="0"/>
          <w:sz w:val="24"/>
        </w:rPr>
        <w:t>) pada Data Uji Solana</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1134"/>
            <w:shd w:fill="D9E1F2"/>
            <w:vAlign w:val="center"/>
          </w:tcPr>
          <w:p>
            <w:pPr>
              <w:spacing w:line="276" w:lineRule="auto" w:before="60" w:after="60"/>
              <w:jc w:val="center"/>
            </w:pPr>
            <w:r>
              <w:rPr>
                <w:rFonts w:ascii="Times New Roman" w:hAnsi="Times New Roman"/>
                <w:b/>
                <w:sz w:val="18"/>
              </w:rPr>
              <w:t>Arsitektur Model</w:t>
            </w:r>
          </w:p>
        </w:tc>
        <w:tc>
          <w:tcPr>
            <w:tcW w:type="dxa" w:w="1134"/>
            <w:shd w:fill="D9E1F2"/>
            <w:vAlign w:val="center"/>
          </w:tcPr>
          <w:p>
            <w:pPr>
              <w:spacing w:line="276" w:lineRule="auto" w:before="60" w:after="60"/>
              <w:jc w:val="center"/>
            </w:pPr>
            <w:r>
              <w:rPr>
                <w:rFonts w:ascii="Times New Roman" w:hAnsi="Times New Roman"/>
                <w:b/>
                <w:sz w:val="18"/>
              </w:rPr>
              <w:t>Parameter</w:t>
            </w:r>
          </w:p>
        </w:tc>
        <w:tc>
          <w:tcPr>
            <w:tcW w:type="dxa" w:w="1134"/>
            <w:shd w:fill="D9E1F2"/>
            <w:vAlign w:val="center"/>
          </w:tcPr>
          <w:p>
            <w:pPr>
              <w:spacing w:line="276" w:lineRule="auto" w:before="60" w:after="60"/>
              <w:jc w:val="center"/>
            </w:pPr>
            <w:r>
              <w:rPr>
                <w:rFonts w:ascii="Times New Roman" w:hAnsi="Times New Roman"/>
                <w:b/>
                <w:sz w:val="18"/>
              </w:rPr>
              <w:t>MAE Uji (USD)</w:t>
            </w:r>
          </w:p>
        </w:tc>
        <w:tc>
          <w:tcPr>
            <w:tcW w:type="dxa" w:w="1134"/>
            <w:shd w:fill="D9E1F2"/>
            <w:vAlign w:val="center"/>
          </w:tcPr>
          <w:p>
            <w:pPr>
              <w:spacing w:line="276" w:lineRule="auto" w:before="60" w:after="60"/>
              <w:jc w:val="center"/>
            </w:pPr>
            <w:r>
              <w:rPr>
                <w:rFonts w:ascii="Times New Roman" w:hAnsi="Times New Roman"/>
                <w:b/>
                <w:sz w:val="18"/>
              </w:rPr>
              <w:t>RMSE Uji (USD)</w:t>
            </w:r>
          </w:p>
        </w:tc>
        <w:tc>
          <w:tcPr>
            <w:tcW w:type="dxa" w:w="1134"/>
            <w:shd w:fill="D9E1F2"/>
            <w:vAlign w:val="center"/>
          </w:tcPr>
          <w:p>
            <w:pPr>
              <w:spacing w:line="276" w:lineRule="auto" w:before="60" w:after="60"/>
              <w:jc w:val="center"/>
            </w:pPr>
            <w:r>
              <w:rPr>
                <w:rFonts w:ascii="Times New Roman" w:hAnsi="Times New Roman"/>
                <w:b/>
                <w:sz w:val="18"/>
              </w:rPr>
              <w:t>MAPE Uji (%)</w:t>
            </w:r>
          </w:p>
        </w:tc>
        <w:tc>
          <w:tcPr>
            <w:tcW w:type="dxa" w:w="1134"/>
            <w:shd w:fill="D9E1F2"/>
            <w:vAlign w:val="center"/>
          </w:tcPr>
          <w:p>
            <w:pPr>
              <w:spacing w:line="276" w:lineRule="auto" w:before="60" w:after="60"/>
              <w:jc w:val="center"/>
            </w:pPr>
            <w:r>
              <w:rPr>
                <w:rFonts w:ascii="Times New Roman" w:hAnsi="Times New Roman"/>
                <w:b/>
                <w:sz w:val="18"/>
              </w:rPr>
              <w:t>R² Score</w:t>
            </w:r>
          </w:p>
        </w:tc>
        <w:tc>
          <w:tcPr>
            <w:tcW w:type="dxa" w:w="1134"/>
            <w:shd w:fill="D9E1F2"/>
            <w:vAlign w:val="center"/>
          </w:tcPr>
          <w:p>
            <w:pPr>
              <w:spacing w:line="276" w:lineRule="auto" w:before="60" w:after="60"/>
              <w:jc w:val="center"/>
            </w:pPr>
            <w:r>
              <w:rPr>
                <w:rFonts w:ascii="Times New Roman" w:hAnsi="Times New Roman"/>
                <w:b/>
                <w:sz w:val="18"/>
              </w:rPr>
              <w:t>Directional Acc. (%)</w:t>
            </w:r>
          </w:p>
        </w:tc>
      </w:tr>
      <w:tr>
        <w:tc>
          <w:tcPr>
            <w:tcW w:type="dxa" w:w="1134"/>
            <w:vAlign w:val="center"/>
          </w:tcPr>
          <w:p>
            <w:pPr>
              <w:spacing w:line="276" w:lineRule="auto" w:before="40" w:after="40"/>
            </w:pPr>
            <w:r>
              <w:rPr>
                <w:rFonts w:ascii="Times New Roman" w:hAnsi="Times New Roman"/>
                <w:sz w:val="18"/>
              </w:rPr>
              <w:t>LSTM</w:t>
            </w:r>
          </w:p>
        </w:tc>
        <w:tc>
          <w:tcPr>
            <w:tcW w:type="dxa" w:w="1134"/>
            <w:vAlign w:val="center"/>
          </w:tcPr>
          <w:p>
            <w:pPr>
              <w:spacing w:line="276" w:lineRule="auto" w:before="40" w:after="40"/>
            </w:pPr>
            <w:r>
              <w:rPr>
                <w:rFonts w:ascii="Times New Roman" w:hAnsi="Times New Roman"/>
                <w:sz w:val="18"/>
              </w:rPr>
              <w:t>34,501</w:t>
            </w:r>
          </w:p>
        </w:tc>
        <w:tc>
          <w:tcPr>
            <w:tcW w:type="dxa" w:w="1134"/>
            <w:vAlign w:val="center"/>
          </w:tcPr>
          <w:p>
            <w:pPr>
              <w:spacing w:line="276" w:lineRule="auto" w:before="40" w:after="40"/>
            </w:pPr>
            <w:r>
              <w:rPr>
                <w:rFonts w:ascii="Times New Roman" w:hAnsi="Times New Roman"/>
                <w:sz w:val="18"/>
              </w:rPr>
              <w:t>3.81</w:t>
            </w:r>
          </w:p>
        </w:tc>
        <w:tc>
          <w:tcPr>
            <w:tcW w:type="dxa" w:w="1134"/>
            <w:vAlign w:val="center"/>
          </w:tcPr>
          <w:p>
            <w:pPr>
              <w:spacing w:line="276" w:lineRule="auto" w:before="40" w:after="40"/>
            </w:pPr>
            <w:r>
              <w:rPr>
                <w:rFonts w:ascii="Times New Roman" w:hAnsi="Times New Roman"/>
                <w:sz w:val="18"/>
              </w:rPr>
              <w:t>4.85</w:t>
            </w:r>
          </w:p>
        </w:tc>
        <w:tc>
          <w:tcPr>
            <w:tcW w:type="dxa" w:w="1134"/>
            <w:vAlign w:val="center"/>
          </w:tcPr>
          <w:p>
            <w:pPr>
              <w:spacing w:line="276" w:lineRule="auto" w:before="40" w:after="40"/>
            </w:pPr>
            <w:r>
              <w:rPr>
                <w:rFonts w:ascii="Times New Roman" w:hAnsi="Times New Roman"/>
                <w:sz w:val="18"/>
              </w:rPr>
              <w:t>4.15%</w:t>
            </w:r>
          </w:p>
        </w:tc>
        <w:tc>
          <w:tcPr>
            <w:tcW w:type="dxa" w:w="1134"/>
            <w:vAlign w:val="center"/>
          </w:tcPr>
          <w:p>
            <w:pPr>
              <w:spacing w:line="276" w:lineRule="auto" w:before="40" w:after="40"/>
            </w:pPr>
            <w:r>
              <w:rPr>
                <w:rFonts w:ascii="Times New Roman" w:hAnsi="Times New Roman"/>
                <w:sz w:val="18"/>
              </w:rPr>
              <w:t>0.9522</w:t>
            </w:r>
          </w:p>
        </w:tc>
        <w:tc>
          <w:tcPr>
            <w:tcW w:type="dxa" w:w="1134"/>
            <w:vAlign w:val="center"/>
          </w:tcPr>
          <w:p>
            <w:pPr>
              <w:spacing w:line="276" w:lineRule="auto" w:before="40" w:after="40"/>
            </w:pPr>
            <w:r>
              <w:rPr>
                <w:rFonts w:ascii="Times New Roman" w:hAnsi="Times New Roman"/>
                <w:sz w:val="18"/>
              </w:rPr>
              <w:t>46.15%</w:t>
            </w:r>
          </w:p>
        </w:tc>
      </w:tr>
      <w:tr>
        <w:tc>
          <w:tcPr>
            <w:tcW w:type="dxa" w:w="1134"/>
            <w:vAlign w:val="center"/>
          </w:tcPr>
          <w:p>
            <w:pPr>
              <w:spacing w:line="276" w:lineRule="auto" w:before="40" w:after="40"/>
            </w:pPr>
            <w:r>
              <w:rPr>
                <w:rFonts w:ascii="Times New Roman" w:hAnsi="Times New Roman"/>
                <w:sz w:val="18"/>
              </w:rPr>
              <w:t>GRU</w:t>
            </w:r>
          </w:p>
        </w:tc>
        <w:tc>
          <w:tcPr>
            <w:tcW w:type="dxa" w:w="1134"/>
            <w:vAlign w:val="center"/>
          </w:tcPr>
          <w:p>
            <w:pPr>
              <w:spacing w:line="276" w:lineRule="auto" w:before="40" w:after="40"/>
            </w:pPr>
            <w:r>
              <w:rPr>
                <w:rFonts w:ascii="Times New Roman" w:hAnsi="Times New Roman"/>
                <w:sz w:val="18"/>
              </w:rPr>
              <w:t>26,201</w:t>
            </w:r>
          </w:p>
        </w:tc>
        <w:tc>
          <w:tcPr>
            <w:tcW w:type="dxa" w:w="1134"/>
            <w:vAlign w:val="center"/>
          </w:tcPr>
          <w:p>
            <w:pPr>
              <w:spacing w:line="276" w:lineRule="auto" w:before="40" w:after="40"/>
            </w:pPr>
            <w:r>
              <w:rPr>
                <w:rFonts w:ascii="Times New Roman" w:hAnsi="Times New Roman"/>
                <w:sz w:val="18"/>
              </w:rPr>
              <w:t>2.74</w:t>
            </w:r>
          </w:p>
        </w:tc>
        <w:tc>
          <w:tcPr>
            <w:tcW w:type="dxa" w:w="1134"/>
            <w:vAlign w:val="center"/>
          </w:tcPr>
          <w:p>
            <w:pPr>
              <w:spacing w:line="276" w:lineRule="auto" w:before="40" w:after="40"/>
            </w:pPr>
            <w:r>
              <w:rPr>
                <w:rFonts w:ascii="Times New Roman" w:hAnsi="Times New Roman"/>
                <w:sz w:val="18"/>
              </w:rPr>
              <w:t>3.58</w:t>
            </w:r>
          </w:p>
        </w:tc>
        <w:tc>
          <w:tcPr>
            <w:tcW w:type="dxa" w:w="1134"/>
            <w:vAlign w:val="center"/>
          </w:tcPr>
          <w:p>
            <w:pPr>
              <w:spacing w:line="276" w:lineRule="auto" w:before="40" w:after="40"/>
            </w:pPr>
            <w:r>
              <w:rPr>
                <w:rFonts w:ascii="Times New Roman" w:hAnsi="Times New Roman"/>
                <w:sz w:val="18"/>
              </w:rPr>
              <w:t>2.94%</w:t>
            </w:r>
          </w:p>
        </w:tc>
        <w:tc>
          <w:tcPr>
            <w:tcW w:type="dxa" w:w="1134"/>
            <w:vAlign w:val="center"/>
          </w:tcPr>
          <w:p>
            <w:pPr>
              <w:spacing w:line="276" w:lineRule="auto" w:before="40" w:after="40"/>
            </w:pPr>
            <w:r>
              <w:rPr>
                <w:rFonts w:ascii="Times New Roman" w:hAnsi="Times New Roman"/>
                <w:sz w:val="18"/>
              </w:rPr>
              <w:t>0.9740</w:t>
            </w:r>
          </w:p>
        </w:tc>
        <w:tc>
          <w:tcPr>
            <w:tcW w:type="dxa" w:w="1134"/>
            <w:vAlign w:val="center"/>
          </w:tcPr>
          <w:p>
            <w:pPr>
              <w:spacing w:line="276" w:lineRule="auto" w:before="40" w:after="40"/>
            </w:pPr>
            <w:r>
              <w:rPr>
                <w:rFonts w:ascii="Times New Roman" w:hAnsi="Times New Roman"/>
                <w:sz w:val="18"/>
              </w:rPr>
              <w:t>53.53%</w:t>
            </w:r>
          </w:p>
        </w:tc>
      </w:tr>
      <w:tr>
        <w:tc>
          <w:tcPr>
            <w:tcW w:type="dxa" w:w="1134"/>
            <w:vAlign w:val="center"/>
          </w:tcPr>
          <w:p>
            <w:pPr>
              <w:spacing w:line="276" w:lineRule="auto" w:before="40" w:after="40"/>
            </w:pPr>
            <w:r>
              <w:rPr>
                <w:rFonts w:ascii="Times New Roman" w:hAnsi="Times New Roman"/>
                <w:sz w:val="18"/>
              </w:rPr>
              <w:t>BiLSTM</w:t>
            </w:r>
          </w:p>
        </w:tc>
        <w:tc>
          <w:tcPr>
            <w:tcW w:type="dxa" w:w="1134"/>
            <w:vAlign w:val="center"/>
          </w:tcPr>
          <w:p>
            <w:pPr>
              <w:spacing w:line="276" w:lineRule="auto" w:before="40" w:after="40"/>
            </w:pPr>
            <w:r>
              <w:rPr>
                <w:rFonts w:ascii="Times New Roman" w:hAnsi="Times New Roman"/>
                <w:sz w:val="18"/>
              </w:rPr>
              <w:t>58,371</w:t>
            </w:r>
          </w:p>
        </w:tc>
        <w:tc>
          <w:tcPr>
            <w:tcW w:type="dxa" w:w="1134"/>
            <w:vAlign w:val="center"/>
          </w:tcPr>
          <w:p>
            <w:pPr>
              <w:spacing w:line="276" w:lineRule="auto" w:before="40" w:after="40"/>
            </w:pPr>
            <w:r>
              <w:rPr>
                <w:rFonts w:ascii="Times New Roman" w:hAnsi="Times New Roman"/>
                <w:sz w:val="18"/>
              </w:rPr>
              <w:t>2.45</w:t>
            </w:r>
          </w:p>
        </w:tc>
        <w:tc>
          <w:tcPr>
            <w:tcW w:type="dxa" w:w="1134"/>
            <w:vAlign w:val="center"/>
          </w:tcPr>
          <w:p>
            <w:pPr>
              <w:spacing w:line="276" w:lineRule="auto" w:before="40" w:after="40"/>
            </w:pPr>
            <w:r>
              <w:rPr>
                <w:rFonts w:ascii="Times New Roman" w:hAnsi="Times New Roman"/>
                <w:sz w:val="18"/>
              </w:rPr>
              <w:t>3.32</w:t>
            </w:r>
          </w:p>
        </w:tc>
        <w:tc>
          <w:tcPr>
            <w:tcW w:type="dxa" w:w="1134"/>
            <w:vAlign w:val="center"/>
          </w:tcPr>
          <w:p>
            <w:pPr>
              <w:spacing w:line="276" w:lineRule="auto" w:before="40" w:after="40"/>
            </w:pPr>
            <w:r>
              <w:rPr>
                <w:rFonts w:ascii="Times New Roman" w:hAnsi="Times New Roman"/>
                <w:sz w:val="18"/>
              </w:rPr>
              <w:t>2.62%</w:t>
            </w:r>
          </w:p>
        </w:tc>
        <w:tc>
          <w:tcPr>
            <w:tcW w:type="dxa" w:w="1134"/>
            <w:vAlign w:val="center"/>
          </w:tcPr>
          <w:p>
            <w:pPr>
              <w:spacing w:line="276" w:lineRule="auto" w:before="40" w:after="40"/>
            </w:pPr>
            <w:r>
              <w:rPr>
                <w:rFonts w:ascii="Times New Roman" w:hAnsi="Times New Roman"/>
                <w:sz w:val="18"/>
              </w:rPr>
              <w:t>0.9776</w:t>
            </w:r>
          </w:p>
        </w:tc>
        <w:tc>
          <w:tcPr>
            <w:tcW w:type="dxa" w:w="1134"/>
            <w:vAlign w:val="center"/>
          </w:tcPr>
          <w:p>
            <w:pPr>
              <w:spacing w:line="276" w:lineRule="auto" w:before="40" w:after="40"/>
            </w:pPr>
            <w:r>
              <w:rPr>
                <w:rFonts w:ascii="Times New Roman" w:hAnsi="Times New Roman"/>
                <w:sz w:val="18"/>
              </w:rPr>
              <w:t>58.01%</w:t>
            </w:r>
          </w:p>
        </w:tc>
      </w:tr>
      <w:tr>
        <w:tc>
          <w:tcPr>
            <w:tcW w:type="dxa" w:w="1134"/>
            <w:vAlign w:val="center"/>
          </w:tcPr>
          <w:p>
            <w:pPr>
              <w:spacing w:line="276" w:lineRule="auto" w:before="40" w:after="40"/>
            </w:pPr>
            <w:r>
              <w:rPr>
                <w:rFonts w:ascii="Times New Roman" w:hAnsi="Times New Roman"/>
                <w:sz w:val="18"/>
              </w:rPr>
              <w:t>CNN-BiLSTM</w:t>
            </w:r>
          </w:p>
        </w:tc>
        <w:tc>
          <w:tcPr>
            <w:tcW w:type="dxa" w:w="1134"/>
            <w:vAlign w:val="center"/>
          </w:tcPr>
          <w:p>
            <w:pPr>
              <w:spacing w:line="276" w:lineRule="auto" w:before="40" w:after="40"/>
            </w:pPr>
            <w:r>
              <w:rPr>
                <w:rFonts w:ascii="Times New Roman" w:hAnsi="Times New Roman"/>
                <w:sz w:val="18"/>
              </w:rPr>
              <w:t>35,617</w:t>
            </w:r>
          </w:p>
        </w:tc>
        <w:tc>
          <w:tcPr>
            <w:tcW w:type="dxa" w:w="1134"/>
            <w:vAlign w:val="center"/>
          </w:tcPr>
          <w:p>
            <w:pPr>
              <w:spacing w:line="276" w:lineRule="auto" w:before="40" w:after="40"/>
            </w:pPr>
            <w:r>
              <w:rPr>
                <w:rFonts w:ascii="Times New Roman" w:hAnsi="Times New Roman"/>
                <w:sz w:val="18"/>
              </w:rPr>
              <w:t>2.15</w:t>
            </w:r>
          </w:p>
        </w:tc>
        <w:tc>
          <w:tcPr>
            <w:tcW w:type="dxa" w:w="1134"/>
            <w:vAlign w:val="center"/>
          </w:tcPr>
          <w:p>
            <w:pPr>
              <w:spacing w:line="276" w:lineRule="auto" w:before="40" w:after="40"/>
            </w:pPr>
            <w:r>
              <w:rPr>
                <w:rFonts w:ascii="Times New Roman" w:hAnsi="Times New Roman"/>
                <w:sz w:val="18"/>
              </w:rPr>
              <w:t>2.88</w:t>
            </w:r>
          </w:p>
        </w:tc>
        <w:tc>
          <w:tcPr>
            <w:tcW w:type="dxa" w:w="1134"/>
            <w:vAlign w:val="center"/>
          </w:tcPr>
          <w:p>
            <w:pPr>
              <w:spacing w:line="276" w:lineRule="auto" w:before="40" w:after="40"/>
            </w:pPr>
            <w:r>
              <w:rPr>
                <w:rFonts w:ascii="Times New Roman" w:hAnsi="Times New Roman"/>
                <w:sz w:val="18"/>
              </w:rPr>
              <w:t>2.28%</w:t>
            </w:r>
          </w:p>
        </w:tc>
        <w:tc>
          <w:tcPr>
            <w:tcW w:type="dxa" w:w="1134"/>
            <w:vAlign w:val="center"/>
          </w:tcPr>
          <w:p>
            <w:pPr>
              <w:spacing w:line="276" w:lineRule="auto" w:before="40" w:after="40"/>
            </w:pPr>
            <w:r>
              <w:rPr>
                <w:rFonts w:ascii="Times New Roman" w:hAnsi="Times New Roman"/>
                <w:sz w:val="18"/>
              </w:rPr>
              <w:t>0.9832</w:t>
            </w:r>
          </w:p>
        </w:tc>
        <w:tc>
          <w:tcPr>
            <w:tcW w:type="dxa" w:w="1134"/>
            <w:vAlign w:val="center"/>
          </w:tcPr>
          <w:p>
            <w:pPr>
              <w:spacing w:line="276" w:lineRule="auto" w:before="40" w:after="40"/>
            </w:pPr>
            <w:r>
              <w:rPr>
                <w:rFonts w:ascii="Times New Roman" w:hAnsi="Times New Roman"/>
                <w:sz w:val="18"/>
              </w:rPr>
              <w:t>60.58%</w:t>
            </w:r>
          </w:p>
        </w:tc>
      </w:tr>
      <w:tr>
        <w:tc>
          <w:tcPr>
            <w:tcW w:type="dxa" w:w="1134"/>
            <w:vAlign w:val="center"/>
          </w:tcPr>
          <w:p>
            <w:pPr>
              <w:spacing w:line="276" w:lineRule="auto" w:before="40" w:after="40"/>
            </w:pPr>
            <w:r>
              <w:rPr>
                <w:rFonts w:ascii="Times New Roman" w:hAnsi="Times New Roman"/>
                <w:b/>
                <w:sz w:val="18"/>
              </w:rPr>
              <w:t>CNN-BiLSTM-Attention (Usulan)</w:t>
            </w:r>
          </w:p>
        </w:tc>
        <w:tc>
          <w:tcPr>
            <w:tcW w:type="dxa" w:w="1134"/>
            <w:vAlign w:val="center"/>
          </w:tcPr>
          <w:p>
            <w:pPr>
              <w:spacing w:line="276" w:lineRule="auto" w:before="40" w:after="40"/>
            </w:pPr>
            <w:r>
              <w:rPr>
                <w:rFonts w:ascii="Times New Roman" w:hAnsi="Times New Roman"/>
                <w:b/>
                <w:sz w:val="18"/>
              </w:rPr>
              <w:t>40,321</w:t>
            </w:r>
          </w:p>
        </w:tc>
        <w:tc>
          <w:tcPr>
            <w:tcW w:type="dxa" w:w="1134"/>
            <w:vAlign w:val="center"/>
          </w:tcPr>
          <w:p>
            <w:pPr>
              <w:spacing w:line="276" w:lineRule="auto" w:before="40" w:after="40"/>
            </w:pPr>
            <w:r>
              <w:rPr>
                <w:rFonts w:ascii="Times New Roman" w:hAnsi="Times New Roman"/>
                <w:b/>
                <w:sz w:val="18"/>
              </w:rPr>
              <w:t>1.54</w:t>
            </w:r>
          </w:p>
        </w:tc>
        <w:tc>
          <w:tcPr>
            <w:tcW w:type="dxa" w:w="1134"/>
            <w:vAlign w:val="center"/>
          </w:tcPr>
          <w:p>
            <w:pPr>
              <w:spacing w:line="276" w:lineRule="auto" w:before="40" w:after="40"/>
            </w:pPr>
            <w:r>
              <w:rPr>
                <w:rFonts w:ascii="Times New Roman" w:hAnsi="Times New Roman"/>
                <w:b/>
                <w:sz w:val="18"/>
              </w:rPr>
              <w:t>2.09</w:t>
            </w:r>
          </w:p>
        </w:tc>
        <w:tc>
          <w:tcPr>
            <w:tcW w:type="dxa" w:w="1134"/>
            <w:vAlign w:val="center"/>
          </w:tcPr>
          <w:p>
            <w:pPr>
              <w:spacing w:line="276" w:lineRule="auto" w:before="40" w:after="40"/>
            </w:pPr>
            <w:r>
              <w:rPr>
                <w:rFonts w:ascii="Times New Roman" w:hAnsi="Times New Roman"/>
                <w:b/>
                <w:sz w:val="18"/>
              </w:rPr>
              <w:t>1.62%</w:t>
            </w:r>
          </w:p>
        </w:tc>
        <w:tc>
          <w:tcPr>
            <w:tcW w:type="dxa" w:w="1134"/>
            <w:vAlign w:val="center"/>
          </w:tcPr>
          <w:p>
            <w:pPr>
              <w:spacing w:line="276" w:lineRule="auto" w:before="40" w:after="40"/>
            </w:pPr>
            <w:r>
              <w:rPr>
                <w:rFonts w:ascii="Times New Roman" w:hAnsi="Times New Roman"/>
                <w:b/>
                <w:sz w:val="18"/>
              </w:rPr>
              <w:t>0.9912</w:t>
            </w:r>
          </w:p>
        </w:tc>
        <w:tc>
          <w:tcPr>
            <w:tcW w:type="dxa" w:w="1134"/>
            <w:vAlign w:val="center"/>
          </w:tcPr>
          <w:p>
            <w:pPr>
              <w:spacing w:line="276" w:lineRule="auto" w:before="40" w:after="40"/>
            </w:pPr>
            <w:r>
              <w:rPr>
                <w:rFonts w:ascii="Times New Roman" w:hAnsi="Times New Roman"/>
                <w:b/>
                <w:sz w:val="18"/>
              </w:rPr>
              <w:t>77.88%</w:t>
            </w:r>
          </w:p>
        </w:tc>
      </w:tr>
      <w:tr>
        <w:tc>
          <w:tcPr>
            <w:tcW w:type="dxa" w:w="1134"/>
            <w:vAlign w:val="center"/>
          </w:tcPr>
          <w:p>
            <w:pPr>
              <w:spacing w:line="276" w:lineRule="auto" w:before="40" w:after="40"/>
            </w:pPr>
            <w:r>
              <w:rPr>
                <w:rFonts w:ascii="Times New Roman" w:hAnsi="Times New Roman"/>
                <w:sz w:val="18"/>
              </w:rPr>
              <w:t>CNN-BiLSTM-Attention (Univariat)</w:t>
            </w:r>
          </w:p>
        </w:tc>
        <w:tc>
          <w:tcPr>
            <w:tcW w:type="dxa" w:w="1134"/>
            <w:vAlign w:val="center"/>
          </w:tcPr>
          <w:p>
            <w:pPr>
              <w:spacing w:line="276" w:lineRule="auto" w:before="40" w:after="40"/>
            </w:pPr>
            <w:r>
              <w:rPr>
                <w:rFonts w:ascii="Times New Roman" w:hAnsi="Times New Roman"/>
                <w:sz w:val="18"/>
              </w:rPr>
              <w:t>39,073</w:t>
            </w:r>
          </w:p>
        </w:tc>
        <w:tc>
          <w:tcPr>
            <w:tcW w:type="dxa" w:w="1134"/>
            <w:vAlign w:val="center"/>
          </w:tcPr>
          <w:p>
            <w:pPr>
              <w:spacing w:line="276" w:lineRule="auto" w:before="40" w:after="40"/>
            </w:pPr>
            <w:r>
              <w:rPr>
                <w:rFonts w:ascii="Times New Roman" w:hAnsi="Times New Roman"/>
                <w:sz w:val="18"/>
              </w:rPr>
              <w:t>2.67</w:t>
            </w:r>
          </w:p>
        </w:tc>
        <w:tc>
          <w:tcPr>
            <w:tcW w:type="dxa" w:w="1134"/>
            <w:vAlign w:val="center"/>
          </w:tcPr>
          <w:p>
            <w:pPr>
              <w:spacing w:line="276" w:lineRule="auto" w:before="40" w:after="40"/>
            </w:pPr>
            <w:r>
              <w:rPr>
                <w:rFonts w:ascii="Times New Roman" w:hAnsi="Times New Roman"/>
                <w:sz w:val="18"/>
              </w:rPr>
              <w:t>3.74</w:t>
            </w:r>
          </w:p>
        </w:tc>
        <w:tc>
          <w:tcPr>
            <w:tcW w:type="dxa" w:w="1134"/>
            <w:vAlign w:val="center"/>
          </w:tcPr>
          <w:p>
            <w:pPr>
              <w:spacing w:line="276" w:lineRule="auto" w:before="40" w:after="40"/>
            </w:pPr>
            <w:r>
              <w:rPr>
                <w:rFonts w:ascii="Times New Roman" w:hAnsi="Times New Roman"/>
                <w:sz w:val="18"/>
              </w:rPr>
              <w:t>2.81%</w:t>
            </w:r>
          </w:p>
        </w:tc>
        <w:tc>
          <w:tcPr>
            <w:tcW w:type="dxa" w:w="1134"/>
            <w:vAlign w:val="center"/>
          </w:tcPr>
          <w:p>
            <w:pPr>
              <w:spacing w:line="276" w:lineRule="auto" w:before="40" w:after="40"/>
            </w:pPr>
            <w:r>
              <w:rPr>
                <w:rFonts w:ascii="Times New Roman" w:hAnsi="Times New Roman"/>
                <w:sz w:val="18"/>
              </w:rPr>
              <w:t>0.9716</w:t>
            </w:r>
          </w:p>
        </w:tc>
        <w:tc>
          <w:tcPr>
            <w:tcW w:type="dxa" w:w="1134"/>
            <w:vAlign w:val="center"/>
          </w:tcPr>
          <w:p>
            <w:pPr>
              <w:spacing w:line="276" w:lineRule="auto" w:before="40" w:after="40"/>
            </w:pPr>
            <w:r>
              <w:rPr>
                <w:rFonts w:ascii="Times New Roman" w:hAnsi="Times New Roman"/>
                <w:sz w:val="18"/>
              </w:rPr>
              <w:t>50.00%</w:t>
            </w:r>
          </w:p>
        </w:tc>
      </w:tr>
    </w:tbl>
    <w:p>
      <w:pPr>
        <w:spacing w:line="360" w:lineRule="auto" w:after="120"/>
        <w:ind w:firstLine="567"/>
        <w:jc w:val="both"/>
      </w:pPr>
      <w:r>
        <w:rPr>
          <w:rFonts w:ascii="Times New Roman" w:hAnsi="Times New Roman"/>
          <w:b w:val="0"/>
          <w:i w:val="0"/>
          <w:sz w:val="24"/>
        </w:rPr>
        <w:t>Berdasarkan Tabel 3.4 di atas, dapat dianalisis secara kuantitatif bahwa arsitektur usulan CNN-BiLSTM-Attention (Multivariat) meraih performa prediksi tertinggi pada seluruh lima metrik evaluasi di himpunan data uji (312 hari perdagangan). Model usulan mencatatkan nilai MAE sebesar 1,54 USD, RMSE sebesar 2,09 USD, MAPE sebesar 1,62% (masuk dalam kategori Sangat Akurat di bawah 10%), koefisien determinasi R² sebesar 0,9912, serta akurasi ketepatan arah harian (</w:t>
      </w:r>
      <w:r>
        <w:rPr>
          <w:rFonts w:ascii="Times New Roman" w:hAnsi="Times New Roman"/>
          <w:b w:val="0"/>
          <w:i/>
          <w:sz w:val="24"/>
        </w:rPr>
        <w:t>Directional Accuracy</w:t>
      </w:r>
      <w:r>
        <w:rPr>
          <w:rFonts w:ascii="Times New Roman" w:hAnsi="Times New Roman"/>
          <w:b w:val="0"/>
          <w:i w:val="0"/>
          <w:sz w:val="24"/>
        </w:rPr>
        <w:t xml:space="preserve">) sebesar 77,88%. Apabila dibandingkan terhadap model </w:t>
      </w:r>
      <w:r>
        <w:rPr>
          <w:rFonts w:ascii="Times New Roman" w:hAnsi="Times New Roman"/>
          <w:b w:val="0"/>
          <w:i/>
          <w:sz w:val="24"/>
        </w:rPr>
        <w:t>baseline</w:t>
      </w:r>
      <w:r>
        <w:rPr>
          <w:rFonts w:ascii="Times New Roman" w:hAnsi="Times New Roman"/>
          <w:b w:val="0"/>
          <w:i w:val="0"/>
          <w:sz w:val="24"/>
        </w:rPr>
        <w:t xml:space="preserve"> LSTM standar (MAE 3,81 USD; MAPE 4,15%; DA 46,15%), model usulan berhasil mereduksi tingkat kesalahan MAPE sebesar 60,96% dan meningkatkan ketepatan arah sebesar +31,73 poin persentase. Selain itu, perbandingan baris ke-5 dan baris ke-6 pada Tabel 3.4 (studi ablasi univariat lawan multivariat) membuktikan bahwa penghapusan sembilan indikator teknikal menyebabkan kesalahan MAPE melonjak dari 1,62% menjadi 2,81% dan menurunkan </w:t>
      </w:r>
      <w:r>
        <w:rPr>
          <w:rFonts w:ascii="Times New Roman" w:hAnsi="Times New Roman"/>
          <w:b w:val="0"/>
          <w:i/>
          <w:sz w:val="24"/>
        </w:rPr>
        <w:t>Directional Accuracy</w:t>
      </w:r>
      <w:r>
        <w:rPr>
          <w:rFonts w:ascii="Times New Roman" w:hAnsi="Times New Roman"/>
          <w:b w:val="0"/>
          <w:i w:val="0"/>
          <w:sz w:val="24"/>
        </w:rPr>
        <w:t xml:space="preserve"> secara drastis dari 77,88% menjadi 50,00%. Hal ini mengonfirmasi bahwa kombinasi fitur indikator teknikal dan mekanisme </w:t>
      </w:r>
      <w:r>
        <w:rPr>
          <w:rFonts w:ascii="Times New Roman" w:hAnsi="Times New Roman"/>
          <w:b w:val="0"/>
          <w:i/>
          <w:sz w:val="24"/>
        </w:rPr>
        <w:t>Temporal Attention</w:t>
      </w:r>
      <w:r>
        <w:rPr>
          <w:rFonts w:ascii="Times New Roman" w:hAnsi="Times New Roman"/>
          <w:b w:val="0"/>
          <w:i w:val="0"/>
          <w:sz w:val="24"/>
        </w:rPr>
        <w:t xml:space="preserve"> sangat krusial dalam meningkatkan presisi prediksi harga Solana.</w:t>
      </w:r>
    </w:p>
    <w:p>
      <w:pPr>
        <w:keepNext/>
        <w:spacing w:before="160" w:after="60"/>
        <w:jc w:val="center"/>
      </w:pPr>
      <w:r>
        <w:drawing>
          <wp:inline xmlns:a="http://schemas.openxmlformats.org/drawingml/2006/main" xmlns:pic="http://schemas.openxmlformats.org/drawingml/2006/picture">
            <wp:extent cx="4968000" cy="2348509"/>
            <wp:docPr id="7" name="Picture 7"/>
            <wp:cNvGraphicFramePr>
              <a:graphicFrameLocks noChangeAspect="1"/>
            </wp:cNvGraphicFramePr>
            <a:graphic>
              <a:graphicData uri="http://schemas.openxmlformats.org/drawingml/2006/picture">
                <pic:pic>
                  <pic:nvPicPr>
                    <pic:cNvPr id="0" name="fig5_actual_vs_predicted_test.png"/>
                    <pic:cNvPicPr/>
                  </pic:nvPicPr>
                  <pic:blipFill>
                    <a:blip r:embed="rId17"/>
                    <a:stretch>
                      <a:fillRect/>
                    </a:stretch>
                  </pic:blipFill>
                  <pic:spPr>
                    <a:xfrm>
                      <a:off x="0" y="0"/>
                      <a:ext cx="4968000" cy="2348509"/>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3.4 </w:t>
      </w:r>
      <w:r>
        <w:rPr>
          <w:rFonts w:ascii="Times New Roman" w:hAnsi="Times New Roman"/>
          <w:b/>
          <w:i w:val="0"/>
          <w:sz w:val="24"/>
        </w:rPr>
        <w:t>Perbandingan Harga Aktual vs Prediksi Model pada Riset Kecil</w:t>
      </w:r>
    </w:p>
    <w:p>
      <w:pPr>
        <w:spacing w:line="360" w:lineRule="auto" w:after="160"/>
        <w:ind w:firstLine="567"/>
        <w:jc w:val="both"/>
      </w:pPr>
      <w:r>
        <w:rPr>
          <w:rFonts w:ascii="Times New Roman" w:hAnsi="Times New Roman"/>
          <w:b w:val="0"/>
          <w:i w:val="0"/>
          <w:sz w:val="24"/>
        </w:rPr>
        <w:t>Berdasarkan Gambar 3.4 di atas, dapat dijelaskan bahwa grafik membandingkan secara visual kurva harga penutupan aktual Solana (garis hitam tebal) terhadap kurva hasil prediksi dari kelima arsitektur jaringan saraf dalam sepanjang 312 hari periode pengujian (23 November 2025 hingga 30 September 2026). Pada panel utama maupun pada jendela perbesaran (zoomed inset 70 hari terakhir di bagian kanan atas), terlihat bahwa kurva prediksi model LSTM standar (garis biru putus-putus) dan GRU (garis ungu) mengalami deviasi vertikal serta keterlambatan fase (</w:t>
      </w:r>
      <w:r>
        <w:rPr>
          <w:rFonts w:ascii="Times New Roman" w:hAnsi="Times New Roman"/>
          <w:b w:val="0"/>
          <w:i/>
          <w:sz w:val="24"/>
        </w:rPr>
        <w:t>phase lagging</w:t>
      </w:r>
      <w:r>
        <w:rPr>
          <w:rFonts w:ascii="Times New Roman" w:hAnsi="Times New Roman"/>
          <w:b w:val="0"/>
          <w:i w:val="0"/>
          <w:sz w:val="24"/>
        </w:rPr>
        <w:t>) ketika harga Solana berbalik arah secara tajam di kisaran 120 USD hingga 160 USD. Sebaliknya, kurva prediksi model usulan CNN-BiLSTM-Attention (garis merah tegas) mampu menghimpit lintasan harga aktual secara sangat presisi baik pada fase kenaikan curam maupun pada titik balik koreksi harian, selaras dengan perolehan nilai R² sebesar 0,9912 dan MAPE sebesar 1,62%.</w:t>
      </w:r>
    </w:p>
    <w:p>
      <w:r>
        <w:br w:type="page"/>
      </w:r>
    </w:p>
    <w:p>
      <w:pPr>
        <w:spacing w:before="0" w:after="280"/>
        <w:jc w:val="center"/>
      </w:pPr>
      <w:r>
        <w:rPr>
          <w:rFonts w:ascii="Times New Roman" w:hAnsi="Times New Roman"/>
          <w:b/>
          <w:sz w:val="28"/>
        </w:rPr>
        <w:t>DAFTAR PUSTAKA</w:t>
      </w:r>
    </w:p>
    <w:p>
      <w:pPr>
        <w:spacing w:line="240" w:lineRule="auto" w:after="100"/>
        <w:ind w:left="567" w:hanging="567"/>
        <w:jc w:val="both"/>
      </w:pPr>
      <w:r>
        <w:rPr>
          <w:rFonts w:ascii="Times New Roman" w:hAnsi="Times New Roman"/>
          <w:sz w:val="22"/>
        </w:rPr>
        <w:t>[1] M. F. Rizkilloh and S. Widiyanesti, "Prediksi Harga Cryptocurrency Menggunakan Algoritma Long Short Term Memory (LSTM)," Jurnal RESTI (Rekayasa Sistem dan Teknologi Informasi), vol. 6, no. 1, pp. 25-31, 2022, doi: https://doi.org/10.29207/resti.v6i1.3630.</w:t>
      </w:r>
    </w:p>
    <w:p>
      <w:pPr>
        <w:spacing w:line="240" w:lineRule="auto" w:after="100"/>
        <w:ind w:left="567" w:hanging="567"/>
        <w:jc w:val="both"/>
      </w:pPr>
      <w:r>
        <w:rPr>
          <w:rFonts w:ascii="Times New Roman" w:hAnsi="Times New Roman"/>
          <w:sz w:val="22"/>
        </w:rPr>
        <w:t>[2] P. L. Seabe, C. R. B. Moutsinga, and E. Pindza, "Forecasting Cryptocurrency Prices Using LSTM, GRU, and Bi-Directional LSTM: A Deep Learning Approach," Fractal and Fractional, vol. 7, no. 2, pp. 203, 2023, doi: https://doi.org/10.3390/fractalfract7020203.</w:t>
      </w:r>
    </w:p>
    <w:p>
      <w:pPr>
        <w:spacing w:line="240" w:lineRule="auto" w:after="100"/>
        <w:ind w:left="567" w:hanging="567"/>
        <w:jc w:val="both"/>
      </w:pPr>
      <w:r>
        <w:rPr>
          <w:rFonts w:ascii="Times New Roman" w:hAnsi="Times New Roman"/>
          <w:sz w:val="22"/>
        </w:rPr>
        <w:t>[3] D. P. Mishra, S. R. Behera, S. S. Behera, A. R. Patro, and S. R. Salkuti, "Solana blockchain technology: a review," International Journal of Informatics and Communication Technology (IJ-ICT), vol. 13, no. 2, pp. 197-205, 2024, doi: https://doi.org/10.11591/ijict.v13i2.pp197-205.</w:t>
      </w:r>
    </w:p>
    <w:p>
      <w:pPr>
        <w:spacing w:line="240" w:lineRule="auto" w:after="100"/>
        <w:ind w:left="567" w:hanging="567"/>
        <w:jc w:val="both"/>
      </w:pPr>
      <w:r>
        <w:rPr>
          <w:rFonts w:ascii="Times New Roman" w:hAnsi="Times New Roman"/>
          <w:sz w:val="22"/>
        </w:rPr>
        <w:t>[4] M. Wijaya, F. Melvyn, R. Setiawan, and R. Y. Rumagit, "Ethereum vs Solana: A Comparative Study of Blockchain Architecture on Performance, Security, and Ecosystem Development," Procedia Computer Science, vol. 269, no. 1, pp. 200-217, 2025, doi: https://doi.org/10.1016/j.procs.2025.08.273.</w:t>
      </w:r>
    </w:p>
    <w:p>
      <w:pPr>
        <w:spacing w:line="240" w:lineRule="auto" w:after="100"/>
        <w:ind w:left="567" w:hanging="567"/>
        <w:jc w:val="both"/>
      </w:pPr>
      <w:r>
        <w:rPr>
          <w:rFonts w:ascii="Times New Roman" w:hAnsi="Times New Roman"/>
          <w:sz w:val="22"/>
        </w:rPr>
        <w:t>[5] X. Zheng, Z. Wan, D. Lo, D. Xie, and X. Yang, "Why Does My Transaction Fail? A First Look at Failed Transactions on the Solana Blockchain," Proceedings of the ACM on Software Engineering, vol. 2, no. ISSTA, pp. 1489-1512, 2025, doi: https://doi.org/10.1145/3728943.</w:t>
      </w:r>
    </w:p>
    <w:p>
      <w:pPr>
        <w:spacing w:line="240" w:lineRule="auto" w:after="100"/>
        <w:ind w:left="567" w:hanging="567"/>
        <w:jc w:val="both"/>
      </w:pPr>
      <w:r>
        <w:rPr>
          <w:rFonts w:ascii="Times New Roman" w:hAnsi="Times New Roman"/>
          <w:sz w:val="22"/>
        </w:rPr>
        <w:t>[6] A. D. Yusandika, A. H. Bhuiyan, and P. S. Laskar, "Onchain Analysis: A Comparative Study of Decentralized Exchange (DEX) Activities on Ethereum, Solana, and Binance Smart Chain (BSC)," Blockchain, Artificial Intelligence, and Future Research, vol. 1, no. 1, pp. 23-34, 2025, doi: https://doi.org/10.70211/bafr.v1i1.175.</w:t>
      </w:r>
    </w:p>
    <w:p>
      <w:pPr>
        <w:spacing w:line="240" w:lineRule="auto" w:after="100"/>
        <w:ind w:left="567" w:hanging="567"/>
        <w:jc w:val="both"/>
      </w:pPr>
      <w:r>
        <w:rPr>
          <w:rFonts w:ascii="Times New Roman" w:hAnsi="Times New Roman"/>
          <w:sz w:val="22"/>
        </w:rPr>
        <w:t>[7] A. D. Nugraha and I. M. Suartana, "Implementasi State Compression dengan NFT (Non-Fungible Token) Pack pada Blockchain Solana untuk Penjualan &amp; Pembelian Paket NFT dalam Game berbasis Web3," Journal of Informatics and Computer Science (JINACS), vol. 5, no. 4, pp. 584-593, 2024, doi: https://doi.org/10.26740/jinacs.v5n04.p584-593.</w:t>
      </w:r>
    </w:p>
    <w:p>
      <w:pPr>
        <w:spacing w:line="240" w:lineRule="auto" w:after="100"/>
        <w:ind w:left="567" w:hanging="567"/>
        <w:jc w:val="both"/>
      </w:pPr>
      <w:r>
        <w:rPr>
          <w:rFonts w:ascii="Times New Roman" w:hAnsi="Times New Roman"/>
          <w:sz w:val="22"/>
        </w:rPr>
        <w:t>[8] A. R. Yadulla, "Volatility Comparison of Dogecoin and Solana Using Historical Price Data Analysis for Enhanced Investment Strategies," Journal of Current Research in Blockchain, vol. 1, no. 2, pp. 91-111, 2024, doi: https://doi.org/10.47738/jcrb.v1i2.13.</w:t>
      </w:r>
    </w:p>
    <w:p>
      <w:pPr>
        <w:spacing w:line="240" w:lineRule="auto" w:after="100"/>
        <w:ind w:left="567" w:hanging="567"/>
        <w:jc w:val="both"/>
      </w:pPr>
      <w:r>
        <w:rPr>
          <w:rFonts w:ascii="Times New Roman" w:hAnsi="Times New Roman"/>
          <w:sz w:val="22"/>
        </w:rPr>
        <w:t>[9] M. Alkhoze, "Volatility and Risk Assessment of Blockchain Cryptocurrencies Using GARCH Modeling: An Analytical Study on Dogecoin, Polygon, and Solana," Journal of Digital Market and Digital Currency, vol. 2, no. 4, pp. 368-389, 2025, doi: https://doi.org/10.47738/jdmdc.v2i4.44.</w:t>
      </w:r>
    </w:p>
    <w:p>
      <w:pPr>
        <w:spacing w:line="240" w:lineRule="auto" w:after="100"/>
        <w:ind w:left="567" w:hanging="567"/>
        <w:jc w:val="both"/>
      </w:pPr>
      <w:r>
        <w:rPr>
          <w:rFonts w:ascii="Times New Roman" w:hAnsi="Times New Roman"/>
          <w:sz w:val="22"/>
        </w:rPr>
        <w:t>[10] J. Qiu, "A Hybrid Data Decomposition and Deep Learning Approach for Solana Price Prediction Incorporating Market Factors," Advances in Economics, Management and Political Sciences, vol. 162, no. 1, pp. 6-14, 2025, doi: https://doi.org/10.54254/2754-1169/2025.20062.</w:t>
      </w:r>
    </w:p>
    <w:p>
      <w:pPr>
        <w:spacing w:line="240" w:lineRule="auto" w:after="100"/>
        <w:ind w:left="567" w:hanging="567"/>
        <w:jc w:val="both"/>
      </w:pPr>
      <w:r>
        <w:rPr>
          <w:rFonts w:ascii="Times New Roman" w:hAnsi="Times New Roman"/>
          <w:sz w:val="22"/>
        </w:rPr>
        <w:t>[11] M. J. Hamayel and A. Y. Owda, "A Novel Cryptocurrency Price Prediction Model Using GRU, LSTM and bi-LSTM Machine Learning Algorithms," AI, vol. 2, no. 4, pp. 477-496, 2021, doi: https://doi.org/10.3390/ai2040030.</w:t>
      </w:r>
    </w:p>
    <w:p>
      <w:pPr>
        <w:spacing w:line="240" w:lineRule="auto" w:after="100"/>
        <w:ind w:left="567" w:hanging="567"/>
        <w:jc w:val="both"/>
      </w:pPr>
      <w:r>
        <w:rPr>
          <w:rFonts w:ascii="Times New Roman" w:hAnsi="Times New Roman"/>
          <w:sz w:val="22"/>
        </w:rPr>
        <w:t>[12] I. P. B. Priadinata, I. G. I. Sudipa, N. P. S. Meinarni, I. M. L. Radhitya, and I. K. D. G. Supartha, "Comparative Analysis of LSTM, GRU, and Bi-LSTM Deep Learning Models for Time Series Cryptocurrency Price Forecasting," SinkrOn: Jurnal dan Penelitian Teknik Informatika, vol. 9, no. 3, pp. 1024-1035, 2025, doi: https://doi.org/10.33395/sinkron.v9i3.14795.</w:t>
      </w:r>
    </w:p>
    <w:p>
      <w:pPr>
        <w:spacing w:line="240" w:lineRule="auto" w:after="100"/>
        <w:ind w:left="567" w:hanging="567"/>
        <w:jc w:val="both"/>
      </w:pPr>
      <w:r>
        <w:rPr>
          <w:rFonts w:ascii="Times New Roman" w:hAnsi="Times New Roman"/>
          <w:sz w:val="22"/>
        </w:rPr>
        <w:t>[13] A. Yanimaharta and H. A. Santoso, "Performance Evaluation of Deep Learning Models for Cryptocurrency Price Prediction using LSTM, GRU, and Bi-LSTM," Building of Informatics, Technology and Science (BITS), vol. 7, no. 1, pp. 242-251, 2025, doi: https://doi.org/10.47065/bits.v7i1.7353.</w:t>
      </w:r>
    </w:p>
    <w:p>
      <w:pPr>
        <w:spacing w:line="240" w:lineRule="auto" w:after="100"/>
        <w:ind w:left="567" w:hanging="567"/>
        <w:jc w:val="both"/>
      </w:pPr>
      <w:r>
        <w:rPr>
          <w:rFonts w:ascii="Times New Roman" w:hAnsi="Times New Roman"/>
          <w:sz w:val="22"/>
        </w:rPr>
        <w:t>[14] R. S. Andromeda and N. A. S. Winarsih, "Performance Comparison of LSTM and GRU Methods in Predicting Cryptocurrency Closing Prices," SISTEMASI: Jurnal Sistem Informasi, vol. 14, no. 1, pp. 366-375, 2025, doi: https://doi.org/10.32520/stmsi.v14i1.4880.</w:t>
      </w:r>
    </w:p>
    <w:p>
      <w:pPr>
        <w:spacing w:line="240" w:lineRule="auto" w:after="100"/>
        <w:ind w:left="567" w:hanging="567"/>
        <w:jc w:val="both"/>
      </w:pPr>
      <w:r>
        <w:rPr>
          <w:rFonts w:ascii="Times New Roman" w:hAnsi="Times New Roman"/>
          <w:sz w:val="22"/>
        </w:rPr>
        <w:t>[15] B. Rahmat, I. Y. Purbasari, N. K. Sari, Widiwurjani, B. Nugroho, and H. Widyantara, "Indonesia's Open Unemployment Rate Prediction System Using Deep Learning," 2022 IEEE 8th Information Technology International Seminar (ITIS), pp. 7-10, 2022, doi: https://doi.org/10.1109/itis57155.2022.10010310.</w:t>
      </w:r>
    </w:p>
    <w:p>
      <w:pPr>
        <w:spacing w:line="240" w:lineRule="auto" w:after="100"/>
        <w:ind w:left="567" w:hanging="567"/>
        <w:jc w:val="both"/>
      </w:pPr>
      <w:r>
        <w:rPr>
          <w:rFonts w:ascii="Times New Roman" w:hAnsi="Times New Roman"/>
          <w:sz w:val="22"/>
        </w:rPr>
        <w:t>[16] D. Aldo, D. F. P. Hebrasianto, D. A. Prabowo, M. Ilmi, and Y. G. Nengsih, "Evaluation of Deep Learning-Based Long Short-Term Memory Architecture Variants for Solana Cryptocurrency Price Prediction (SOL/USD)," 2025 IEEE 11th Information Technology International Seminar (ITIS), pp. 207-213, 2025, doi: https://doi.org/10.1109/itis67966.2025.11309119.</w:t>
      </w:r>
    </w:p>
    <w:p>
      <w:pPr>
        <w:spacing w:line="240" w:lineRule="auto" w:after="100"/>
        <w:ind w:left="567" w:hanging="567"/>
        <w:jc w:val="both"/>
      </w:pPr>
      <w:r>
        <w:rPr>
          <w:rFonts w:ascii="Times New Roman" w:hAnsi="Times New Roman"/>
          <w:sz w:val="22"/>
        </w:rPr>
        <w:t>[17] J. S. Pane, F. Indriani, D. T. Nugrahadi, R. Herteno, and M. R. Faisal, "Stacked Ensemble Learning Using Lag and EMA Features for Improved Solana Price Prediction," 2025 15th International Conference on Information &amp; Communication Technology and System (ICTS), pp. 1-6, 2025, doi: https://doi.org/10.1109/icts67612.2025.11369577.</w:t>
      </w:r>
    </w:p>
    <w:p>
      <w:pPr>
        <w:spacing w:line="240" w:lineRule="auto" w:after="100"/>
        <w:ind w:left="567" w:hanging="567"/>
        <w:jc w:val="both"/>
      </w:pPr>
      <w:r>
        <w:rPr>
          <w:rFonts w:ascii="Times New Roman" w:hAnsi="Times New Roman"/>
          <w:sz w:val="22"/>
        </w:rPr>
        <w:t>[18] C. Herdian, "An LSTM-Based Framework For Short-Term Solana Price Prediction," Jurnal Sosial Teknologi (SOSTECH), vol. 6, no. 2, pp. 717-728, 2026, doi: https://doi.org/10.59188/jurnalsostech.v6i2.32715.</w:t>
      </w:r>
    </w:p>
    <w:p>
      <w:pPr>
        <w:spacing w:line="240" w:lineRule="auto" w:after="100"/>
        <w:ind w:left="567" w:hanging="567"/>
        <w:jc w:val="both"/>
      </w:pPr>
      <w:r>
        <w:rPr>
          <w:rFonts w:ascii="Times New Roman" w:hAnsi="Times New Roman"/>
          <w:sz w:val="22"/>
        </w:rPr>
        <w:t>[19] Arya, Y. I. Mukti, A. Arif, and S. C. Setya, "Prediksi Cryptocurrency Berbasis LSTM Menggunakan Multi Modal Indikator Trading (Studi: Ethereum dan Solana)," BETRIK: Jurnal Ilmiah Komputasi dan Teknologi Informasi, vol. 17, no. 1, pp. 111-121, 2026, doi: https://doi.org/10.36050/83kqq228.</w:t>
      </w:r>
    </w:p>
    <w:p>
      <w:pPr>
        <w:spacing w:line="240" w:lineRule="auto" w:after="100"/>
        <w:ind w:left="567" w:hanging="567"/>
        <w:jc w:val="both"/>
      </w:pPr>
      <w:r>
        <w:rPr>
          <w:rFonts w:ascii="Times New Roman" w:hAnsi="Times New Roman"/>
          <w:sz w:val="22"/>
        </w:rPr>
        <w:t>[20] A. Prasetyo, M. F. Asnawi, and D. P. Utomo, "Implementasi Algoritma Long Short-Term Memory (LSTM) untuk Prediksi Harga Cryptocurrency Solana (SOL) Berbasis Data Near Real-Time Menggunakan Yahoo Finance API," Jurnal Teknologi dan Sains Modern, vol. 3, no. 5, pp. 364-375, 2026, doi: https://doi.org/10.69930/jtsm.v3i5.874.</w:t>
      </w:r>
    </w:p>
    <w:p>
      <w:pPr>
        <w:spacing w:line="240" w:lineRule="auto" w:after="100"/>
        <w:ind w:left="567" w:hanging="567"/>
        <w:jc w:val="both"/>
      </w:pPr>
      <w:r>
        <w:rPr>
          <w:rFonts w:ascii="Times New Roman" w:hAnsi="Times New Roman"/>
          <w:sz w:val="22"/>
        </w:rPr>
        <w:t>[21] M. H. Hasbullah and G. Ghufron, "Implementasi Arsitektur Temporal Fusion Transformer (TFT) Berbasis Interpretable Multi-Horizon Forecasting Prediksi Volatilitas Harga Aset Kripto Solana," Populer: Jurnal Penelitian Mahasiswa, vol. 5, no. 3, pp. 183-194, 2026, doi: https://doi.org/10.58192/populer.v5i3.5520.</w:t>
      </w:r>
    </w:p>
    <w:p>
      <w:pPr>
        <w:spacing w:line="240" w:lineRule="auto" w:after="100"/>
        <w:ind w:left="567" w:hanging="567"/>
        <w:jc w:val="both"/>
      </w:pPr>
      <w:r>
        <w:rPr>
          <w:rFonts w:ascii="Times New Roman" w:hAnsi="Times New Roman"/>
          <w:sz w:val="22"/>
        </w:rPr>
        <w:t>[22] C. Suyanto, P. H. Gunawan, and Indwiarti, "Cryptocurrency asset price prediction using deep learning with the influence of technical indicators," IET Conference Proceedings, vol. 2025, no. 59, pp. 522-527, 2026, doi: https://doi.org/10.1049/icp.2026.2115.</w:t>
      </w:r>
    </w:p>
    <w:p>
      <w:pPr>
        <w:spacing w:line="240" w:lineRule="auto" w:after="100"/>
        <w:ind w:left="567" w:hanging="567"/>
        <w:jc w:val="both"/>
      </w:pPr>
      <w:r>
        <w:rPr>
          <w:rFonts w:ascii="Times New Roman" w:hAnsi="Times New Roman"/>
          <w:sz w:val="22"/>
        </w:rPr>
        <w:t>[23] S. W. Aji and W. Herowati, "Comparison of LSTM, GRU, Bi-LSTM, and XGBoost for BRIS Stock Price Prediction with Lookback Period Variations," Journal of Applied Informatics and Computing (JAIC), vol. 10, no. 4, pp. 3826-3836, 2026, doi: https://doi.org/10.30871/jaic.v10i4.13412.</w:t>
      </w:r>
    </w:p>
    <w:p>
      <w:pPr>
        <w:spacing w:line="240" w:lineRule="auto" w:after="100"/>
        <w:ind w:left="567" w:hanging="567"/>
        <w:jc w:val="both"/>
      </w:pPr>
      <w:r>
        <w:rPr>
          <w:rFonts w:ascii="Times New Roman" w:hAnsi="Times New Roman"/>
          <w:sz w:val="22"/>
        </w:rPr>
        <w:t>[24] G. R. Malik, R. Parlika, and K. Kartini, "Pemodelan Dataset On-chain pada BiLSTM untuk Prediksi Harga Bitcoin," JURNAL FASILKOM, vol. 16, no. 1, pp. 113-119, 2026, doi: https://doi.org/10.37859/jf.v16i1.11275.</w:t>
      </w:r>
    </w:p>
    <w:p>
      <w:pPr>
        <w:spacing w:line="240" w:lineRule="auto" w:after="100"/>
        <w:ind w:left="567" w:hanging="567"/>
        <w:jc w:val="both"/>
      </w:pPr>
      <w:r>
        <w:rPr>
          <w:rFonts w:ascii="Times New Roman" w:hAnsi="Times New Roman"/>
          <w:sz w:val="22"/>
        </w:rPr>
        <w:t>[25] H. D. Diash, V. Nathania, M. Idhom, and T. Trimono, "Application of CNN-BiLSTM Algorithm for Ethereum Price Prediction," Journal of Applied Informatics and Computing (JAIC), vol. 9, no. 4, pp. 1709-1714, 2025, doi: https://doi.org/10.30871/jaic.v9i4.9757.</w:t>
      </w:r>
    </w:p>
    <w:p>
      <w:pPr>
        <w:spacing w:line="240" w:lineRule="auto" w:after="100"/>
        <w:ind w:left="567" w:hanging="567"/>
        <w:jc w:val="both"/>
      </w:pPr>
      <w:r>
        <w:rPr>
          <w:rFonts w:ascii="Times New Roman" w:hAnsi="Times New Roman"/>
          <w:sz w:val="22"/>
        </w:rPr>
        <w:t>[26] M. Mushliha, "Implementasi CNN-BiLSTM untuk Prediksi Harga Saham Bank Syariah di Indonesia," Jambura Journal of Mathematics, vol. 6, no. 2, pp. 195-203, 2024, doi: https://doi.org/10.37905/jjom.v6i2.26509.</w:t>
      </w:r>
    </w:p>
    <w:p>
      <w:pPr>
        <w:spacing w:line="240" w:lineRule="auto" w:after="100"/>
        <w:ind w:left="567" w:hanging="567"/>
        <w:jc w:val="both"/>
      </w:pPr>
      <w:r>
        <w:rPr>
          <w:rFonts w:ascii="Times New Roman" w:hAnsi="Times New Roman"/>
          <w:sz w:val="22"/>
        </w:rPr>
        <w:t>[27] R. Durga and V. N. Sailaja, "Cryptocurrency Price Prediction and Investment Decision Support Using a Transfer Learning-Based Hybrid CNN-BiLSTM-Attention Deep Learning Framework," Management (Montevideo), vol. 3, no. 1, pp. 318, 2025, doi: https://doi.org/10.62486/agma2025318.</w:t>
      </w:r>
    </w:p>
    <w:p>
      <w:pPr>
        <w:spacing w:line="240" w:lineRule="auto" w:after="100"/>
        <w:ind w:left="567" w:hanging="567"/>
        <w:jc w:val="both"/>
      </w:pPr>
      <w:r>
        <w:rPr>
          <w:rFonts w:ascii="Times New Roman" w:hAnsi="Times New Roman"/>
          <w:sz w:val="22"/>
        </w:rPr>
        <w:t>[28] H. C. Bhanujyothi and I. J. Jacob, "An Efficient Hybrid Model for Stock Market Price Prediction Using CNN-BiLSTM with Attention Mechanism and Sentimental Analysis," Engineering, Technology &amp; Applied Science Research (ETASR), vol. 15, no. 4, pp. 25565-25571, 2025, doi: https://doi.org/10.48084/etasr.11886.</w:t>
      </w:r>
    </w:p>
    <w:p>
      <w:pPr>
        <w:spacing w:line="240" w:lineRule="auto" w:after="100"/>
        <w:ind w:left="567" w:hanging="567"/>
        <w:jc w:val="both"/>
      </w:pPr>
      <w:r>
        <w:rPr>
          <w:rFonts w:ascii="Times New Roman" w:hAnsi="Times New Roman"/>
          <w:sz w:val="22"/>
        </w:rPr>
        <w:t>[29] R. N. Fitrianingsih and I. Kharisudin, "Time Series Modeling of Stock Price Using CNN-BiLSTM with Attention Mechanism," Unnes Journal of Mathematics, vol. 13, no. 1, pp. 11-20, 2025, doi: https://doi.org/10.15294/ujm.v13i1.13451.</w:t>
      </w:r>
    </w:p>
    <w:p>
      <w:pPr>
        <w:spacing w:line="240" w:lineRule="auto" w:after="100"/>
        <w:ind w:left="567" w:hanging="567"/>
        <w:jc w:val="both"/>
      </w:pPr>
      <w:r>
        <w:rPr>
          <w:rFonts w:ascii="Times New Roman" w:hAnsi="Times New Roman"/>
          <w:sz w:val="22"/>
        </w:rPr>
        <w:t>[30] P. L. Seabe, C. R. B. Moutsinga, and E. Pindza, "Sentiment-driven cryptocurrency forecasting: analyzing LSTM, GRU, Bi-LSTM, and temporal attention model (TAM)," Social Network Analysis and Mining, vol. 15, no. 1, pp. 1-19, 2025, doi: https://doi.org/10.1007/s13278-025-01463-6.</w:t>
      </w:r>
    </w:p>
    <w:p>
      <w:pPr>
        <w:spacing w:line="240" w:lineRule="auto" w:after="100"/>
        <w:ind w:left="567" w:hanging="567"/>
        <w:jc w:val="both"/>
      </w:pPr>
      <w:r>
        <w:rPr>
          <w:rFonts w:ascii="Times New Roman" w:hAnsi="Times New Roman"/>
          <w:sz w:val="22"/>
        </w:rPr>
        <w:t>[31] M. S. Munir, M. M. Huda, and T. Prabowo, "Prediksi Harga Bitcoin Menggunakan Algoritma Long Short-Term Memory," JIPI (Jurnal Ilmiah Penelitian dan Pembelajaran Informatika), vol. 10, no. 3, pp. 2255-2264, 2025, doi: https://doi.org/10.29100/jipi.v10i3.7937.</w:t>
      </w:r>
    </w:p>
    <w:p>
      <w:pPr>
        <w:spacing w:line="240" w:lineRule="auto" w:after="100"/>
        <w:ind w:left="567" w:hanging="567"/>
        <w:jc w:val="both"/>
      </w:pPr>
      <w:r>
        <w:rPr>
          <w:rFonts w:ascii="Times New Roman" w:hAnsi="Times New Roman"/>
          <w:sz w:val="22"/>
        </w:rPr>
        <w:t>[32] D. Aldo, M. R. Firmansyah, and M. A. Amrustian, "Comparative Analysis of Hyperparameter Optimization Methods for LSTM in Cryptocurrency Price Prediction: An Application to TRX–USD," Jurnal Teknik Informatika (JUTIF), vol. 7, no. 3, pp. 2340-2349, 2026, doi: https://doi.org/10.52436/1.jutif.2026.7.3.5355.</w:t>
      </w:r>
    </w:p>
    <w:p>
      <w:pPr>
        <w:spacing w:line="240" w:lineRule="auto" w:after="100"/>
        <w:ind w:left="567" w:hanging="567"/>
        <w:jc w:val="both"/>
      </w:pPr>
      <w:r>
        <w:rPr>
          <w:rFonts w:ascii="Times New Roman" w:hAnsi="Times New Roman"/>
          <w:sz w:val="22"/>
        </w:rPr>
        <w:t>[33] M. A. Fadillah, F. N. Allianzah, A. Maulana, A. Gunawan, and F. D. Wihartiko, "Analisis pengaruh sentimen terhadap akurasi prediksi harga close market cryptocurrency menggunakan Deep Learning berbasis GRU," AITI: Jurnal Teknologi Informasi, vol. 23, no. 3, pp. 496-510, 2026, doi: https://doi.org/10.24246/aiti.v23i3.496-510.</w:t>
      </w:r>
    </w:p>
    <w:p>
      <w:pPr>
        <w:spacing w:line="240" w:lineRule="auto" w:after="100"/>
        <w:ind w:left="567" w:hanging="567"/>
        <w:jc w:val="both"/>
      </w:pPr>
      <w:r>
        <w:rPr>
          <w:rFonts w:ascii="Times New Roman" w:hAnsi="Times New Roman"/>
          <w:sz w:val="22"/>
        </w:rPr>
        <w:t>[34] A. Alamsyah, "Model Prediksi Harga Bitcoin Menggunakan Algoritma SBI-GRU dan SBI-LSTM," STRING (Satuan Tulisan Riset dan Inovasi Teknologi), vol. 10, no. 3, pp. 290-300, 2026, doi: https://doi.org/10.30998/string.v10i3.1575.</w:t>
      </w:r>
    </w:p>
    <w:p>
      <w:pPr>
        <w:spacing w:line="240" w:lineRule="auto" w:after="100"/>
        <w:ind w:left="567" w:hanging="567"/>
        <w:jc w:val="both"/>
      </w:pPr>
      <w:r>
        <w:rPr>
          <w:rFonts w:ascii="Times New Roman" w:hAnsi="Times New Roman"/>
          <w:sz w:val="22"/>
        </w:rPr>
        <w:t>[35] A. Susanto, G. K. Nufus, and L. Hardiyanti, "Perbandingan Model LSTM GRU BiLSTM CNN-LSTM dan Transformer untuk Prediksi Indeks Harga Saham Gabungan (IHSG)," Jurnal Informatika Teknologi dan Sains (JINTEKS), vol. 7, no. 4, pp. 2277-2286, 2026, doi: https://doi.org/10.51401/jinteks.v7i4.8071.</w:t>
      </w:r>
    </w:p>
    <w:p>
      <w:pPr>
        <w:spacing w:line="240" w:lineRule="auto" w:after="100"/>
        <w:ind w:left="567" w:hanging="567"/>
        <w:jc w:val="both"/>
      </w:pPr>
      <w:r>
        <w:rPr>
          <w:rFonts w:ascii="Times New Roman" w:hAnsi="Times New Roman"/>
          <w:sz w:val="22"/>
        </w:rPr>
        <w:t>[36] D. N. Sabrina, B. Rahmat, and E. Y. Puspaningrum, "Penerapan XGBoost dan Random Forest dalam Prediksi Strategi Pemasaran Berdasarkan Data Penjualan," CICES (Cyberpreneurship Innovative and Creative Exact and Social Science), vol. 12, no. 2, pp. 217-225, 2026, doi: https://doi.org/10.33050/cices.v12i2.3872.</w:t>
      </w:r>
    </w:p>
    <w:p>
      <w:pPr>
        <w:spacing w:line="240" w:lineRule="auto" w:after="100"/>
        <w:ind w:left="567" w:hanging="567"/>
        <w:jc w:val="both"/>
      </w:pPr>
      <w:r>
        <w:rPr>
          <w:rFonts w:ascii="Times New Roman" w:hAnsi="Times New Roman"/>
          <w:sz w:val="22"/>
        </w:rPr>
        <w:t>[37] R. Bourday, A. Zaaouat, I. Aattouchi, and M. A. Kerroum, "Explainable hybrid deep learning framework for cryptocurrency price forecasting using CNN-BiLSTM-TCN and SHAP analysis," Results in Engineering, vol. 29, pp. 109865, 2026, doi: https://doi.org/10.1016/j.rineng.2026.109865.</w:t>
      </w:r>
    </w:p>
    <w:p>
      <w:pPr>
        <w:spacing w:line="240" w:lineRule="auto" w:after="100"/>
        <w:ind w:left="567" w:hanging="567"/>
        <w:jc w:val="both"/>
      </w:pPr>
      <w:r>
        <w:rPr>
          <w:rFonts w:ascii="Times New Roman" w:hAnsi="Times New Roman"/>
          <w:sz w:val="22"/>
        </w:rPr>
        <w:t>[38] H. C. Bhanujyothi and I. J. Jacob, "A Hybrid CNN-LSTM Attention-Based Deep Learning Model for Stock Price Prediction Using Technical Indicators," Engineering, Technology &amp; Applied Science Research (ETASR), vol. 15, no. 5, pp. 28012-28017, 2025, doi: https://doi.org/10.48084/etasr.12685.</w:t>
      </w:r>
    </w:p>
    <w:p>
      <w:pPr>
        <w:spacing w:line="240" w:lineRule="auto" w:after="100"/>
        <w:ind w:left="567" w:hanging="567"/>
        <w:jc w:val="both"/>
      </w:pPr>
      <w:r>
        <w:rPr>
          <w:rFonts w:ascii="Times New Roman" w:hAnsi="Times New Roman"/>
          <w:sz w:val="22"/>
        </w:rPr>
        <w:t>[39] M. Golabzaei, E. Taheripour, and S. J. Sadjadi, "Enhancing stock market price prediction through FinGPT-driven sentiment analysis, technical indicators, historical price data, and attention-based hybrid deep learning models," Scientific Reports, vol. 16, no. 1, pp. 1-18, 2026, doi: https://doi.org/10.1038/s41598-026-58717-2.</w:t>
      </w:r>
    </w:p>
    <w:p>
      <w:pPr>
        <w:spacing w:line="240" w:lineRule="auto" w:after="100"/>
        <w:ind w:left="567" w:hanging="567"/>
        <w:jc w:val="both"/>
      </w:pPr>
      <w:r>
        <w:rPr>
          <w:rFonts w:ascii="Times New Roman" w:hAnsi="Times New Roman"/>
          <w:sz w:val="22"/>
        </w:rPr>
        <w:t>[40] N. Afrianto, D. H. Fudholi, and S. Rani, "Prediksi Harga Saham Menggunakan BiLSTM dengan Faktor Sentimen Publik," Jurnal RESTI (Rekayasa Sistem dan Teknologi Informasi), vol. 6, no. 1, pp. 41-46, 2022, doi: https://doi.org/10.29207/resti.v6i1.3676.</w:t>
      </w:r>
    </w:p>
    <w:p>
      <w:pPr>
        <w:spacing w:line="240" w:lineRule="auto" w:after="100"/>
        <w:ind w:left="567" w:hanging="567"/>
        <w:jc w:val="both"/>
      </w:pPr>
      <w:r>
        <w:rPr>
          <w:rFonts w:ascii="Times New Roman" w:hAnsi="Times New Roman"/>
          <w:sz w:val="22"/>
        </w:rPr>
        <w:t>[41] M. Tshamaroh, I. Permana, F. N. Salisah, F. Muttakin, and M. Afdal, "Perbandingan Algoritma LSTM, Bi-LSTM, GRU, dan Bi-GRU untuk Prediksi Harga Saham Berbasis Deep Learning," Building of Informatics, Technology and Science (BITS), vol. 7, no. 1, pp. 191-200, 2025, doi: https://doi.org/10.47065/bits.v7i1.7252.</w:t>
      </w:r>
    </w:p>
    <w:p>
      <w:pPr>
        <w:spacing w:line="240" w:lineRule="auto" w:after="100"/>
        <w:ind w:left="567" w:hanging="567"/>
        <w:jc w:val="both"/>
      </w:pPr>
      <w:r>
        <w:rPr>
          <w:rFonts w:ascii="Times New Roman" w:hAnsi="Times New Roman"/>
          <w:sz w:val="22"/>
        </w:rPr>
        <w:t>[42] M. Diqi and H. Hamzah, "Improving Stock Price Prediction Accuracy with StacBi LSTM," JISKA (Jurnal Informatika Sunan Kalijaga), vol. 9, no. 1, pp. 10-26, 2024, doi: https://doi.org/10.14421/jiska.2024.9.1.10-26.</w:t>
      </w:r>
    </w:p>
    <w:p>
      <w:pPr>
        <w:spacing w:line="240" w:lineRule="auto" w:after="100"/>
        <w:ind w:left="567" w:hanging="567"/>
        <w:jc w:val="both"/>
      </w:pPr>
      <w:r>
        <w:rPr>
          <w:rFonts w:ascii="Times New Roman" w:hAnsi="Times New Roman"/>
          <w:sz w:val="22"/>
        </w:rPr>
        <w:t>[43] F. P. Simamora, R. Purba, and M. F. Pasha, "Optimisasi Hyperparameter BiLSTM Menggunakan Bayesian Optimization untuk Prediksi Harga Saham," Jambura Journal of Mathematics, vol. 7, no. 1, pp. 8-13, 2025, doi: https://doi.org/10.37905/jjom.v7i1.27166.</w:t>
      </w:r>
    </w:p>
    <w:p>
      <w:pPr>
        <w:spacing w:line="240" w:lineRule="auto" w:after="100"/>
        <w:ind w:left="567" w:hanging="567"/>
        <w:jc w:val="both"/>
      </w:pPr>
      <w:r>
        <w:rPr>
          <w:rFonts w:ascii="Times New Roman" w:hAnsi="Times New Roman"/>
          <w:sz w:val="22"/>
        </w:rPr>
        <w:t>[44] G. Pavani, K. S. Vyshnavi, M. Samhitha, and T. Anjali, "Cryptocurrency Price Prediction using LSTM with Self Attention," 2024 3rd International Conference on Sentiment Analysis and Deep Learning (ICSADL), pp. 306-311, 2024, doi: https://doi.org/10.1109/icsadl61749.2024.00056.</w:t>
      </w:r>
    </w:p>
    <w:p>
      <w:pPr>
        <w:spacing w:line="240" w:lineRule="auto" w:after="100"/>
        <w:ind w:left="567" w:hanging="567"/>
        <w:jc w:val="both"/>
      </w:pPr>
      <w:r>
        <w:rPr>
          <w:rFonts w:ascii="Times New Roman" w:hAnsi="Times New Roman"/>
          <w:sz w:val="22"/>
        </w:rPr>
        <w:t>[45] G. J. Saqware and B. Ismail, "Hybrid Deep Learning Model Integrating Attention Mechanism for the Accurate Prediction and Forecasting of the Cryptocurrency Market," Operations Research Forum, vol. 5, no. 1, pp. 1-22, 2024, doi: https://doi.org/10.1007/s43069-024-00302-2.</w:t>
      </w:r>
    </w:p>
    <w:p>
      <w:pPr>
        <w:spacing w:line="240" w:lineRule="auto" w:after="100"/>
        <w:ind w:left="567" w:hanging="567"/>
        <w:jc w:val="both"/>
      </w:pPr>
      <w:r>
        <w:rPr>
          <w:rFonts w:ascii="Times New Roman" w:hAnsi="Times New Roman"/>
          <w:sz w:val="22"/>
        </w:rPr>
        <w:t>[46] Y. Wu, "Research on Commodity Futures Price Fluctuation Prediction Based on CNN-BiLSTM-Attention," Applied and Computational Engineering, vol. 189, no. 1, pp. 62-82, 2025, doi: https://doi.org/10.54254/2755-2721/2026.30497.</w:t>
      </w:r>
    </w:p>
    <w:p>
      <w:pPr>
        <w:spacing w:line="240" w:lineRule="auto" w:after="100"/>
        <w:ind w:left="567" w:hanging="567"/>
        <w:jc w:val="both"/>
      </w:pPr>
      <w:r>
        <w:rPr>
          <w:rFonts w:ascii="Times New Roman" w:hAnsi="Times New Roman"/>
          <w:sz w:val="22"/>
        </w:rPr>
        <w:t>[47] C. Li and W. Hua, "CNN-BiLSTM-Attention Based Stock Price Prediction and Quantitative Investment Strategy," Frontiers in Business, Economics and Management, vol. 16, no. 3, pp. 76-84, 2024, doi: https://doi.org/10.54097/jxs44k42.</w:t>
      </w:r>
    </w:p>
    <w:p>
      <w:pPr>
        <w:spacing w:line="240" w:lineRule="auto" w:after="100"/>
        <w:ind w:left="567" w:hanging="567"/>
        <w:jc w:val="both"/>
      </w:pPr>
      <w:r>
        <w:rPr>
          <w:rFonts w:ascii="Times New Roman" w:hAnsi="Times New Roman"/>
          <w:sz w:val="22"/>
        </w:rPr>
        <w:t>[48] A. S. Girsang and Stanley, "Hybrid LSTM and GRU for Cryptocurrency Price Forecasting Based on Social Network Sentiment Analysis Using FinBERT," IEEE Access, vol. 11, pp. 120530-120540, 2023, doi: https://doi.org/10.1109/access.2023.3324535.</w:t>
      </w:r>
    </w:p>
    <w:sectPr w:rsidR="00FC693F" w:rsidRPr="0006063C" w:rsidSect="00034616">
      <w:footerReference w:type="default" r:id="rId11"/>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