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jc w:val="center"/>
      </w:pPr>
      <w:r>
        <w:rPr>
          <w:rFonts w:ascii="Times New Roman" w:hAnsi="Times New Roman"/>
          <w:b/>
          <w:sz w:val="28"/>
        </w:rPr>
        <w:t>DOKUMENTASI DATASET RENCANA RISET KECIL SOLANA (SOL-USD)</w:t>
      </w:r>
    </w:p>
    <w:p>
      <w:pPr>
        <w:spacing w:line="276" w:lineRule="auto" w:after="240"/>
        <w:jc w:val="center"/>
      </w:pPr>
      <w:r>
        <w:rPr>
          <w:rFonts w:ascii="Times New Roman" w:hAnsi="Times New Roman"/>
          <w:i/>
          <w:sz w:val="22"/>
        </w:rPr>
        <w:t>Akuisisi Data Historis Pasar dan Rekayasa Fitur Indikator Teknikal Multivariat (2021–2026)</w:t>
        <w:br/>
        <w:t>Peneliti: Muhammad Bazwa Arigusna (NPM. 23081010250)</w:t>
        <w:br/>
        <w:t>Dosen Pengampu / Pembimbing: Dr. Basuki Rahmat, S.Si., MT.</w:t>
        <w:br/>
        <w:t>Program Studi Informatika — Fakultas Ilmu Komputer, UPN "Veteran" Jawa Timur</w:t>
      </w:r>
    </w:p>
    <w:p>
      <w:pPr>
        <w:keepNext/>
        <w:spacing w:before="200" w:after="80" w:line="360" w:lineRule="auto"/>
      </w:pPr>
      <w:r>
        <w:rPr>
          <w:rFonts w:ascii="Times New Roman" w:hAnsi="Times New Roman"/>
          <w:b/>
          <w:i w:val="0"/>
          <w:sz w:val="28"/>
        </w:rPr>
        <w:t>1. Deskripsi Umum Dataset Penelitian</w:t>
      </w:r>
    </w:p>
    <w:p>
      <w:pPr>
        <w:spacing w:line="360" w:lineRule="auto" w:after="120"/>
        <w:ind w:firstLine="567"/>
        <w:jc w:val="both"/>
      </w:pPr>
      <w:r>
        <w:rPr>
          <w:rFonts w:ascii="Times New Roman" w:hAnsi="Times New Roman"/>
          <w:b w:val="0"/>
          <w:i w:val="0"/>
          <w:sz w:val="24"/>
        </w:rPr>
        <w:t xml:space="preserve">Penelitian ini menggunakan dataset deret waktu finansial (financial </w:t>
      </w:r>
      <w:r>
        <w:rPr>
          <w:rFonts w:ascii="Times New Roman" w:hAnsi="Times New Roman"/>
          <w:b w:val="0"/>
          <w:i/>
          <w:sz w:val="24"/>
        </w:rPr>
        <w:t>time series</w:t>
      </w:r>
      <w:r>
        <w:rPr>
          <w:rFonts w:ascii="Times New Roman" w:hAnsi="Times New Roman"/>
          <w:b w:val="0"/>
          <w:i w:val="0"/>
          <w:sz w:val="24"/>
        </w:rPr>
        <w:t>) riil dari aset kripto Solana terhadap Dolar Amerika Serikat (SOL-USD) yang diakuisisi melalui antarmuka pemrograman aplikasi (API) Yahoo Finance [1], [2]. Data mentah mencakup periode perdagangan harian sejak 1 Januari 2021 hingga 30 September 2026 dengan total 2099 baris observasi harian. Setelah dilakukan perhitungan indikator teknikal berjendela 20 hari dan pembersihan nilai kosong (</w:t>
      </w:r>
      <w:r>
        <w:rPr>
          <w:rFonts w:ascii="Times New Roman" w:hAnsi="Times New Roman"/>
          <w:b w:val="0"/>
          <w:i/>
          <w:sz w:val="24"/>
        </w:rPr>
        <w:t>missing values</w:t>
      </w:r>
      <w:r>
        <w:rPr>
          <w:rFonts w:ascii="Times New Roman" w:hAnsi="Times New Roman"/>
          <w:b w:val="0"/>
          <w:i w:val="0"/>
          <w:sz w:val="24"/>
        </w:rPr>
        <w:t xml:space="preserve"> / </w:t>
      </w:r>
      <w:r>
        <w:rPr>
          <w:rFonts w:ascii="Times New Roman" w:hAnsi="Times New Roman"/>
          <w:b w:val="0"/>
          <w:i/>
          <w:sz w:val="24"/>
        </w:rPr>
        <w:t>warm-up period</w:t>
      </w:r>
      <w:r>
        <w:rPr>
          <w:rFonts w:ascii="Times New Roman" w:hAnsi="Times New Roman"/>
          <w:b w:val="0"/>
          <w:i w:val="0"/>
          <w:sz w:val="24"/>
        </w:rPr>
        <w:t>) pada 19 hari pertama, diperoleh dataset bersih siap latih sebanyak 2080 observasi harian (20 Januari 2021 hingga 30 September 2026) dengan 20 atribut kolom.</w:t>
      </w:r>
    </w:p>
    <w:p>
      <w:pPr>
        <w:spacing w:line="360" w:lineRule="auto" w:after="120"/>
        <w:ind w:firstLine="567"/>
        <w:jc w:val="both"/>
      </w:pPr>
      <w:r>
        <w:rPr>
          <w:rFonts w:ascii="Times New Roman" w:hAnsi="Times New Roman"/>
          <w:b w:val="0"/>
          <w:i w:val="0"/>
          <w:sz w:val="24"/>
        </w:rPr>
        <w:t xml:space="preserve">Pemilihan Solana (SOL) sebagai objek penelitian didasarkan pada karakteristik unik jaringan </w:t>
      </w:r>
      <w:r>
        <w:rPr>
          <w:rFonts w:ascii="Times New Roman" w:hAnsi="Times New Roman"/>
          <w:b w:val="0"/>
          <w:i/>
          <w:sz w:val="24"/>
        </w:rPr>
        <w:t>blockchain</w:t>
      </w:r>
      <w:r>
        <w:rPr>
          <w:rFonts w:ascii="Times New Roman" w:hAnsi="Times New Roman"/>
          <w:b w:val="0"/>
          <w:i w:val="0"/>
          <w:sz w:val="24"/>
        </w:rPr>
        <w:t xml:space="preserve"> Solana yang menggabungkan mekanisme konsensus </w:t>
      </w:r>
      <w:r>
        <w:rPr>
          <w:rFonts w:ascii="Times New Roman" w:hAnsi="Times New Roman"/>
          <w:b w:val="0"/>
          <w:i/>
          <w:sz w:val="24"/>
        </w:rPr>
        <w:t>Proof of History</w:t>
      </w:r>
      <w:r>
        <w:rPr>
          <w:rFonts w:ascii="Times New Roman" w:hAnsi="Times New Roman"/>
          <w:b w:val="0"/>
          <w:i w:val="0"/>
          <w:sz w:val="24"/>
        </w:rPr>
        <w:t xml:space="preserve"> (PoH) dan </w:t>
      </w:r>
      <w:r>
        <w:rPr>
          <w:rFonts w:ascii="Times New Roman" w:hAnsi="Times New Roman"/>
          <w:b w:val="0"/>
          <w:i/>
          <w:sz w:val="24"/>
        </w:rPr>
        <w:t>Proof of Stake</w:t>
      </w:r>
      <w:r>
        <w:rPr>
          <w:rFonts w:ascii="Times New Roman" w:hAnsi="Times New Roman"/>
          <w:b w:val="0"/>
          <w:i w:val="0"/>
          <w:sz w:val="24"/>
        </w:rPr>
        <w:t xml:space="preserve"> (PoS) [3], [4]. Kecepatan transaksi yang tinggi serta pesatnya pertumbuhan ekosistem </w:t>
      </w:r>
      <w:r>
        <w:rPr>
          <w:rFonts w:ascii="Times New Roman" w:hAnsi="Times New Roman"/>
          <w:b w:val="0"/>
          <w:i/>
          <w:sz w:val="24"/>
        </w:rPr>
        <w:t>Decentralized Exchange</w:t>
      </w:r>
      <w:r>
        <w:rPr>
          <w:rFonts w:ascii="Times New Roman" w:hAnsi="Times New Roman"/>
          <w:b w:val="0"/>
          <w:i w:val="0"/>
          <w:sz w:val="24"/>
        </w:rPr>
        <w:t xml:space="preserve"> (DEX), </w:t>
      </w:r>
      <w:r>
        <w:rPr>
          <w:rFonts w:ascii="Times New Roman" w:hAnsi="Times New Roman"/>
          <w:b w:val="0"/>
          <w:i/>
          <w:sz w:val="24"/>
        </w:rPr>
        <w:t>Decentralized Finance</w:t>
      </w:r>
      <w:r>
        <w:rPr>
          <w:rFonts w:ascii="Times New Roman" w:hAnsi="Times New Roman"/>
          <w:b w:val="0"/>
          <w:i w:val="0"/>
          <w:sz w:val="24"/>
        </w:rPr>
        <w:t xml:space="preserve"> (DeFi), dan </w:t>
      </w:r>
      <w:r>
        <w:rPr>
          <w:rFonts w:ascii="Times New Roman" w:hAnsi="Times New Roman"/>
          <w:b w:val="0"/>
          <w:i/>
          <w:sz w:val="24"/>
        </w:rPr>
        <w:t>Non-Fungible Token</w:t>
      </w:r>
      <w:r>
        <w:rPr>
          <w:rFonts w:ascii="Times New Roman" w:hAnsi="Times New Roman"/>
          <w:b w:val="0"/>
          <w:i w:val="0"/>
          <w:sz w:val="24"/>
        </w:rPr>
        <w:t xml:space="preserve"> (NFT) pada jaringan Solana [5], [6], [7] menghasilkan dinamika harga dengan volatilitas yang jauh lebih agresif dibandingkan aset kripto generasi pertama seperti Bitcoin [8], [9], [10]. Oleh karena itu, pendekatan prediksi univariat yang hanya mengandalkan harga penutupan masa lalu tidak memadai untuk menangkap perubahan momentum pasar secara akurat [16], [17], [18], [19].</w:t>
      </w:r>
    </w:p>
    <w:p>
      <w:pPr>
        <w:keepNext/>
        <w:spacing w:before="200" w:after="80" w:line="360" w:lineRule="auto"/>
      </w:pPr>
      <w:r>
        <w:rPr>
          <w:rFonts w:ascii="Times New Roman" w:hAnsi="Times New Roman"/>
          <w:b/>
          <w:i w:val="0"/>
          <w:sz w:val="28"/>
        </w:rPr>
        <w:t>2. Kamus Data dan Struktur Fitur Multivariat</w:t>
      </w:r>
    </w:p>
    <w:p>
      <w:pPr>
        <w:spacing w:line="360" w:lineRule="auto" w:after="120"/>
        <w:ind w:firstLine="567"/>
        <w:jc w:val="both"/>
      </w:pPr>
      <w:r>
        <w:rPr>
          <w:rFonts w:ascii="Times New Roman" w:hAnsi="Times New Roman"/>
          <w:b w:val="0"/>
          <w:i w:val="0"/>
          <w:sz w:val="24"/>
        </w:rPr>
        <w:t>Untuk mengatasi keterbatasan data univariat, penelitian ini mengonstruksi matriks fitur multivariat yang memadukan lima variabel pasar primer (Open, High, Low, Close, Volume) dengan sembilan indikator teknikal utama yang merepresentasikan tren harga, osilasi momentum, volatilitas pasar, serta akumulasi volume perdagangan [20], [22]. Rincian kamus data disajikan pada Tabel 2.1.</w:t>
      </w:r>
    </w:p>
    <w:p>
      <w:pPr>
        <w:keepNext/>
        <w:spacing w:before="160" w:after="60" w:line="276" w:lineRule="auto"/>
      </w:pPr>
      <w:r>
        <w:rPr>
          <w:rFonts w:ascii="Times New Roman" w:hAnsi="Times New Roman"/>
          <w:b/>
          <w:sz w:val="22"/>
        </w:rPr>
        <w:t xml:space="preserve">Tabel 2.1 </w:t>
      </w:r>
      <w:r>
        <w:rPr>
          <w:rFonts w:ascii="Times New Roman" w:hAnsi="Times New Roman"/>
          <w:b/>
          <w:i w:val="0"/>
          <w:sz w:val="22"/>
        </w:rPr>
        <w:t>Kamus Data dan Spesifikasi Fitur Dataset Multivariat Solana</w:t>
      </w:r>
    </w:p>
    <w:tbl>
      <w:tblPr>
        <w:tblStyle w:val="TableGrid"/>
        <w:tblW w:type="auto" w:w="0"/>
        <w:jc w:val="center"/>
        <w:tblLook w:firstColumn="1" w:firstRow="1" w:lastColumn="0" w:lastRow="0" w:noHBand="0" w:noVBand="1" w:val="04A0"/>
      </w:tblPr>
      <w:tblGrid>
        <w:gridCol w:w="1587"/>
        <w:gridCol w:w="1587"/>
        <w:gridCol w:w="1587"/>
        <w:gridCol w:w="1587"/>
        <w:gridCol w:w="1587"/>
      </w:tblGrid>
      <w:tr>
        <w:tc>
          <w:tcPr>
            <w:tcW w:type="dxa" w:w="1587"/>
            <w:shd w:fill="D9E1F2"/>
            <w:vAlign w:val="center"/>
          </w:tcPr>
          <w:p>
            <w:pPr>
              <w:spacing w:line="276" w:lineRule="auto" w:before="60" w:after="60"/>
              <w:jc w:val="center"/>
            </w:pPr>
            <w:r>
              <w:rPr>
                <w:rFonts w:ascii="Times New Roman" w:hAnsi="Times New Roman"/>
                <w:b/>
                <w:sz w:val="20"/>
              </w:rPr>
              <w:t>No</w:t>
            </w:r>
          </w:p>
        </w:tc>
        <w:tc>
          <w:tcPr>
            <w:tcW w:type="dxa" w:w="1587"/>
            <w:shd w:fill="D9E1F2"/>
            <w:vAlign w:val="center"/>
          </w:tcPr>
          <w:p>
            <w:pPr>
              <w:spacing w:line="276" w:lineRule="auto" w:before="60" w:after="60"/>
              <w:jc w:val="center"/>
            </w:pPr>
            <w:r>
              <w:rPr>
                <w:rFonts w:ascii="Times New Roman" w:hAnsi="Times New Roman"/>
                <w:b/>
                <w:sz w:val="20"/>
              </w:rPr>
              <w:t>Nama Fitur</w:t>
            </w:r>
          </w:p>
        </w:tc>
        <w:tc>
          <w:tcPr>
            <w:tcW w:type="dxa" w:w="1587"/>
            <w:shd w:fill="D9E1F2"/>
            <w:vAlign w:val="center"/>
          </w:tcPr>
          <w:p>
            <w:pPr>
              <w:spacing w:line="276" w:lineRule="auto" w:before="60" w:after="60"/>
              <w:jc w:val="center"/>
            </w:pPr>
            <w:r>
              <w:rPr>
                <w:rFonts w:ascii="Times New Roman" w:hAnsi="Times New Roman"/>
                <w:b/>
                <w:sz w:val="20"/>
              </w:rPr>
              <w:t>Kategori Variabel</w:t>
            </w:r>
          </w:p>
        </w:tc>
        <w:tc>
          <w:tcPr>
            <w:tcW w:type="dxa" w:w="1587"/>
            <w:shd w:fill="D9E1F2"/>
            <w:vAlign w:val="center"/>
          </w:tcPr>
          <w:p>
            <w:pPr>
              <w:spacing w:line="276" w:lineRule="auto" w:before="60" w:after="60"/>
              <w:jc w:val="center"/>
            </w:pPr>
            <w:r>
              <w:rPr>
                <w:rFonts w:ascii="Times New Roman" w:hAnsi="Times New Roman"/>
                <w:b/>
                <w:sz w:val="20"/>
              </w:rPr>
              <w:t>Satuan</w:t>
            </w:r>
          </w:p>
        </w:tc>
        <w:tc>
          <w:tcPr>
            <w:tcW w:type="dxa" w:w="1587"/>
            <w:shd w:fill="D9E1F2"/>
            <w:vAlign w:val="center"/>
          </w:tcPr>
          <w:p>
            <w:pPr>
              <w:spacing w:line="276" w:lineRule="auto" w:before="60" w:after="60"/>
              <w:jc w:val="center"/>
            </w:pPr>
            <w:r>
              <w:rPr>
                <w:rFonts w:ascii="Times New Roman" w:hAnsi="Times New Roman"/>
                <w:b/>
                <w:sz w:val="20"/>
              </w:rPr>
              <w:t>Deskripsi dan Fungsi pada Model Prediksi</w:t>
            </w:r>
          </w:p>
        </w:tc>
      </w:tr>
      <w:tr>
        <w:tc>
          <w:tcPr>
            <w:tcW w:type="dxa" w:w="1587"/>
            <w:vAlign w:val="center"/>
          </w:tcPr>
          <w:p>
            <w:pPr>
              <w:spacing w:line="276" w:lineRule="auto" w:before="40" w:after="40"/>
            </w:pPr>
            <w:r>
              <w:rPr>
                <w:rFonts w:ascii="Times New Roman" w:hAnsi="Times New Roman"/>
                <w:sz w:val="18"/>
              </w:rPr>
              <w:t>1</w:t>
            </w:r>
          </w:p>
        </w:tc>
        <w:tc>
          <w:tcPr>
            <w:tcW w:type="dxa" w:w="1587"/>
            <w:vAlign w:val="center"/>
          </w:tcPr>
          <w:p>
            <w:pPr>
              <w:spacing w:line="276" w:lineRule="auto" w:before="40" w:after="40"/>
            </w:pPr>
            <w:r>
              <w:rPr>
                <w:rFonts w:ascii="Times New Roman" w:hAnsi="Times New Roman"/>
                <w:sz w:val="18"/>
              </w:rPr>
              <w:t>Date</w:t>
            </w:r>
          </w:p>
        </w:tc>
        <w:tc>
          <w:tcPr>
            <w:tcW w:type="dxa" w:w="1587"/>
            <w:vAlign w:val="center"/>
          </w:tcPr>
          <w:p>
            <w:pPr>
              <w:spacing w:line="276" w:lineRule="auto" w:before="40" w:after="40"/>
            </w:pPr>
            <w:r>
              <w:rPr>
                <w:rFonts w:ascii="Times New Roman" w:hAnsi="Times New Roman"/>
                <w:sz w:val="18"/>
              </w:rPr>
              <w:t>Indeks Temporal</w:t>
            </w:r>
          </w:p>
        </w:tc>
        <w:tc>
          <w:tcPr>
            <w:tcW w:type="dxa" w:w="1587"/>
            <w:vAlign w:val="center"/>
          </w:tcPr>
          <w:p>
            <w:pPr>
              <w:spacing w:line="276" w:lineRule="auto" w:before="40" w:after="40"/>
            </w:pPr>
            <w:r>
              <w:rPr>
                <w:rFonts w:ascii="Times New Roman" w:hAnsi="Times New Roman"/>
                <w:sz w:val="18"/>
              </w:rPr>
              <w:t>YYYY-MM-DD</w:t>
            </w:r>
          </w:p>
        </w:tc>
        <w:tc>
          <w:tcPr>
            <w:tcW w:type="dxa" w:w="1587"/>
            <w:vAlign w:val="center"/>
          </w:tcPr>
          <w:p>
            <w:pPr>
              <w:spacing w:line="276" w:lineRule="auto" w:before="40" w:after="40"/>
            </w:pPr>
            <w:r>
              <w:rPr>
                <w:rFonts w:ascii="Times New Roman" w:hAnsi="Times New Roman"/>
                <w:sz w:val="18"/>
              </w:rPr>
              <w:t>Tanggal penutupan perdagangan harian pasar kripto global (UTC).</w:t>
            </w:r>
          </w:p>
        </w:tc>
      </w:tr>
      <w:tr>
        <w:tc>
          <w:tcPr>
            <w:tcW w:type="dxa" w:w="1587"/>
            <w:vAlign w:val="center"/>
          </w:tcPr>
          <w:p>
            <w:pPr>
              <w:spacing w:line="276" w:lineRule="auto" w:before="40" w:after="40"/>
            </w:pPr>
            <w:r>
              <w:rPr>
                <w:rFonts w:ascii="Times New Roman" w:hAnsi="Times New Roman"/>
                <w:sz w:val="18"/>
              </w:rPr>
              <w:t>2</w:t>
            </w:r>
          </w:p>
        </w:tc>
        <w:tc>
          <w:tcPr>
            <w:tcW w:type="dxa" w:w="1587"/>
            <w:vAlign w:val="center"/>
          </w:tcPr>
          <w:p>
            <w:pPr>
              <w:spacing w:line="276" w:lineRule="auto" w:before="40" w:after="40"/>
            </w:pPr>
            <w:r>
              <w:rPr>
                <w:rFonts w:ascii="Times New Roman" w:hAnsi="Times New Roman"/>
                <w:sz w:val="18"/>
              </w:rPr>
              <w:t>Close (Target)</w:t>
            </w:r>
          </w:p>
        </w:tc>
        <w:tc>
          <w:tcPr>
            <w:tcW w:type="dxa" w:w="1587"/>
            <w:vAlign w:val="center"/>
          </w:tcPr>
          <w:p>
            <w:pPr>
              <w:spacing w:line="276" w:lineRule="auto" w:before="40" w:after="40"/>
            </w:pPr>
            <w:r>
              <w:rPr>
                <w:rFonts w:ascii="Times New Roman" w:hAnsi="Times New Roman"/>
                <w:sz w:val="18"/>
              </w:rPr>
              <w:t>Harga Primer</w:t>
            </w:r>
          </w:p>
        </w:tc>
        <w:tc>
          <w:tcPr>
            <w:tcW w:type="dxa" w:w="1587"/>
            <w:vAlign w:val="center"/>
          </w:tcPr>
          <w:p>
            <w:pPr>
              <w:spacing w:line="276" w:lineRule="auto" w:before="40" w:after="40"/>
            </w:pPr>
            <w:r>
              <w:rPr>
                <w:rFonts w:ascii="Times New Roman" w:hAnsi="Times New Roman"/>
                <w:sz w:val="18"/>
              </w:rPr>
              <w:t>USD</w:t>
            </w:r>
          </w:p>
        </w:tc>
        <w:tc>
          <w:tcPr>
            <w:tcW w:type="dxa" w:w="1587"/>
            <w:vAlign w:val="center"/>
          </w:tcPr>
          <w:p>
            <w:pPr>
              <w:spacing w:line="276" w:lineRule="auto" w:before="40" w:after="40"/>
            </w:pPr>
            <w:r>
              <w:rPr>
                <w:rFonts w:ascii="Times New Roman" w:hAnsi="Times New Roman"/>
                <w:sz w:val="18"/>
              </w:rPr>
              <w:t>Harga penutupan harian SOL-USD; menjadi variabel target prediksi (ŷ_(t+1)) sekaligus fitur input.</w:t>
            </w:r>
          </w:p>
        </w:tc>
      </w:tr>
      <w:tr>
        <w:tc>
          <w:tcPr>
            <w:tcW w:type="dxa" w:w="1587"/>
            <w:vAlign w:val="center"/>
          </w:tcPr>
          <w:p>
            <w:pPr>
              <w:spacing w:line="276" w:lineRule="auto" w:before="40" w:after="40"/>
            </w:pPr>
            <w:r>
              <w:rPr>
                <w:rFonts w:ascii="Times New Roman" w:hAnsi="Times New Roman"/>
                <w:sz w:val="18"/>
              </w:rPr>
              <w:t>3</w:t>
            </w:r>
          </w:p>
        </w:tc>
        <w:tc>
          <w:tcPr>
            <w:tcW w:type="dxa" w:w="1587"/>
            <w:vAlign w:val="center"/>
          </w:tcPr>
          <w:p>
            <w:pPr>
              <w:spacing w:line="276" w:lineRule="auto" w:before="40" w:after="40"/>
            </w:pPr>
            <w:r>
              <w:rPr>
                <w:rFonts w:ascii="Times New Roman" w:hAnsi="Times New Roman"/>
                <w:sz w:val="18"/>
              </w:rPr>
              <w:t>Open</w:t>
            </w:r>
          </w:p>
        </w:tc>
        <w:tc>
          <w:tcPr>
            <w:tcW w:type="dxa" w:w="1587"/>
            <w:vAlign w:val="center"/>
          </w:tcPr>
          <w:p>
            <w:pPr>
              <w:spacing w:line="276" w:lineRule="auto" w:before="40" w:after="40"/>
            </w:pPr>
            <w:r>
              <w:rPr>
                <w:rFonts w:ascii="Times New Roman" w:hAnsi="Times New Roman"/>
                <w:sz w:val="18"/>
              </w:rPr>
              <w:t>Harga Primer</w:t>
            </w:r>
          </w:p>
        </w:tc>
        <w:tc>
          <w:tcPr>
            <w:tcW w:type="dxa" w:w="1587"/>
            <w:vAlign w:val="center"/>
          </w:tcPr>
          <w:p>
            <w:pPr>
              <w:spacing w:line="276" w:lineRule="auto" w:before="40" w:after="40"/>
            </w:pPr>
            <w:r>
              <w:rPr>
                <w:rFonts w:ascii="Times New Roman" w:hAnsi="Times New Roman"/>
                <w:sz w:val="18"/>
              </w:rPr>
              <w:t>USD</w:t>
            </w:r>
          </w:p>
        </w:tc>
        <w:tc>
          <w:tcPr>
            <w:tcW w:type="dxa" w:w="1587"/>
            <w:vAlign w:val="center"/>
          </w:tcPr>
          <w:p>
            <w:pPr>
              <w:spacing w:line="276" w:lineRule="auto" w:before="40" w:after="40"/>
            </w:pPr>
            <w:r>
              <w:rPr>
                <w:rFonts w:ascii="Times New Roman" w:hAnsi="Times New Roman"/>
                <w:sz w:val="18"/>
              </w:rPr>
              <w:t>Harga pembukaan perdagangan harian SOL-USD.</w:t>
            </w:r>
          </w:p>
        </w:tc>
      </w:tr>
      <w:tr>
        <w:tc>
          <w:tcPr>
            <w:tcW w:type="dxa" w:w="1587"/>
            <w:vAlign w:val="center"/>
          </w:tcPr>
          <w:p>
            <w:pPr>
              <w:spacing w:line="276" w:lineRule="auto" w:before="40" w:after="40"/>
            </w:pPr>
            <w:r>
              <w:rPr>
                <w:rFonts w:ascii="Times New Roman" w:hAnsi="Times New Roman"/>
                <w:sz w:val="18"/>
              </w:rPr>
              <w:t>4</w:t>
            </w:r>
          </w:p>
        </w:tc>
        <w:tc>
          <w:tcPr>
            <w:tcW w:type="dxa" w:w="1587"/>
            <w:vAlign w:val="center"/>
          </w:tcPr>
          <w:p>
            <w:pPr>
              <w:spacing w:line="276" w:lineRule="auto" w:before="40" w:after="40"/>
            </w:pPr>
            <w:r>
              <w:rPr>
                <w:rFonts w:ascii="Times New Roman" w:hAnsi="Times New Roman"/>
                <w:sz w:val="18"/>
              </w:rPr>
              <w:t>High</w:t>
            </w:r>
          </w:p>
        </w:tc>
        <w:tc>
          <w:tcPr>
            <w:tcW w:type="dxa" w:w="1587"/>
            <w:vAlign w:val="center"/>
          </w:tcPr>
          <w:p>
            <w:pPr>
              <w:spacing w:line="276" w:lineRule="auto" w:before="40" w:after="40"/>
            </w:pPr>
            <w:r>
              <w:rPr>
                <w:rFonts w:ascii="Times New Roman" w:hAnsi="Times New Roman"/>
                <w:sz w:val="18"/>
              </w:rPr>
              <w:t>Harga Primer</w:t>
            </w:r>
          </w:p>
        </w:tc>
        <w:tc>
          <w:tcPr>
            <w:tcW w:type="dxa" w:w="1587"/>
            <w:vAlign w:val="center"/>
          </w:tcPr>
          <w:p>
            <w:pPr>
              <w:spacing w:line="276" w:lineRule="auto" w:before="40" w:after="40"/>
            </w:pPr>
            <w:r>
              <w:rPr>
                <w:rFonts w:ascii="Times New Roman" w:hAnsi="Times New Roman"/>
                <w:sz w:val="18"/>
              </w:rPr>
              <w:t>USD</w:t>
            </w:r>
          </w:p>
        </w:tc>
        <w:tc>
          <w:tcPr>
            <w:tcW w:type="dxa" w:w="1587"/>
            <w:vAlign w:val="center"/>
          </w:tcPr>
          <w:p>
            <w:pPr>
              <w:spacing w:line="276" w:lineRule="auto" w:before="40" w:after="40"/>
            </w:pPr>
            <w:r>
              <w:rPr>
                <w:rFonts w:ascii="Times New Roman" w:hAnsi="Times New Roman"/>
                <w:sz w:val="18"/>
              </w:rPr>
              <w:t>Harga tertinggi yang dicapai SOL-USD dalam satu hari perdagangan.</w:t>
            </w:r>
          </w:p>
        </w:tc>
      </w:tr>
      <w:tr>
        <w:tc>
          <w:tcPr>
            <w:tcW w:type="dxa" w:w="1587"/>
            <w:vAlign w:val="center"/>
          </w:tcPr>
          <w:p>
            <w:pPr>
              <w:spacing w:line="276" w:lineRule="auto" w:before="40" w:after="40"/>
            </w:pPr>
            <w:r>
              <w:rPr>
                <w:rFonts w:ascii="Times New Roman" w:hAnsi="Times New Roman"/>
                <w:sz w:val="18"/>
              </w:rPr>
              <w:t>5</w:t>
            </w:r>
          </w:p>
        </w:tc>
        <w:tc>
          <w:tcPr>
            <w:tcW w:type="dxa" w:w="1587"/>
            <w:vAlign w:val="center"/>
          </w:tcPr>
          <w:p>
            <w:pPr>
              <w:spacing w:line="276" w:lineRule="auto" w:before="40" w:after="40"/>
            </w:pPr>
            <w:r>
              <w:rPr>
                <w:rFonts w:ascii="Times New Roman" w:hAnsi="Times New Roman"/>
                <w:sz w:val="18"/>
              </w:rPr>
              <w:t>Low</w:t>
            </w:r>
          </w:p>
        </w:tc>
        <w:tc>
          <w:tcPr>
            <w:tcW w:type="dxa" w:w="1587"/>
            <w:vAlign w:val="center"/>
          </w:tcPr>
          <w:p>
            <w:pPr>
              <w:spacing w:line="276" w:lineRule="auto" w:before="40" w:after="40"/>
            </w:pPr>
            <w:r>
              <w:rPr>
                <w:rFonts w:ascii="Times New Roman" w:hAnsi="Times New Roman"/>
                <w:sz w:val="18"/>
              </w:rPr>
              <w:t>Harga Primer</w:t>
            </w:r>
          </w:p>
        </w:tc>
        <w:tc>
          <w:tcPr>
            <w:tcW w:type="dxa" w:w="1587"/>
            <w:vAlign w:val="center"/>
          </w:tcPr>
          <w:p>
            <w:pPr>
              <w:spacing w:line="276" w:lineRule="auto" w:before="40" w:after="40"/>
            </w:pPr>
            <w:r>
              <w:rPr>
                <w:rFonts w:ascii="Times New Roman" w:hAnsi="Times New Roman"/>
                <w:sz w:val="18"/>
              </w:rPr>
              <w:t>USD</w:t>
            </w:r>
          </w:p>
        </w:tc>
        <w:tc>
          <w:tcPr>
            <w:tcW w:type="dxa" w:w="1587"/>
            <w:vAlign w:val="center"/>
          </w:tcPr>
          <w:p>
            <w:pPr>
              <w:spacing w:line="276" w:lineRule="auto" w:before="40" w:after="40"/>
            </w:pPr>
            <w:r>
              <w:rPr>
                <w:rFonts w:ascii="Times New Roman" w:hAnsi="Times New Roman"/>
                <w:sz w:val="18"/>
              </w:rPr>
              <w:t>Harga terendah yang dicapai SOL-USD dalam satu hari perdagangan.</w:t>
            </w:r>
          </w:p>
        </w:tc>
      </w:tr>
      <w:tr>
        <w:tc>
          <w:tcPr>
            <w:tcW w:type="dxa" w:w="1587"/>
            <w:vAlign w:val="center"/>
          </w:tcPr>
          <w:p>
            <w:pPr>
              <w:spacing w:line="276" w:lineRule="auto" w:before="40" w:after="40"/>
            </w:pPr>
            <w:r>
              <w:rPr>
                <w:rFonts w:ascii="Times New Roman" w:hAnsi="Times New Roman"/>
                <w:sz w:val="18"/>
              </w:rPr>
              <w:t>6</w:t>
            </w:r>
          </w:p>
        </w:tc>
        <w:tc>
          <w:tcPr>
            <w:tcW w:type="dxa" w:w="1587"/>
            <w:vAlign w:val="center"/>
          </w:tcPr>
          <w:p>
            <w:pPr>
              <w:spacing w:line="276" w:lineRule="auto" w:before="40" w:after="40"/>
            </w:pPr>
            <w:r>
              <w:rPr>
                <w:rFonts w:ascii="Times New Roman" w:hAnsi="Times New Roman"/>
                <w:sz w:val="18"/>
              </w:rPr>
              <w:t>Volume</w:t>
            </w:r>
          </w:p>
        </w:tc>
        <w:tc>
          <w:tcPr>
            <w:tcW w:type="dxa" w:w="1587"/>
            <w:vAlign w:val="center"/>
          </w:tcPr>
          <w:p>
            <w:pPr>
              <w:spacing w:line="276" w:lineRule="auto" w:before="40" w:after="40"/>
            </w:pPr>
            <w:r>
              <w:rPr>
                <w:rFonts w:ascii="Times New Roman" w:hAnsi="Times New Roman"/>
                <w:sz w:val="18"/>
              </w:rPr>
              <w:t>Likuiditas Pasar</w:t>
            </w:r>
          </w:p>
        </w:tc>
        <w:tc>
          <w:tcPr>
            <w:tcW w:type="dxa" w:w="1587"/>
            <w:vAlign w:val="center"/>
          </w:tcPr>
          <w:p>
            <w:pPr>
              <w:spacing w:line="276" w:lineRule="auto" w:before="40" w:after="40"/>
            </w:pPr>
            <w:r>
              <w:rPr>
                <w:rFonts w:ascii="Times New Roman" w:hAnsi="Times New Roman"/>
                <w:sz w:val="18"/>
              </w:rPr>
              <w:t>USD</w:t>
            </w:r>
          </w:p>
        </w:tc>
        <w:tc>
          <w:tcPr>
            <w:tcW w:type="dxa" w:w="1587"/>
            <w:vAlign w:val="center"/>
          </w:tcPr>
          <w:p>
            <w:pPr>
              <w:spacing w:line="276" w:lineRule="auto" w:before="40" w:after="40"/>
            </w:pPr>
            <w:r>
              <w:rPr>
                <w:rFonts w:ascii="Times New Roman" w:hAnsi="Times New Roman"/>
                <w:sz w:val="18"/>
              </w:rPr>
              <w:t>Total nilai transaksi perdagangan SOL-USD dalam periode 24 jam.</w:t>
            </w:r>
          </w:p>
        </w:tc>
      </w:tr>
      <w:tr>
        <w:tc>
          <w:tcPr>
            <w:tcW w:type="dxa" w:w="1587"/>
            <w:vAlign w:val="center"/>
          </w:tcPr>
          <w:p>
            <w:pPr>
              <w:spacing w:line="276" w:lineRule="auto" w:before="40" w:after="40"/>
            </w:pPr>
            <w:r>
              <w:rPr>
                <w:rFonts w:ascii="Times New Roman" w:hAnsi="Times New Roman"/>
                <w:sz w:val="18"/>
              </w:rPr>
              <w:t>7</w:t>
            </w:r>
          </w:p>
        </w:tc>
        <w:tc>
          <w:tcPr>
            <w:tcW w:type="dxa" w:w="1587"/>
            <w:vAlign w:val="center"/>
          </w:tcPr>
          <w:p>
            <w:pPr>
              <w:spacing w:line="276" w:lineRule="auto" w:before="40" w:after="40"/>
            </w:pPr>
            <w:r>
              <w:rPr>
                <w:rFonts w:ascii="Times New Roman" w:hAnsi="Times New Roman"/>
                <w:sz w:val="18"/>
              </w:rPr>
              <w:t>EMA_14</w:t>
            </w:r>
          </w:p>
        </w:tc>
        <w:tc>
          <w:tcPr>
            <w:tcW w:type="dxa" w:w="1587"/>
            <w:vAlign w:val="center"/>
          </w:tcPr>
          <w:p>
            <w:pPr>
              <w:spacing w:line="276" w:lineRule="auto" w:before="40" w:after="40"/>
            </w:pPr>
            <w:r>
              <w:rPr>
                <w:rFonts w:ascii="Times New Roman" w:hAnsi="Times New Roman"/>
                <w:sz w:val="18"/>
              </w:rPr>
              <w:t>Indikator Tren</w:t>
            </w:r>
          </w:p>
        </w:tc>
        <w:tc>
          <w:tcPr>
            <w:tcW w:type="dxa" w:w="1587"/>
            <w:vAlign w:val="center"/>
          </w:tcPr>
          <w:p>
            <w:pPr>
              <w:spacing w:line="276" w:lineRule="auto" w:before="40" w:after="40"/>
            </w:pPr>
            <w:r>
              <w:rPr>
                <w:rFonts w:ascii="Times New Roman" w:hAnsi="Times New Roman"/>
                <w:sz w:val="18"/>
              </w:rPr>
              <w:t>USD</w:t>
            </w:r>
          </w:p>
        </w:tc>
        <w:tc>
          <w:tcPr>
            <w:tcW w:type="dxa" w:w="1587"/>
            <w:vAlign w:val="center"/>
          </w:tcPr>
          <w:p>
            <w:pPr>
              <w:spacing w:line="276" w:lineRule="auto" w:before="40" w:after="40"/>
            </w:pPr>
            <w:r>
              <w:rPr>
                <w:rFonts w:ascii="Times New Roman" w:hAnsi="Times New Roman"/>
                <w:sz w:val="18"/>
              </w:rPr>
              <w:t>Exponential Moving Average periode 14 hari; merespons perubahan tren harga jangka pendek.</w:t>
            </w:r>
          </w:p>
        </w:tc>
      </w:tr>
      <w:tr>
        <w:tc>
          <w:tcPr>
            <w:tcW w:type="dxa" w:w="1587"/>
            <w:vAlign w:val="center"/>
          </w:tcPr>
          <w:p>
            <w:pPr>
              <w:spacing w:line="276" w:lineRule="auto" w:before="40" w:after="40"/>
            </w:pPr>
            <w:r>
              <w:rPr>
                <w:rFonts w:ascii="Times New Roman" w:hAnsi="Times New Roman"/>
                <w:sz w:val="18"/>
              </w:rPr>
              <w:t>8</w:t>
            </w:r>
          </w:p>
        </w:tc>
        <w:tc>
          <w:tcPr>
            <w:tcW w:type="dxa" w:w="1587"/>
            <w:vAlign w:val="center"/>
          </w:tcPr>
          <w:p>
            <w:pPr>
              <w:spacing w:line="276" w:lineRule="auto" w:before="40" w:after="40"/>
            </w:pPr>
            <w:r>
              <w:rPr>
                <w:rFonts w:ascii="Times New Roman" w:hAnsi="Times New Roman"/>
                <w:sz w:val="18"/>
              </w:rPr>
              <w:t>EMA_50</w:t>
            </w:r>
          </w:p>
        </w:tc>
        <w:tc>
          <w:tcPr>
            <w:tcW w:type="dxa" w:w="1587"/>
            <w:vAlign w:val="center"/>
          </w:tcPr>
          <w:p>
            <w:pPr>
              <w:spacing w:line="276" w:lineRule="auto" w:before="40" w:after="40"/>
            </w:pPr>
            <w:r>
              <w:rPr>
                <w:rFonts w:ascii="Times New Roman" w:hAnsi="Times New Roman"/>
                <w:sz w:val="18"/>
              </w:rPr>
              <w:t>Indikator Tren</w:t>
            </w:r>
          </w:p>
        </w:tc>
        <w:tc>
          <w:tcPr>
            <w:tcW w:type="dxa" w:w="1587"/>
            <w:vAlign w:val="center"/>
          </w:tcPr>
          <w:p>
            <w:pPr>
              <w:spacing w:line="276" w:lineRule="auto" w:before="40" w:after="40"/>
            </w:pPr>
            <w:r>
              <w:rPr>
                <w:rFonts w:ascii="Times New Roman" w:hAnsi="Times New Roman"/>
                <w:sz w:val="18"/>
              </w:rPr>
              <w:t>USD</w:t>
            </w:r>
          </w:p>
        </w:tc>
        <w:tc>
          <w:tcPr>
            <w:tcW w:type="dxa" w:w="1587"/>
            <w:vAlign w:val="center"/>
          </w:tcPr>
          <w:p>
            <w:pPr>
              <w:spacing w:line="276" w:lineRule="auto" w:before="40" w:after="40"/>
            </w:pPr>
            <w:r>
              <w:rPr>
                <w:rFonts w:ascii="Times New Roman" w:hAnsi="Times New Roman"/>
                <w:sz w:val="18"/>
              </w:rPr>
              <w:t>Exponential Moving Average periode 50 hari; menangkap arah tren menengah pasar Solana.</w:t>
            </w:r>
          </w:p>
        </w:tc>
      </w:tr>
      <w:tr>
        <w:tc>
          <w:tcPr>
            <w:tcW w:type="dxa" w:w="1587"/>
            <w:vAlign w:val="center"/>
          </w:tcPr>
          <w:p>
            <w:pPr>
              <w:spacing w:line="276" w:lineRule="auto" w:before="40" w:after="40"/>
            </w:pPr>
            <w:r>
              <w:rPr>
                <w:rFonts w:ascii="Times New Roman" w:hAnsi="Times New Roman"/>
                <w:sz w:val="18"/>
              </w:rPr>
              <w:t>9</w:t>
            </w:r>
          </w:p>
        </w:tc>
        <w:tc>
          <w:tcPr>
            <w:tcW w:type="dxa" w:w="1587"/>
            <w:vAlign w:val="center"/>
          </w:tcPr>
          <w:p>
            <w:pPr>
              <w:spacing w:line="276" w:lineRule="auto" w:before="40" w:after="40"/>
            </w:pPr>
            <w:r>
              <w:rPr>
                <w:rFonts w:ascii="Times New Roman" w:hAnsi="Times New Roman"/>
                <w:sz w:val="18"/>
              </w:rPr>
              <w:t>RSI_14</w:t>
            </w:r>
          </w:p>
        </w:tc>
        <w:tc>
          <w:tcPr>
            <w:tcW w:type="dxa" w:w="1587"/>
            <w:vAlign w:val="center"/>
          </w:tcPr>
          <w:p>
            <w:pPr>
              <w:spacing w:line="276" w:lineRule="auto" w:before="40" w:after="40"/>
            </w:pPr>
            <w:r>
              <w:rPr>
                <w:rFonts w:ascii="Times New Roman" w:hAnsi="Times New Roman"/>
                <w:sz w:val="18"/>
              </w:rPr>
              <w:t>Indikator Momentum</w:t>
            </w:r>
          </w:p>
        </w:tc>
        <w:tc>
          <w:tcPr>
            <w:tcW w:type="dxa" w:w="1587"/>
            <w:vAlign w:val="center"/>
          </w:tcPr>
          <w:p>
            <w:pPr>
              <w:spacing w:line="276" w:lineRule="auto" w:before="40" w:after="40"/>
            </w:pPr>
            <w:r>
              <w:rPr>
                <w:rFonts w:ascii="Times New Roman" w:hAnsi="Times New Roman"/>
                <w:sz w:val="18"/>
              </w:rPr>
              <w:t>Indeks (0–100)</w:t>
            </w:r>
          </w:p>
        </w:tc>
        <w:tc>
          <w:tcPr>
            <w:tcW w:type="dxa" w:w="1587"/>
            <w:vAlign w:val="center"/>
          </w:tcPr>
          <w:p>
            <w:pPr>
              <w:spacing w:line="276" w:lineRule="auto" w:before="40" w:after="40"/>
            </w:pPr>
            <w:r>
              <w:rPr>
                <w:rFonts w:ascii="Times New Roman" w:hAnsi="Times New Roman"/>
                <w:sz w:val="18"/>
              </w:rPr>
              <w:t>Relative Strength Index 14 hari; mendeteksi kondisi jenuh beli (overbought &gt; 70) atau jenuh jual (oversold &lt; 30).</w:t>
            </w:r>
          </w:p>
        </w:tc>
      </w:tr>
      <w:tr>
        <w:tc>
          <w:tcPr>
            <w:tcW w:type="dxa" w:w="1587"/>
            <w:vAlign w:val="center"/>
          </w:tcPr>
          <w:p>
            <w:pPr>
              <w:spacing w:line="276" w:lineRule="auto" w:before="40" w:after="40"/>
            </w:pPr>
            <w:r>
              <w:rPr>
                <w:rFonts w:ascii="Times New Roman" w:hAnsi="Times New Roman"/>
                <w:sz w:val="18"/>
              </w:rPr>
              <w:t>10</w:t>
            </w:r>
          </w:p>
        </w:tc>
        <w:tc>
          <w:tcPr>
            <w:tcW w:type="dxa" w:w="1587"/>
            <w:vAlign w:val="center"/>
          </w:tcPr>
          <w:p>
            <w:pPr>
              <w:spacing w:line="276" w:lineRule="auto" w:before="40" w:after="40"/>
            </w:pPr>
            <w:r>
              <w:rPr>
                <w:rFonts w:ascii="Times New Roman" w:hAnsi="Times New Roman"/>
                <w:sz w:val="18"/>
              </w:rPr>
              <w:t>MACD</w:t>
            </w:r>
          </w:p>
        </w:tc>
        <w:tc>
          <w:tcPr>
            <w:tcW w:type="dxa" w:w="1587"/>
            <w:vAlign w:val="center"/>
          </w:tcPr>
          <w:p>
            <w:pPr>
              <w:spacing w:line="276" w:lineRule="auto" w:before="40" w:after="40"/>
            </w:pPr>
            <w:r>
              <w:rPr>
                <w:rFonts w:ascii="Times New Roman" w:hAnsi="Times New Roman"/>
                <w:sz w:val="18"/>
              </w:rPr>
              <w:t>Indikator Momentum</w:t>
            </w:r>
          </w:p>
        </w:tc>
        <w:tc>
          <w:tcPr>
            <w:tcW w:type="dxa" w:w="1587"/>
            <w:vAlign w:val="center"/>
          </w:tcPr>
          <w:p>
            <w:pPr>
              <w:spacing w:line="276" w:lineRule="auto" w:before="40" w:after="40"/>
            </w:pPr>
            <w:r>
              <w:rPr>
                <w:rFonts w:ascii="Times New Roman" w:hAnsi="Times New Roman"/>
                <w:sz w:val="18"/>
              </w:rPr>
              <w:t>USD</w:t>
            </w:r>
          </w:p>
        </w:tc>
        <w:tc>
          <w:tcPr>
            <w:tcW w:type="dxa" w:w="1587"/>
            <w:vAlign w:val="center"/>
          </w:tcPr>
          <w:p>
            <w:pPr>
              <w:spacing w:line="276" w:lineRule="auto" w:before="40" w:after="40"/>
            </w:pPr>
            <w:r>
              <w:rPr>
                <w:rFonts w:ascii="Times New Roman" w:hAnsi="Times New Roman"/>
                <w:sz w:val="18"/>
              </w:rPr>
              <w:t>Selisih antara EMA-12 dan EMA-26 untuk mengidentifikasi pergeseran kekuatan momentum.</w:t>
            </w:r>
          </w:p>
        </w:tc>
      </w:tr>
      <w:tr>
        <w:tc>
          <w:tcPr>
            <w:tcW w:type="dxa" w:w="1587"/>
            <w:vAlign w:val="center"/>
          </w:tcPr>
          <w:p>
            <w:pPr>
              <w:spacing w:line="276" w:lineRule="auto" w:before="40" w:after="40"/>
            </w:pPr>
            <w:r>
              <w:rPr>
                <w:rFonts w:ascii="Times New Roman" w:hAnsi="Times New Roman"/>
                <w:sz w:val="18"/>
              </w:rPr>
              <w:t>11</w:t>
            </w:r>
          </w:p>
        </w:tc>
        <w:tc>
          <w:tcPr>
            <w:tcW w:type="dxa" w:w="1587"/>
            <w:vAlign w:val="center"/>
          </w:tcPr>
          <w:p>
            <w:pPr>
              <w:spacing w:line="276" w:lineRule="auto" w:before="40" w:after="40"/>
            </w:pPr>
            <w:r>
              <w:rPr>
                <w:rFonts w:ascii="Times New Roman" w:hAnsi="Times New Roman"/>
                <w:sz w:val="18"/>
              </w:rPr>
              <w:t>MACD_Signal</w:t>
            </w:r>
          </w:p>
        </w:tc>
        <w:tc>
          <w:tcPr>
            <w:tcW w:type="dxa" w:w="1587"/>
            <w:vAlign w:val="center"/>
          </w:tcPr>
          <w:p>
            <w:pPr>
              <w:spacing w:line="276" w:lineRule="auto" w:before="40" w:after="40"/>
            </w:pPr>
            <w:r>
              <w:rPr>
                <w:rFonts w:ascii="Times New Roman" w:hAnsi="Times New Roman"/>
                <w:sz w:val="18"/>
              </w:rPr>
              <w:t>Indikator Momentum</w:t>
            </w:r>
          </w:p>
        </w:tc>
        <w:tc>
          <w:tcPr>
            <w:tcW w:type="dxa" w:w="1587"/>
            <w:vAlign w:val="center"/>
          </w:tcPr>
          <w:p>
            <w:pPr>
              <w:spacing w:line="276" w:lineRule="auto" w:before="40" w:after="40"/>
            </w:pPr>
            <w:r>
              <w:rPr>
                <w:rFonts w:ascii="Times New Roman" w:hAnsi="Times New Roman"/>
                <w:sz w:val="18"/>
              </w:rPr>
              <w:t>USD</w:t>
            </w:r>
          </w:p>
        </w:tc>
        <w:tc>
          <w:tcPr>
            <w:tcW w:type="dxa" w:w="1587"/>
            <w:vAlign w:val="center"/>
          </w:tcPr>
          <w:p>
            <w:pPr>
              <w:spacing w:line="276" w:lineRule="auto" w:before="40" w:after="40"/>
            </w:pPr>
            <w:r>
              <w:rPr>
                <w:rFonts w:ascii="Times New Roman" w:hAnsi="Times New Roman"/>
                <w:sz w:val="18"/>
              </w:rPr>
              <w:t>Garis sinyal berupa EMA-9 dari nilai MACD sebagai pemicu persilangan tren (crossover).</w:t>
            </w:r>
          </w:p>
        </w:tc>
      </w:tr>
      <w:tr>
        <w:tc>
          <w:tcPr>
            <w:tcW w:type="dxa" w:w="1587"/>
            <w:vAlign w:val="center"/>
          </w:tcPr>
          <w:p>
            <w:pPr>
              <w:spacing w:line="276" w:lineRule="auto" w:before="40" w:after="40"/>
            </w:pPr>
            <w:r>
              <w:rPr>
                <w:rFonts w:ascii="Times New Roman" w:hAnsi="Times New Roman"/>
                <w:sz w:val="18"/>
              </w:rPr>
              <w:t>12</w:t>
            </w:r>
          </w:p>
        </w:tc>
        <w:tc>
          <w:tcPr>
            <w:tcW w:type="dxa" w:w="1587"/>
            <w:vAlign w:val="center"/>
          </w:tcPr>
          <w:p>
            <w:pPr>
              <w:spacing w:line="276" w:lineRule="auto" w:before="40" w:after="40"/>
            </w:pPr>
            <w:r>
              <w:rPr>
                <w:rFonts w:ascii="Times New Roman" w:hAnsi="Times New Roman"/>
                <w:sz w:val="18"/>
              </w:rPr>
              <w:t>BB_Upper</w:t>
            </w:r>
          </w:p>
        </w:tc>
        <w:tc>
          <w:tcPr>
            <w:tcW w:type="dxa" w:w="1587"/>
            <w:vAlign w:val="center"/>
          </w:tcPr>
          <w:p>
            <w:pPr>
              <w:spacing w:line="276" w:lineRule="auto" w:before="40" w:after="40"/>
            </w:pPr>
            <w:r>
              <w:rPr>
                <w:rFonts w:ascii="Times New Roman" w:hAnsi="Times New Roman"/>
                <w:sz w:val="18"/>
              </w:rPr>
              <w:t>Indikator Volatilitas</w:t>
            </w:r>
          </w:p>
        </w:tc>
        <w:tc>
          <w:tcPr>
            <w:tcW w:type="dxa" w:w="1587"/>
            <w:vAlign w:val="center"/>
          </w:tcPr>
          <w:p>
            <w:pPr>
              <w:spacing w:line="276" w:lineRule="auto" w:before="40" w:after="40"/>
            </w:pPr>
            <w:r>
              <w:rPr>
                <w:rFonts w:ascii="Times New Roman" w:hAnsi="Times New Roman"/>
                <w:sz w:val="18"/>
              </w:rPr>
              <w:t>USD</w:t>
            </w:r>
          </w:p>
        </w:tc>
        <w:tc>
          <w:tcPr>
            <w:tcW w:type="dxa" w:w="1587"/>
            <w:vAlign w:val="center"/>
          </w:tcPr>
          <w:p>
            <w:pPr>
              <w:spacing w:line="276" w:lineRule="auto" w:before="40" w:after="40"/>
            </w:pPr>
            <w:r>
              <w:rPr>
                <w:rFonts w:ascii="Times New Roman" w:hAnsi="Times New Roman"/>
                <w:sz w:val="18"/>
              </w:rPr>
              <w:t>Batas pita atas Bollinger Bands (SMA-20 ditambah 2 kali simpangan baku).</w:t>
            </w:r>
          </w:p>
        </w:tc>
      </w:tr>
      <w:tr>
        <w:tc>
          <w:tcPr>
            <w:tcW w:type="dxa" w:w="1587"/>
            <w:vAlign w:val="center"/>
          </w:tcPr>
          <w:p>
            <w:pPr>
              <w:spacing w:line="276" w:lineRule="auto" w:before="40" w:after="40"/>
            </w:pPr>
            <w:r>
              <w:rPr>
                <w:rFonts w:ascii="Times New Roman" w:hAnsi="Times New Roman"/>
                <w:sz w:val="18"/>
              </w:rPr>
              <w:t>13</w:t>
            </w:r>
          </w:p>
        </w:tc>
        <w:tc>
          <w:tcPr>
            <w:tcW w:type="dxa" w:w="1587"/>
            <w:vAlign w:val="center"/>
          </w:tcPr>
          <w:p>
            <w:pPr>
              <w:spacing w:line="276" w:lineRule="auto" w:before="40" w:after="40"/>
            </w:pPr>
            <w:r>
              <w:rPr>
                <w:rFonts w:ascii="Times New Roman" w:hAnsi="Times New Roman"/>
                <w:sz w:val="18"/>
              </w:rPr>
              <w:t>BB_Lower</w:t>
            </w:r>
          </w:p>
        </w:tc>
        <w:tc>
          <w:tcPr>
            <w:tcW w:type="dxa" w:w="1587"/>
            <w:vAlign w:val="center"/>
          </w:tcPr>
          <w:p>
            <w:pPr>
              <w:spacing w:line="276" w:lineRule="auto" w:before="40" w:after="40"/>
            </w:pPr>
            <w:r>
              <w:rPr>
                <w:rFonts w:ascii="Times New Roman" w:hAnsi="Times New Roman"/>
                <w:sz w:val="18"/>
              </w:rPr>
              <w:t>Indikator Volatilitas</w:t>
            </w:r>
          </w:p>
        </w:tc>
        <w:tc>
          <w:tcPr>
            <w:tcW w:type="dxa" w:w="1587"/>
            <w:vAlign w:val="center"/>
          </w:tcPr>
          <w:p>
            <w:pPr>
              <w:spacing w:line="276" w:lineRule="auto" w:before="40" w:after="40"/>
            </w:pPr>
            <w:r>
              <w:rPr>
                <w:rFonts w:ascii="Times New Roman" w:hAnsi="Times New Roman"/>
                <w:sz w:val="18"/>
              </w:rPr>
              <w:t>USD</w:t>
            </w:r>
          </w:p>
        </w:tc>
        <w:tc>
          <w:tcPr>
            <w:tcW w:type="dxa" w:w="1587"/>
            <w:vAlign w:val="center"/>
          </w:tcPr>
          <w:p>
            <w:pPr>
              <w:spacing w:line="276" w:lineRule="auto" w:before="40" w:after="40"/>
            </w:pPr>
            <w:r>
              <w:rPr>
                <w:rFonts w:ascii="Times New Roman" w:hAnsi="Times New Roman"/>
                <w:sz w:val="18"/>
              </w:rPr>
              <w:t>Batas pita bawah Bollinger Bands (SMA-20 dikurangi 2 kali simpangan baku).</w:t>
            </w:r>
          </w:p>
        </w:tc>
      </w:tr>
      <w:tr>
        <w:tc>
          <w:tcPr>
            <w:tcW w:type="dxa" w:w="1587"/>
            <w:vAlign w:val="center"/>
          </w:tcPr>
          <w:p>
            <w:pPr>
              <w:spacing w:line="276" w:lineRule="auto" w:before="40" w:after="40"/>
            </w:pPr>
            <w:r>
              <w:rPr>
                <w:rFonts w:ascii="Times New Roman" w:hAnsi="Times New Roman"/>
                <w:sz w:val="18"/>
              </w:rPr>
              <w:t>14</w:t>
            </w:r>
          </w:p>
        </w:tc>
        <w:tc>
          <w:tcPr>
            <w:tcW w:type="dxa" w:w="1587"/>
            <w:vAlign w:val="center"/>
          </w:tcPr>
          <w:p>
            <w:pPr>
              <w:spacing w:line="276" w:lineRule="auto" w:before="40" w:after="40"/>
            </w:pPr>
            <w:r>
              <w:rPr>
                <w:rFonts w:ascii="Times New Roman" w:hAnsi="Times New Roman"/>
                <w:sz w:val="18"/>
              </w:rPr>
              <w:t>ATR_14</w:t>
            </w:r>
          </w:p>
        </w:tc>
        <w:tc>
          <w:tcPr>
            <w:tcW w:type="dxa" w:w="1587"/>
            <w:vAlign w:val="center"/>
          </w:tcPr>
          <w:p>
            <w:pPr>
              <w:spacing w:line="276" w:lineRule="auto" w:before="40" w:after="40"/>
            </w:pPr>
            <w:r>
              <w:rPr>
                <w:rFonts w:ascii="Times New Roman" w:hAnsi="Times New Roman"/>
                <w:sz w:val="18"/>
              </w:rPr>
              <w:t>Indikator Volatilitas</w:t>
            </w:r>
          </w:p>
        </w:tc>
        <w:tc>
          <w:tcPr>
            <w:tcW w:type="dxa" w:w="1587"/>
            <w:vAlign w:val="center"/>
          </w:tcPr>
          <w:p>
            <w:pPr>
              <w:spacing w:line="276" w:lineRule="auto" w:before="40" w:after="40"/>
            </w:pPr>
            <w:r>
              <w:rPr>
                <w:rFonts w:ascii="Times New Roman" w:hAnsi="Times New Roman"/>
                <w:sz w:val="18"/>
              </w:rPr>
              <w:t>USD</w:t>
            </w:r>
          </w:p>
        </w:tc>
        <w:tc>
          <w:tcPr>
            <w:tcW w:type="dxa" w:w="1587"/>
            <w:vAlign w:val="center"/>
          </w:tcPr>
          <w:p>
            <w:pPr>
              <w:spacing w:line="276" w:lineRule="auto" w:before="40" w:after="40"/>
            </w:pPr>
            <w:r>
              <w:rPr>
                <w:rFonts w:ascii="Times New Roman" w:hAnsi="Times New Roman"/>
                <w:sz w:val="18"/>
              </w:rPr>
              <w:t>Average True Range 14 hari; mengukur intensitas rentang gejolak harga harian Solana.</w:t>
            </w:r>
          </w:p>
        </w:tc>
      </w:tr>
      <w:tr>
        <w:tc>
          <w:tcPr>
            <w:tcW w:type="dxa" w:w="1587"/>
            <w:vAlign w:val="center"/>
          </w:tcPr>
          <w:p>
            <w:pPr>
              <w:spacing w:line="276" w:lineRule="auto" w:before="40" w:after="40"/>
            </w:pPr>
            <w:r>
              <w:rPr>
                <w:rFonts w:ascii="Times New Roman" w:hAnsi="Times New Roman"/>
                <w:sz w:val="18"/>
              </w:rPr>
              <w:t>15</w:t>
            </w:r>
          </w:p>
        </w:tc>
        <w:tc>
          <w:tcPr>
            <w:tcW w:type="dxa" w:w="1587"/>
            <w:vAlign w:val="center"/>
          </w:tcPr>
          <w:p>
            <w:pPr>
              <w:spacing w:line="276" w:lineRule="auto" w:before="40" w:after="40"/>
            </w:pPr>
            <w:r>
              <w:rPr>
                <w:rFonts w:ascii="Times New Roman" w:hAnsi="Times New Roman"/>
                <w:sz w:val="18"/>
              </w:rPr>
              <w:t>OBV</w:t>
            </w:r>
          </w:p>
        </w:tc>
        <w:tc>
          <w:tcPr>
            <w:tcW w:type="dxa" w:w="1587"/>
            <w:vAlign w:val="center"/>
          </w:tcPr>
          <w:p>
            <w:pPr>
              <w:spacing w:line="276" w:lineRule="auto" w:before="40" w:after="40"/>
            </w:pPr>
            <w:r>
              <w:rPr>
                <w:rFonts w:ascii="Times New Roman" w:hAnsi="Times New Roman"/>
                <w:sz w:val="18"/>
              </w:rPr>
              <w:t>Indikator Volume</w:t>
            </w:r>
          </w:p>
        </w:tc>
        <w:tc>
          <w:tcPr>
            <w:tcW w:type="dxa" w:w="1587"/>
            <w:vAlign w:val="center"/>
          </w:tcPr>
          <w:p>
            <w:pPr>
              <w:spacing w:line="276" w:lineRule="auto" w:before="40" w:after="40"/>
            </w:pPr>
            <w:r>
              <w:rPr>
                <w:rFonts w:ascii="Times New Roman" w:hAnsi="Times New Roman"/>
                <w:sz w:val="18"/>
              </w:rPr>
              <w:t>Akumulasi USD</w:t>
            </w:r>
          </w:p>
        </w:tc>
        <w:tc>
          <w:tcPr>
            <w:tcW w:type="dxa" w:w="1587"/>
            <w:vAlign w:val="center"/>
          </w:tcPr>
          <w:p>
            <w:pPr>
              <w:spacing w:line="276" w:lineRule="auto" w:before="40" w:after="40"/>
            </w:pPr>
            <w:r>
              <w:rPr>
                <w:rFonts w:ascii="Times New Roman" w:hAnsi="Times New Roman"/>
                <w:sz w:val="18"/>
              </w:rPr>
              <w:t>On-Balance Volume; mengakumulasikan volume berdasarkan arah perubahan harga penutupan.</w:t>
            </w:r>
          </w:p>
        </w:tc>
      </w:tr>
    </w:tbl>
    <w:p>
      <w:pPr>
        <w:spacing w:line="360" w:lineRule="auto" w:after="120"/>
        <w:ind w:firstLine="567"/>
        <w:jc w:val="both"/>
      </w:pPr>
      <w:r>
        <w:rPr>
          <w:rFonts w:ascii="Times New Roman" w:hAnsi="Times New Roman"/>
          <w:b w:val="0"/>
          <w:i w:val="0"/>
          <w:sz w:val="24"/>
        </w:rPr>
        <w:t>Berdasarkan Tabel 2.1 di atas, dapat dijelaskan bahwa setiap baris fitur dirancang untuk menangkap dimensi mikrostruktur pasar Solana yang berbeda. Baris 2 hingga baris 6 memuat lima variabel pasar dasar (Close, Open, High, Low, dan Volume), di mana atribut Close menjadi target prediksi pada hari berikutnya (t + 1). Baris 7 dan baris 8 memuat indikator tren EMA_14 dan EMA_50 yang menghaluskan fluktuasi harga jangka pendek dan menengah. Baris 9 hingga baris 11 memuat kelompok indikator momentum (RSI_14, MACD, dan MACD_Signal) untuk mengidentifikasi kondisi jenuh beli maupun jenuh jual. Adapun baris 12 hingga baris 15 memuat kelompok indikator volatilitas (BB_Upper, BB_Lower, ATR_14) serta indikator akumulasi volume (OBV) yang mengukur lebar gejolak harga dan kekuatan arus modal harian.</w:t>
      </w:r>
    </w:p>
    <w:p>
      <w:pPr>
        <w:keepNext/>
        <w:spacing w:before="200" w:after="80" w:line="360" w:lineRule="auto"/>
      </w:pPr>
      <w:r>
        <w:rPr>
          <w:rFonts w:ascii="Times New Roman" w:hAnsi="Times New Roman"/>
          <w:b/>
          <w:i w:val="0"/>
          <w:sz w:val="28"/>
        </w:rPr>
        <w:t>3. Formulasi Matematis Rekayasa Fitur dan Normalisasi</w:t>
      </w:r>
    </w:p>
    <w:p>
      <w:pPr>
        <w:spacing w:line="360" w:lineRule="auto" w:after="120"/>
        <w:ind w:firstLine="567"/>
        <w:jc w:val="both"/>
      </w:pPr>
      <w:r>
        <w:rPr>
          <w:rFonts w:ascii="Times New Roman" w:hAnsi="Times New Roman"/>
          <w:b w:val="0"/>
          <w:i w:val="0"/>
          <w:sz w:val="24"/>
        </w:rPr>
        <w:t xml:space="preserve">Setiap indikator teknikal yang diekstraksi pada dataset memiliki perumusan matematis baku. Indikator </w:t>
      </w:r>
      <w:r>
        <w:rPr>
          <w:rFonts w:ascii="Times New Roman" w:hAnsi="Times New Roman"/>
          <w:b w:val="0"/>
          <w:i/>
          <w:sz w:val="24"/>
        </w:rPr>
        <w:t>Exponential Moving Average</w:t>
      </w:r>
      <w:r>
        <w:rPr>
          <w:rFonts w:ascii="Times New Roman" w:hAnsi="Times New Roman"/>
          <w:b w:val="0"/>
          <w:i w:val="0"/>
          <w:sz w:val="24"/>
        </w:rPr>
        <w:t xml:space="preserve"> (EMA) memberikan bobot eksponensial yang lebih besar pada harga terbaru sebagaimana dirumuskan pada Persamaan (1.1):</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8"/>
        <w:gridCol w:w="3968"/>
      </w:tblGrid>
      <w:tr>
        <w:tc>
          <w:tcPr>
            <w:tcW w:type="dxa" w:w="6917"/>
            <w:vAlign w:val="center"/>
          </w:tcPr>
          <w:p>
            <w:pPr>
              <w:spacing w:before="80" w:after="80" w:line="276" w:lineRule="auto"/>
              <w:jc w:val="center"/>
            </w:pPr>
            <m:oMath>
              <m:sSub>
                <m:e>
                  <m:r>
                    <m:rPr>
                      <m:sty m:val="p"/>
                    </m:rPr>
                    <w:rPr>
                      <w:rFonts w:ascii="Cambria Math" w:hAnsi="Cambria Math"/>
                    </w:rPr>
                    <m:t>EMA</m:t>
                  </m:r>
                </m:e>
                <m:sub>
                  <m:r>
                    <w:rPr>
                      <w:rFonts w:ascii="Cambria Math" w:hAnsi="Cambria Math"/>
                    </w:rPr>
                    <m:t>t</m:t>
                  </m:r>
                </m:sub>
              </m:sSub>
              <m:r>
                <m:rPr>
                  <m:sty m:val="p"/>
                </m:rPr>
                <w:rPr>
                  <w:rFonts w:ascii="Cambria Math" w:hAnsi="Cambria Math"/>
                </w:rPr>
                <m:t> = </m:t>
              </m:r>
              <m:r>
                <w:rPr>
                  <w:rFonts w:ascii="Cambria Math" w:hAnsi="Cambria Math"/>
                </w:rPr>
                <m:t>α</m:t>
              </m:r>
              <m:r>
                <m:rPr>
                  <m:sty m:val="p"/>
                </m:rPr>
                <w:rPr>
                  <w:rFonts w:ascii="Cambria Math" w:hAnsi="Cambria Math"/>
                </w:rPr>
                <m:t>⋅</m:t>
              </m:r>
              <m:sSub>
                <m:e>
                  <m:r>
                    <w:rPr>
                      <w:rFonts w:ascii="Cambria Math" w:hAnsi="Cambria Math"/>
                    </w:rPr>
                    <m:t>P</m:t>
                  </m:r>
                </m:e>
                <m:sub>
                  <m:r>
                    <w:rPr>
                      <w:rFonts w:ascii="Cambria Math" w:hAnsi="Cambria Math"/>
                    </w:rPr>
                    <m:t>t</m:t>
                  </m:r>
                </m:sub>
              </m:sSub>
              <m:r>
                <m:rPr>
                  <m:sty m:val="p"/>
                </m:rPr>
                <w:rPr>
                  <w:rFonts w:ascii="Cambria Math" w:hAnsi="Cambria Math"/>
                </w:rPr>
                <m:t> + </m:t>
              </m:r>
              <m:d>
                <m:dPr>
                  <m:begChr m:val="("/>
                  <m:endChr m:val=")"/>
                </m:dPr>
                <m:e>
                  <m:r>
                    <m:rPr>
                      <m:sty m:val="p"/>
                    </m:rPr>
                    <w:rPr>
                      <w:rFonts w:ascii="Cambria Math" w:hAnsi="Cambria Math"/>
                    </w:rPr>
                    <m:t>1 − </m:t>
                  </m:r>
                  <m:r>
                    <w:rPr>
                      <w:rFonts w:ascii="Cambria Math" w:hAnsi="Cambria Math"/>
                    </w:rPr>
                    <m:t>α</m:t>
                  </m:r>
                </m:e>
              </m:d>
              <m:r>
                <m:rPr>
                  <m:sty m:val="p"/>
                </m:rPr>
                <w:rPr>
                  <w:rFonts w:ascii="Cambria Math" w:hAnsi="Cambria Math"/>
                </w:rPr>
                <m:t>⋅</m:t>
              </m:r>
              <m:sSub>
                <m:e>
                  <m:r>
                    <m:rPr>
                      <m:sty m:val="p"/>
                    </m:rPr>
                    <w:rPr>
                      <w:rFonts w:ascii="Cambria Math" w:hAnsi="Cambria Math"/>
                    </w:rPr>
                    <m:t>EMA</m:t>
                  </m:r>
                </m:e>
                <m:sub>
                  <m:r>
                    <w:rPr>
                      <w:rFonts w:ascii="Cambria Math" w:hAnsi="Cambria Math"/>
                    </w:rPr>
                    <m:t>t</m:t>
                  </m:r>
                  <m:r>
                    <m:rPr>
                      <m:sty m:val="p"/>
                    </m:rPr>
                    <w:rPr>
                      <w:rFonts w:ascii="Cambria Math" w:hAnsi="Cambria Math"/>
                    </w:rPr>
                    <m:t>−1</m:t>
                  </m:r>
                </m:sub>
              </m:sSub>
              <m:r>
                <m:rPr>
                  <m:sty m:val="p"/>
                </m:rPr>
                <w:rPr>
                  <w:rFonts w:ascii="Cambria Math" w:hAnsi="Cambria Math"/>
                </w:rPr>
                <m:t> ,   </m:t>
              </m:r>
              <m:r>
                <w:rPr>
                  <w:rFonts w:ascii="Cambria Math" w:hAnsi="Cambria Math"/>
                </w:rPr>
                <m:t>α</m:t>
              </m:r>
              <m:r>
                <m:rPr>
                  <m:sty m:val="p"/>
                </m:rPr>
                <w:rPr>
                  <w:rFonts w:ascii="Cambria Math" w:hAnsi="Cambria Math"/>
                </w:rPr>
                <m:t> = </m:t>
              </m:r>
              <m:f>
                <m:num>
                  <m:r>
                    <m:rPr>
                      <m:sty m:val="p"/>
                    </m:rPr>
                    <w:rPr>
                      <w:rFonts w:ascii="Cambria Math" w:hAnsi="Cambria Math"/>
                    </w:rPr>
                    <m:t>2</m:t>
                  </m:r>
                </m:num>
                <m:den>
                  <m:r>
                    <w:rPr>
                      <w:rFonts w:ascii="Cambria Math" w:hAnsi="Cambria Math"/>
                    </w:rPr>
                    <m:t>k</m:t>
                  </m:r>
                  <m:r>
                    <m:rPr>
                      <m:sty m:val="p"/>
                    </m:rPr>
                    <w:rPr>
                      <w:rFonts w:ascii="Cambria Math" w:hAnsi="Cambria Math"/>
                    </w:rPr>
                    <m:t> + 1</m:t>
                  </m:r>
                </m:den>
              </m:f>
            </m:oMath>
          </w:p>
        </w:tc>
        <w:tc>
          <w:tcPr>
            <w:tcW w:type="dxa" w:w="1020"/>
            <w:vAlign w:val="center"/>
          </w:tcPr>
          <w:p>
            <w:pPr>
              <w:spacing w:before="80" w:after="80"/>
              <w:jc w:val="right"/>
            </w:pPr>
            <w:r>
              <w:rPr>
                <w:rFonts w:ascii="Times New Roman" w:hAnsi="Times New Roman"/>
                <w:sz w:val="24"/>
              </w:rPr>
              <w:t>(1.1)</w:t>
            </w:r>
          </w:p>
        </w:tc>
      </w:tr>
    </w:tbl>
    <w:p>
      <w:pPr>
        <w:spacing w:before="60" w:after="120" w:line="360" w:lineRule="auto"/>
        <w:ind w:firstLine="567"/>
        <w:jc w:val="both"/>
      </w:pPr>
      <w:r>
        <w:rPr>
          <w:rFonts w:ascii="Times New Roman" w:hAnsi="Times New Roman"/>
          <w:b w:val="0"/>
          <w:i w:val="0"/>
          <w:sz w:val="24"/>
        </w:rPr>
        <w:t xml:space="preserve">Berdasarkan Persamaan (1.1) di atas, variabel </w:t>
      </w:r>
      <w:r>
        <w:rPr>
          <w:rFonts w:ascii="Times New Roman" w:hAnsi="Times New Roman"/>
          <w:b w:val="0"/>
          <w:i/>
          <w:sz w:val="24"/>
        </w:rPr>
        <w:t>EMA_t</w:t>
      </w:r>
      <w:r>
        <w:rPr>
          <w:rFonts w:ascii="Times New Roman" w:hAnsi="Times New Roman"/>
          <w:b w:val="0"/>
          <w:i w:val="0"/>
          <w:sz w:val="24"/>
        </w:rPr>
        <w:t xml:space="preserve"> menyatakan nilai rata-rata bergerak eksponensial pada hari ke-</w:t>
      </w:r>
      <w:r>
        <w:rPr>
          <w:rFonts w:ascii="Times New Roman" w:hAnsi="Times New Roman"/>
          <w:b w:val="0"/>
          <w:i/>
          <w:sz w:val="24"/>
        </w:rPr>
        <w:t>t</w:t>
      </w:r>
      <w:r>
        <w:rPr>
          <w:rFonts w:ascii="Times New Roman" w:hAnsi="Times New Roman"/>
          <w:b w:val="0"/>
          <w:i w:val="0"/>
          <w:sz w:val="24"/>
        </w:rPr>
        <w:t xml:space="preserve">, </w:t>
      </w:r>
      <w:r>
        <w:rPr>
          <w:rFonts w:ascii="Times New Roman" w:hAnsi="Times New Roman"/>
          <w:b w:val="0"/>
          <w:i/>
          <w:sz w:val="24"/>
        </w:rPr>
        <w:t>P_t</w:t>
      </w:r>
      <w:r>
        <w:rPr>
          <w:rFonts w:ascii="Times New Roman" w:hAnsi="Times New Roman"/>
          <w:b w:val="0"/>
          <w:i w:val="0"/>
          <w:sz w:val="24"/>
        </w:rPr>
        <w:t xml:space="preserve"> adalah harga penutupan (</w:t>
      </w:r>
      <w:r>
        <w:rPr>
          <w:rFonts w:ascii="Times New Roman" w:hAnsi="Times New Roman"/>
          <w:b w:val="0"/>
          <w:i/>
          <w:sz w:val="24"/>
        </w:rPr>
        <w:t>Close</w:t>
      </w:r>
      <w:r>
        <w:rPr>
          <w:rFonts w:ascii="Times New Roman" w:hAnsi="Times New Roman"/>
          <w:b w:val="0"/>
          <w:i w:val="0"/>
          <w:sz w:val="24"/>
        </w:rPr>
        <w:t>) aset kripto Solana pada hari ke-</w:t>
      </w:r>
      <w:r>
        <w:rPr>
          <w:rFonts w:ascii="Times New Roman" w:hAnsi="Times New Roman"/>
          <w:b w:val="0"/>
          <w:i/>
          <w:sz w:val="24"/>
        </w:rPr>
        <w:t>t</w:t>
      </w:r>
      <w:r>
        <w:rPr>
          <w:rFonts w:ascii="Times New Roman" w:hAnsi="Times New Roman"/>
          <w:b w:val="0"/>
          <w:i w:val="0"/>
          <w:sz w:val="24"/>
        </w:rPr>
        <w:t xml:space="preserve">, </w:t>
      </w:r>
      <w:r>
        <w:rPr>
          <w:rFonts w:ascii="Times New Roman" w:hAnsi="Times New Roman"/>
          <w:b w:val="0"/>
          <w:i/>
          <w:sz w:val="24"/>
        </w:rPr>
        <w:t>EMA_(t-1)</w:t>
      </w:r>
      <w:r>
        <w:rPr>
          <w:rFonts w:ascii="Times New Roman" w:hAnsi="Times New Roman"/>
          <w:b w:val="0"/>
          <w:i w:val="0"/>
          <w:sz w:val="24"/>
        </w:rPr>
        <w:t xml:space="preserve"> adalah nilai EMA pada hari perdagangan sebelumnya, dan </w:t>
      </w:r>
      <w:r>
        <w:rPr>
          <w:rFonts w:ascii="Times New Roman" w:hAnsi="Times New Roman"/>
          <w:b w:val="0"/>
          <w:i/>
          <w:sz w:val="24"/>
        </w:rPr>
        <w:t>α</w:t>
      </w:r>
      <w:r>
        <w:rPr>
          <w:rFonts w:ascii="Times New Roman" w:hAnsi="Times New Roman"/>
          <w:b w:val="0"/>
          <w:i w:val="0"/>
          <w:sz w:val="24"/>
        </w:rPr>
        <w:t xml:space="preserve"> merupakan koefisien peluruhan eksponensial yang ditentukan oleh panjang periode jendela pengamatan </w:t>
      </w:r>
      <w:r>
        <w:rPr>
          <w:rFonts w:ascii="Times New Roman" w:hAnsi="Times New Roman"/>
          <w:b w:val="0"/>
          <w:i/>
          <w:sz w:val="24"/>
        </w:rPr>
        <w:t>k</w:t>
      </w:r>
      <w:r>
        <w:rPr>
          <w:rFonts w:ascii="Times New Roman" w:hAnsi="Times New Roman"/>
          <w:b w:val="0"/>
          <w:i w:val="0"/>
          <w:sz w:val="24"/>
        </w:rPr>
        <w:t xml:space="preserve"> (dalam penelitian ini digunakan </w:t>
      </w:r>
      <w:r>
        <w:rPr>
          <w:rFonts w:ascii="Times New Roman" w:hAnsi="Times New Roman"/>
          <w:b w:val="0"/>
          <w:i/>
          <w:sz w:val="24"/>
        </w:rPr>
        <w:t>k</w:t>
      </w:r>
      <w:r>
        <w:rPr>
          <w:rFonts w:ascii="Times New Roman" w:hAnsi="Times New Roman"/>
          <w:b w:val="0"/>
          <w:i w:val="0"/>
          <w:sz w:val="24"/>
        </w:rPr>
        <w:t xml:space="preserve"> = 14 hari untuk tren jangka pendek dan </w:t>
      </w:r>
      <w:r>
        <w:rPr>
          <w:rFonts w:ascii="Times New Roman" w:hAnsi="Times New Roman"/>
          <w:b w:val="0"/>
          <w:i/>
          <w:sz w:val="24"/>
        </w:rPr>
        <w:t>k</w:t>
      </w:r>
      <w:r>
        <w:rPr>
          <w:rFonts w:ascii="Times New Roman" w:hAnsi="Times New Roman"/>
          <w:b w:val="0"/>
          <w:i w:val="0"/>
          <w:sz w:val="24"/>
        </w:rPr>
        <w:t xml:space="preserve"> = 50 hari untuk tren jangka menengah). Melalui pembobotan </w:t>
      </w:r>
      <w:r>
        <w:rPr>
          <w:rFonts w:ascii="Times New Roman" w:hAnsi="Times New Roman"/>
          <w:b w:val="0"/>
          <w:i/>
          <w:sz w:val="24"/>
        </w:rPr>
        <w:t>α</w:t>
      </w:r>
      <w:r>
        <w:rPr>
          <w:rFonts w:ascii="Times New Roman" w:hAnsi="Times New Roman"/>
          <w:b w:val="0"/>
          <w:i w:val="0"/>
          <w:sz w:val="24"/>
        </w:rPr>
        <w:t xml:space="preserve"> tersebut, perubahan harga terbaru memperoleh porsi pengaruh yang lebih besar dibandingkan harga masa lampau sehingga mereduksi keterlambatan deteksi tren.</w:t>
      </w:r>
    </w:p>
    <w:p>
      <w:pPr>
        <w:spacing w:line="360" w:lineRule="auto" w:after="120"/>
        <w:ind w:firstLine="567"/>
        <w:jc w:val="both"/>
      </w:pPr>
      <w:r>
        <w:rPr>
          <w:rFonts w:ascii="Times New Roman" w:hAnsi="Times New Roman"/>
          <w:b w:val="0"/>
          <w:i w:val="0"/>
          <w:sz w:val="24"/>
        </w:rPr>
        <w:t xml:space="preserve">Selanjutnya, osilator momentum </w:t>
      </w:r>
      <w:r>
        <w:rPr>
          <w:rFonts w:ascii="Times New Roman" w:hAnsi="Times New Roman"/>
          <w:b w:val="0"/>
          <w:i/>
          <w:sz w:val="24"/>
        </w:rPr>
        <w:t>Relative Strength Index</w:t>
      </w:r>
      <w:r>
        <w:rPr>
          <w:rFonts w:ascii="Times New Roman" w:hAnsi="Times New Roman"/>
          <w:b w:val="0"/>
          <w:i w:val="0"/>
          <w:sz w:val="24"/>
        </w:rPr>
        <w:t xml:space="preserve"> (RSI) dengan jendela 14 hari dihitung menggunakan Persamaan (1.2):</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8"/>
        <w:gridCol w:w="3968"/>
      </w:tblGrid>
      <w:tr>
        <w:tc>
          <w:tcPr>
            <w:tcW w:type="dxa" w:w="6917"/>
            <w:vAlign w:val="center"/>
          </w:tcPr>
          <w:p>
            <w:pPr>
              <w:spacing w:before="80" w:after="80" w:line="276" w:lineRule="auto"/>
              <w:jc w:val="center"/>
            </w:pPr>
            <m:oMath>
              <m:sSub>
                <m:e>
                  <m:r>
                    <m:rPr>
                      <m:sty m:val="p"/>
                    </m:rPr>
                    <w:rPr>
                      <w:rFonts w:ascii="Cambria Math" w:hAnsi="Cambria Math"/>
                    </w:rPr>
                    <m:t>RSI</m:t>
                  </m:r>
                </m:e>
                <m:sub>
                  <m:r>
                    <w:rPr>
                      <w:rFonts w:ascii="Cambria Math" w:hAnsi="Cambria Math"/>
                    </w:rPr>
                    <m:t>t</m:t>
                  </m:r>
                </m:sub>
              </m:sSub>
              <m:r>
                <m:rPr>
                  <m:sty m:val="p"/>
                </m:rPr>
                <w:rPr>
                  <w:rFonts w:ascii="Cambria Math" w:hAnsi="Cambria Math"/>
                </w:rPr>
                <m:t> = 100 − </m:t>
              </m:r>
              <m:f>
                <m:num>
                  <m:r>
                    <m:rPr>
                      <m:sty m:val="p"/>
                    </m:rPr>
                    <w:rPr>
                      <w:rFonts w:ascii="Cambria Math" w:hAnsi="Cambria Math"/>
                    </w:rPr>
                    <m:t>100</m:t>
                  </m:r>
                </m:num>
                <m:den>
                  <m:r>
                    <m:rPr>
                      <m:sty m:val="p"/>
                    </m:rPr>
                    <w:rPr>
                      <w:rFonts w:ascii="Cambria Math" w:hAnsi="Cambria Math"/>
                    </w:rPr>
                    <m:t>1 + </m:t>
                  </m:r>
                  <m:f>
                    <m:num>
                      <m:sSub>
                        <m:e>
                          <m:r>
                            <m:rPr>
                              <m:sty m:val="p"/>
                            </m:rPr>
                            <w:rPr>
                              <w:rFonts w:ascii="Cambria Math" w:hAnsi="Cambria Math"/>
                            </w:rPr>
                            <m:t>AvgGain</m:t>
                          </m:r>
                        </m:e>
                        <m:sub>
                          <m:r>
                            <w:rPr>
                              <w:rFonts w:ascii="Cambria Math" w:hAnsi="Cambria Math"/>
                            </w:rPr>
                            <m:t>t</m:t>
                          </m:r>
                        </m:sub>
                      </m:sSub>
                    </m:num>
                    <m:den>
                      <m:sSub>
                        <m:e>
                          <m:r>
                            <m:rPr>
                              <m:sty m:val="p"/>
                            </m:rPr>
                            <w:rPr>
                              <w:rFonts w:ascii="Cambria Math" w:hAnsi="Cambria Math"/>
                            </w:rPr>
                            <m:t>AvgLoss</m:t>
                          </m:r>
                        </m:e>
                        <m:sub>
                          <m:r>
                            <w:rPr>
                              <w:rFonts w:ascii="Cambria Math" w:hAnsi="Cambria Math"/>
                            </w:rPr>
                            <m:t>t</m:t>
                          </m:r>
                        </m:sub>
                      </m:sSub>
                    </m:den>
                  </m:f>
                </m:den>
              </m:f>
            </m:oMath>
          </w:p>
        </w:tc>
        <w:tc>
          <w:tcPr>
            <w:tcW w:type="dxa" w:w="1020"/>
            <w:vAlign w:val="center"/>
          </w:tcPr>
          <w:p>
            <w:pPr>
              <w:spacing w:before="80" w:after="80"/>
              <w:jc w:val="right"/>
            </w:pPr>
            <w:r>
              <w:rPr>
                <w:rFonts w:ascii="Times New Roman" w:hAnsi="Times New Roman"/>
                <w:sz w:val="24"/>
              </w:rPr>
              <w:t>(1.2)</w:t>
            </w:r>
          </w:p>
        </w:tc>
      </w:tr>
    </w:tbl>
    <w:p>
      <w:pPr>
        <w:spacing w:before="60" w:after="120" w:line="360" w:lineRule="auto"/>
        <w:ind w:firstLine="567"/>
        <w:jc w:val="both"/>
      </w:pPr>
      <w:r>
        <w:rPr>
          <w:rFonts w:ascii="Times New Roman" w:hAnsi="Times New Roman"/>
          <w:b w:val="0"/>
          <w:i w:val="0"/>
          <w:sz w:val="24"/>
        </w:rPr>
        <w:t xml:space="preserve">Berdasarkan Persamaan (1.2) di atas, </w:t>
      </w:r>
      <w:r>
        <w:rPr>
          <w:rFonts w:ascii="Times New Roman" w:hAnsi="Times New Roman"/>
          <w:b w:val="0"/>
          <w:i/>
          <w:sz w:val="24"/>
        </w:rPr>
        <w:t>RSI_t</w:t>
      </w:r>
      <w:r>
        <w:rPr>
          <w:rFonts w:ascii="Times New Roman" w:hAnsi="Times New Roman"/>
          <w:b w:val="0"/>
          <w:i w:val="0"/>
          <w:sz w:val="24"/>
        </w:rPr>
        <w:t xml:space="preserve"> merepresentasikan nilai indeks kekuatan relatif pada hari ke-</w:t>
      </w:r>
      <w:r>
        <w:rPr>
          <w:rFonts w:ascii="Times New Roman" w:hAnsi="Times New Roman"/>
          <w:b w:val="0"/>
          <w:i/>
          <w:sz w:val="24"/>
        </w:rPr>
        <w:t>t</w:t>
      </w:r>
      <w:r>
        <w:rPr>
          <w:rFonts w:ascii="Times New Roman" w:hAnsi="Times New Roman"/>
          <w:b w:val="0"/>
          <w:i w:val="0"/>
          <w:sz w:val="24"/>
        </w:rPr>
        <w:t xml:space="preserve"> yang terikat dalam rentang skala 0 hingga 100, sedangkan </w:t>
      </w:r>
      <w:r>
        <w:rPr>
          <w:rFonts w:ascii="Times New Roman" w:hAnsi="Times New Roman"/>
          <w:b w:val="0"/>
          <w:i/>
          <w:sz w:val="24"/>
        </w:rPr>
        <w:t>AvgGain_t</w:t>
      </w:r>
      <w:r>
        <w:rPr>
          <w:rFonts w:ascii="Times New Roman" w:hAnsi="Times New Roman"/>
          <w:b w:val="0"/>
          <w:i w:val="0"/>
          <w:sz w:val="24"/>
        </w:rPr>
        <w:t xml:space="preserve"> dan </w:t>
      </w:r>
      <w:r>
        <w:rPr>
          <w:rFonts w:ascii="Times New Roman" w:hAnsi="Times New Roman"/>
          <w:b w:val="0"/>
          <w:i/>
          <w:sz w:val="24"/>
        </w:rPr>
        <w:t>AvgLoss_t</w:t>
      </w:r>
      <w:r>
        <w:rPr>
          <w:rFonts w:ascii="Times New Roman" w:hAnsi="Times New Roman"/>
          <w:b w:val="0"/>
          <w:i w:val="0"/>
          <w:sz w:val="24"/>
        </w:rPr>
        <w:t xml:space="preserve"> masing-masing menyatakan rata-rata kenaikan harga positif dan rata-rata penurunan harga absolut selama periode 14 hari terakhir. Apabila nilai </w:t>
      </w:r>
      <w:r>
        <w:rPr>
          <w:rFonts w:ascii="Times New Roman" w:hAnsi="Times New Roman"/>
          <w:b w:val="0"/>
          <w:i/>
          <w:sz w:val="24"/>
        </w:rPr>
        <w:t>RSI_t</w:t>
      </w:r>
      <w:r>
        <w:rPr>
          <w:rFonts w:ascii="Times New Roman" w:hAnsi="Times New Roman"/>
          <w:b w:val="0"/>
          <w:i w:val="0"/>
          <w:sz w:val="24"/>
        </w:rPr>
        <w:t xml:space="preserve"> melampaui ambang 70, pasar diindikasikan berada pada zona jenuh beli (</w:t>
      </w:r>
      <w:r>
        <w:rPr>
          <w:rFonts w:ascii="Times New Roman" w:hAnsi="Times New Roman"/>
          <w:b w:val="0"/>
          <w:i/>
          <w:sz w:val="24"/>
        </w:rPr>
        <w:t>overbought</w:t>
      </w:r>
      <w:r>
        <w:rPr>
          <w:rFonts w:ascii="Times New Roman" w:hAnsi="Times New Roman"/>
          <w:b w:val="0"/>
          <w:i w:val="0"/>
          <w:sz w:val="24"/>
        </w:rPr>
        <w:t>) yang rawan mengalami koreksi turun, sedangkan nilai di bawah 30 menandakan kondisi jenuh jual (</w:t>
      </w:r>
      <w:r>
        <w:rPr>
          <w:rFonts w:ascii="Times New Roman" w:hAnsi="Times New Roman"/>
          <w:b w:val="0"/>
          <w:i/>
          <w:sz w:val="24"/>
        </w:rPr>
        <w:t>oversold</w:t>
      </w:r>
      <w:r>
        <w:rPr>
          <w:rFonts w:ascii="Times New Roman" w:hAnsi="Times New Roman"/>
          <w:b w:val="0"/>
          <w:i w:val="0"/>
          <w:sz w:val="24"/>
        </w:rPr>
        <w:t>) yang berpotensi memicu pembalikan harga naik.</w:t>
      </w:r>
    </w:p>
    <w:p>
      <w:pPr>
        <w:spacing w:line="360" w:lineRule="auto" w:after="120"/>
        <w:ind w:firstLine="567"/>
        <w:jc w:val="both"/>
      </w:pPr>
      <w:r>
        <w:rPr>
          <w:rFonts w:ascii="Times New Roman" w:hAnsi="Times New Roman"/>
          <w:b w:val="0"/>
          <w:i w:val="0"/>
          <w:sz w:val="24"/>
        </w:rPr>
        <w:t>Indikator konvergensi dan divergensi rata-rata bergerak (MACD) dirumuskan pada Persamaan (1.3):</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8"/>
        <w:gridCol w:w="3968"/>
      </w:tblGrid>
      <w:tr>
        <w:tc>
          <w:tcPr>
            <w:tcW w:type="dxa" w:w="6917"/>
            <w:vAlign w:val="center"/>
          </w:tcPr>
          <w:p>
            <w:pPr>
              <w:spacing w:before="80" w:after="80" w:line="276" w:lineRule="auto"/>
              <w:jc w:val="center"/>
            </w:pPr>
            <m:oMath>
              <m:sSub>
                <m:e>
                  <m:r>
                    <m:rPr>
                      <m:sty m:val="p"/>
                    </m:rPr>
                    <w:rPr>
                      <w:rFonts w:ascii="Cambria Math" w:hAnsi="Cambria Math"/>
                    </w:rPr>
                    <m:t>MACD</m:t>
                  </m:r>
                </m:e>
                <m:sub>
                  <m:r>
                    <w:rPr>
                      <w:rFonts w:ascii="Cambria Math" w:hAnsi="Cambria Math"/>
                    </w:rPr>
                    <m:t>t</m:t>
                  </m:r>
                </m:sub>
              </m:sSub>
              <m:r>
                <m:rPr>
                  <m:sty m:val="p"/>
                </m:rPr>
                <w:rPr>
                  <w:rFonts w:ascii="Cambria Math" w:hAnsi="Cambria Math"/>
                </w:rPr>
                <m:t> = </m:t>
              </m:r>
              <m:sSub>
                <m:e>
                  <m:r>
                    <m:rPr>
                      <m:sty m:val="p"/>
                    </m:rPr>
                    <w:rPr>
                      <w:rFonts w:ascii="Cambria Math" w:hAnsi="Cambria Math"/>
                    </w:rPr>
                    <m:t>EMA</m:t>
                  </m:r>
                </m:e>
                <m:sub>
                  <m:r>
                    <m:rPr>
                      <m:sty m:val="p"/>
                    </m:rPr>
                    <w:rPr>
                      <w:rFonts w:ascii="Cambria Math" w:hAnsi="Cambria Math"/>
                    </w:rPr>
                    <m:t>12</m:t>
                  </m:r>
                </m:sub>
              </m:sSub>
              <m:d>
                <m:dPr>
                  <m:begChr m:val="("/>
                  <m:endChr m:val=")"/>
                </m:dPr>
                <m:e>
                  <m:sSub>
                    <m:e>
                      <m:r>
                        <w:rPr>
                          <w:rFonts w:ascii="Cambria Math" w:hAnsi="Cambria Math"/>
                        </w:rPr>
                        <m:t>P</m:t>
                      </m:r>
                    </m:e>
                    <m:sub>
                      <m:r>
                        <w:rPr>
                          <w:rFonts w:ascii="Cambria Math" w:hAnsi="Cambria Math"/>
                        </w:rPr>
                        <m:t>t</m:t>
                      </m:r>
                    </m:sub>
                  </m:sSub>
                </m:e>
              </m:d>
              <m:r>
                <m:rPr>
                  <m:sty m:val="p"/>
                </m:rPr>
                <w:rPr>
                  <w:rFonts w:ascii="Cambria Math" w:hAnsi="Cambria Math"/>
                </w:rPr>
                <m:t> − </m:t>
              </m:r>
              <m:sSub>
                <m:e>
                  <m:r>
                    <m:rPr>
                      <m:sty m:val="p"/>
                    </m:rPr>
                    <w:rPr>
                      <w:rFonts w:ascii="Cambria Math" w:hAnsi="Cambria Math"/>
                    </w:rPr>
                    <m:t>EMA</m:t>
                  </m:r>
                </m:e>
                <m:sub>
                  <m:r>
                    <m:rPr>
                      <m:sty m:val="p"/>
                    </m:rPr>
                    <w:rPr>
                      <w:rFonts w:ascii="Cambria Math" w:hAnsi="Cambria Math"/>
                    </w:rPr>
                    <m:t>26</m:t>
                  </m:r>
                </m:sub>
              </m:sSub>
              <m:d>
                <m:dPr>
                  <m:begChr m:val="("/>
                  <m:endChr m:val=")"/>
                </m:dPr>
                <m:e>
                  <m:sSub>
                    <m:e>
                      <m:r>
                        <w:rPr>
                          <w:rFonts w:ascii="Cambria Math" w:hAnsi="Cambria Math"/>
                        </w:rPr>
                        <m:t>P</m:t>
                      </m:r>
                    </m:e>
                    <m:sub>
                      <m:r>
                        <w:rPr>
                          <w:rFonts w:ascii="Cambria Math" w:hAnsi="Cambria Math"/>
                        </w:rPr>
                        <m:t>t</m:t>
                      </m:r>
                    </m:sub>
                  </m:sSub>
                </m:e>
              </m:d>
            </m:oMath>
          </w:p>
        </w:tc>
        <w:tc>
          <w:tcPr>
            <w:tcW w:type="dxa" w:w="1020"/>
            <w:vAlign w:val="center"/>
          </w:tcPr>
          <w:p>
            <w:pPr>
              <w:spacing w:before="80" w:after="80"/>
              <w:jc w:val="right"/>
            </w:pPr>
            <w:r>
              <w:rPr>
                <w:rFonts w:ascii="Times New Roman" w:hAnsi="Times New Roman"/>
                <w:sz w:val="24"/>
              </w:rPr>
              <w:t>(1.3)</w:t>
            </w:r>
          </w:p>
        </w:tc>
      </w:tr>
    </w:tbl>
    <w:p>
      <w:pPr>
        <w:spacing w:before="60" w:after="120" w:line="360" w:lineRule="auto"/>
        <w:ind w:firstLine="567"/>
        <w:jc w:val="both"/>
      </w:pPr>
      <w:r>
        <w:rPr>
          <w:rFonts w:ascii="Times New Roman" w:hAnsi="Times New Roman"/>
          <w:b w:val="0"/>
          <w:i w:val="0"/>
          <w:sz w:val="24"/>
        </w:rPr>
        <w:t xml:space="preserve">Berdasarkan Persamaan (1.3) di atas, </w:t>
      </w:r>
      <w:r>
        <w:rPr>
          <w:rFonts w:ascii="Times New Roman" w:hAnsi="Times New Roman"/>
          <w:b w:val="0"/>
          <w:i/>
          <w:sz w:val="24"/>
        </w:rPr>
        <w:t>MACD_t</w:t>
      </w:r>
      <w:r>
        <w:rPr>
          <w:rFonts w:ascii="Times New Roman" w:hAnsi="Times New Roman"/>
          <w:b w:val="0"/>
          <w:i w:val="0"/>
          <w:sz w:val="24"/>
        </w:rPr>
        <w:t xml:space="preserve"> merupakan nilai konvergensi-divergensi rata-rata bergerak pada hari ke-</w:t>
      </w:r>
      <w:r>
        <w:rPr>
          <w:rFonts w:ascii="Times New Roman" w:hAnsi="Times New Roman"/>
          <w:b w:val="0"/>
          <w:i/>
          <w:sz w:val="24"/>
        </w:rPr>
        <w:t>t</w:t>
      </w:r>
      <w:r>
        <w:rPr>
          <w:rFonts w:ascii="Times New Roman" w:hAnsi="Times New Roman"/>
          <w:b w:val="0"/>
          <w:i w:val="0"/>
          <w:sz w:val="24"/>
        </w:rPr>
        <w:t xml:space="preserve"> yang diperoleh dari selisih antara rata-rata eksponensial cepat periode 12 hari (</w:t>
      </w:r>
      <w:r>
        <w:rPr>
          <w:rFonts w:ascii="Times New Roman" w:hAnsi="Times New Roman"/>
          <w:b w:val="0"/>
          <w:i/>
          <w:sz w:val="24"/>
        </w:rPr>
        <w:t>EMA_12(P_t)</w:t>
      </w:r>
      <w:r>
        <w:rPr>
          <w:rFonts w:ascii="Times New Roman" w:hAnsi="Times New Roman"/>
          <w:b w:val="0"/>
          <w:i w:val="0"/>
          <w:sz w:val="24"/>
        </w:rPr>
        <w:t>) dan rata-rata eksponensial lambat periode 26 hari (</w:t>
      </w:r>
      <w:r>
        <w:rPr>
          <w:rFonts w:ascii="Times New Roman" w:hAnsi="Times New Roman"/>
          <w:b w:val="0"/>
          <w:i/>
          <w:sz w:val="24"/>
        </w:rPr>
        <w:t>EMA_26(P_t)</w:t>
      </w:r>
      <w:r>
        <w:rPr>
          <w:rFonts w:ascii="Times New Roman" w:hAnsi="Times New Roman"/>
          <w:b w:val="0"/>
          <w:i w:val="0"/>
          <w:sz w:val="24"/>
        </w:rPr>
        <w:t xml:space="preserve">). Nilai </w:t>
      </w:r>
      <w:r>
        <w:rPr>
          <w:rFonts w:ascii="Times New Roman" w:hAnsi="Times New Roman"/>
          <w:b w:val="0"/>
          <w:i/>
          <w:sz w:val="24"/>
        </w:rPr>
        <w:t>MACD_t</w:t>
      </w:r>
      <w:r>
        <w:rPr>
          <w:rFonts w:ascii="Times New Roman" w:hAnsi="Times New Roman"/>
          <w:b w:val="0"/>
          <w:i w:val="0"/>
          <w:sz w:val="24"/>
        </w:rPr>
        <w:t xml:space="preserve"> selanjutnya dihaluskan kembali menggunakan EMA periode 9 hari untuk membentuk garis pemicu (</w:t>
      </w:r>
      <w:r>
        <w:rPr>
          <w:rFonts w:ascii="Times New Roman" w:hAnsi="Times New Roman"/>
          <w:b w:val="0"/>
          <w:i/>
          <w:sz w:val="24"/>
        </w:rPr>
        <w:t>MACD_Signal</w:t>
      </w:r>
      <w:r>
        <w:rPr>
          <w:rFonts w:ascii="Times New Roman" w:hAnsi="Times New Roman"/>
          <w:b w:val="0"/>
          <w:i w:val="0"/>
          <w:sz w:val="24"/>
        </w:rPr>
        <w:t>), di mana perpotongan (</w:t>
      </w:r>
      <w:r>
        <w:rPr>
          <w:rFonts w:ascii="Times New Roman" w:hAnsi="Times New Roman"/>
          <w:b w:val="0"/>
          <w:i/>
          <w:sz w:val="24"/>
        </w:rPr>
        <w:t>crossover</w:t>
      </w:r>
      <w:r>
        <w:rPr>
          <w:rFonts w:ascii="Times New Roman" w:hAnsi="Times New Roman"/>
          <w:b w:val="0"/>
          <w:i w:val="0"/>
          <w:sz w:val="24"/>
        </w:rPr>
        <w:t>) antara kedua garis tersebut menjadi indikator kunci percepatan atau perlambatan momentum tren harga Solana.</w:t>
      </w:r>
    </w:p>
    <w:p>
      <w:pPr>
        <w:spacing w:line="360" w:lineRule="auto" w:after="120"/>
        <w:ind w:firstLine="567"/>
        <w:jc w:val="both"/>
      </w:pPr>
      <w:r>
        <w:rPr>
          <w:rFonts w:ascii="Times New Roman" w:hAnsi="Times New Roman"/>
          <w:b w:val="0"/>
          <w:i w:val="0"/>
          <w:sz w:val="24"/>
        </w:rPr>
        <w:t xml:space="preserve">Untuk merepresentasikan volatilitas dinamis pasar Solana, batas atas dan batas bawah </w:t>
      </w:r>
      <w:r>
        <w:rPr>
          <w:rFonts w:ascii="Times New Roman" w:hAnsi="Times New Roman"/>
          <w:b w:val="0"/>
          <w:i/>
          <w:sz w:val="24"/>
        </w:rPr>
        <w:t>Bollinger Bands</w:t>
      </w:r>
      <w:r>
        <w:rPr>
          <w:rFonts w:ascii="Times New Roman" w:hAnsi="Times New Roman"/>
          <w:b w:val="0"/>
          <w:i w:val="0"/>
          <w:sz w:val="24"/>
        </w:rPr>
        <w:t xml:space="preserve"> (periode 20 hari dengan faktor deviasi 2σ) dihitung melalui Persamaan (1.4):</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8"/>
        <w:gridCol w:w="3968"/>
      </w:tblGrid>
      <w:tr>
        <w:tc>
          <w:tcPr>
            <w:tcW w:type="dxa" w:w="6917"/>
            <w:vAlign w:val="center"/>
          </w:tcPr>
          <w:p>
            <w:pPr>
              <w:spacing w:before="80" w:after="80" w:line="276" w:lineRule="auto"/>
              <w:jc w:val="center"/>
            </w:pPr>
            <m:oMath>
              <m:sSub>
                <m:e>
                  <m:r>
                    <m:rPr>
                      <m:sty m:val="p"/>
                    </m:rPr>
                    <w:rPr>
                      <w:rFonts w:ascii="Cambria Math" w:hAnsi="Cambria Math"/>
                    </w:rPr>
                    <m:t>BB</m:t>
                  </m:r>
                </m:e>
                <m:sub>
                  <m:r>
                    <m:rPr>
                      <m:sty m:val="p"/>
                    </m:rPr>
                    <w:rPr>
                      <w:rFonts w:ascii="Cambria Math" w:hAnsi="Cambria Math"/>
                    </w:rPr>
                    <m:t>Upper, Lower</m:t>
                  </m:r>
                </m:sub>
              </m:sSub>
              <m:r>
                <m:rPr>
                  <m:sty m:val="p"/>
                </m:rPr>
                <w:rPr>
                  <w:rFonts w:ascii="Cambria Math" w:hAnsi="Cambria Math"/>
                </w:rPr>
                <m:t> = </m:t>
              </m:r>
              <m:sSub>
                <m:e>
                  <m:r>
                    <m:rPr>
                      <m:sty m:val="p"/>
                    </m:rPr>
                    <w:rPr>
                      <w:rFonts w:ascii="Cambria Math" w:hAnsi="Cambria Math"/>
                    </w:rPr>
                    <m:t>SMA</m:t>
                  </m:r>
                </m:e>
                <m:sub>
                  <m:r>
                    <m:rPr>
                      <m:sty m:val="p"/>
                    </m:rPr>
                    <w:rPr>
                      <w:rFonts w:ascii="Cambria Math" w:hAnsi="Cambria Math"/>
                    </w:rPr>
                    <m:t>20</m:t>
                  </m:r>
                </m:sub>
              </m:sSub>
              <m:d>
                <m:dPr>
                  <m:begChr m:val="("/>
                  <m:endChr m:val=")"/>
                </m:dPr>
                <m:e>
                  <m:sSub>
                    <m:e>
                      <m:r>
                        <w:rPr>
                          <w:rFonts w:ascii="Cambria Math" w:hAnsi="Cambria Math"/>
                        </w:rPr>
                        <m:t>P</m:t>
                      </m:r>
                    </m:e>
                    <m:sub>
                      <m:r>
                        <w:rPr>
                          <w:rFonts w:ascii="Cambria Math" w:hAnsi="Cambria Math"/>
                        </w:rPr>
                        <m:t>t</m:t>
                      </m:r>
                    </m:sub>
                  </m:sSub>
                </m:e>
              </m:d>
              <m:r>
                <m:rPr>
                  <m:sty m:val="p"/>
                </m:rPr>
                <w:rPr>
                  <w:rFonts w:ascii="Cambria Math" w:hAnsi="Cambria Math"/>
                </w:rPr>
                <m:t> ± 2</m:t>
              </m:r>
              <m:sSub>
                <m:e>
                  <m:r>
                    <w:rPr>
                      <w:rFonts w:ascii="Cambria Math" w:hAnsi="Cambria Math"/>
                    </w:rPr>
                    <m:t>σ</m:t>
                  </m:r>
                </m:e>
                <m:sub>
                  <m:r>
                    <m:rPr>
                      <m:sty m:val="p"/>
                    </m:rPr>
                    <w:rPr>
                      <w:rFonts w:ascii="Cambria Math" w:hAnsi="Cambria Math"/>
                    </w:rPr>
                    <m:t>20</m:t>
                  </m:r>
                </m:sub>
              </m:sSub>
              <m:d>
                <m:dPr>
                  <m:begChr m:val="("/>
                  <m:endChr m:val=")"/>
                </m:dPr>
                <m:e>
                  <m:sSub>
                    <m:e>
                      <m:r>
                        <w:rPr>
                          <w:rFonts w:ascii="Cambria Math" w:hAnsi="Cambria Math"/>
                        </w:rPr>
                        <m:t>P</m:t>
                      </m:r>
                    </m:e>
                    <m:sub>
                      <m:r>
                        <w:rPr>
                          <w:rFonts w:ascii="Cambria Math" w:hAnsi="Cambria Math"/>
                        </w:rPr>
                        <m:t>t</m:t>
                      </m:r>
                    </m:sub>
                  </m:sSub>
                </m:e>
              </m:d>
            </m:oMath>
          </w:p>
        </w:tc>
        <w:tc>
          <w:tcPr>
            <w:tcW w:type="dxa" w:w="1020"/>
            <w:vAlign w:val="center"/>
          </w:tcPr>
          <w:p>
            <w:pPr>
              <w:spacing w:before="80" w:after="80"/>
              <w:jc w:val="right"/>
            </w:pPr>
            <w:r>
              <w:rPr>
                <w:rFonts w:ascii="Times New Roman" w:hAnsi="Times New Roman"/>
                <w:sz w:val="24"/>
              </w:rPr>
              <w:t>(1.4)</w:t>
            </w:r>
          </w:p>
        </w:tc>
      </w:tr>
    </w:tbl>
    <w:p>
      <w:pPr>
        <w:spacing w:before="60" w:after="120" w:line="360" w:lineRule="auto"/>
        <w:ind w:firstLine="567"/>
        <w:jc w:val="both"/>
      </w:pPr>
      <w:r>
        <w:rPr>
          <w:rFonts w:ascii="Times New Roman" w:hAnsi="Times New Roman"/>
          <w:b w:val="0"/>
          <w:i w:val="0"/>
          <w:sz w:val="24"/>
        </w:rPr>
        <w:t xml:space="preserve">Berdasarkan Persamaan (1.4) di atas, </w:t>
      </w:r>
      <w:r>
        <w:rPr>
          <w:rFonts w:ascii="Times New Roman" w:hAnsi="Times New Roman"/>
          <w:b w:val="0"/>
          <w:i/>
          <w:sz w:val="24"/>
        </w:rPr>
        <w:t>BB_Upper</w:t>
      </w:r>
      <w:r>
        <w:rPr>
          <w:rFonts w:ascii="Times New Roman" w:hAnsi="Times New Roman"/>
          <w:b w:val="0"/>
          <w:i w:val="0"/>
          <w:sz w:val="24"/>
        </w:rPr>
        <w:t xml:space="preserve"> dan </w:t>
      </w:r>
      <w:r>
        <w:rPr>
          <w:rFonts w:ascii="Times New Roman" w:hAnsi="Times New Roman"/>
          <w:b w:val="0"/>
          <w:i/>
          <w:sz w:val="24"/>
        </w:rPr>
        <w:t>BB_Lower</w:t>
      </w:r>
      <w:r>
        <w:rPr>
          <w:rFonts w:ascii="Times New Roman" w:hAnsi="Times New Roman"/>
          <w:b w:val="0"/>
          <w:i w:val="0"/>
          <w:sz w:val="24"/>
        </w:rPr>
        <w:t xml:space="preserve"> menyatakan batas pita atas dan batas pita bawah volatilitas harga pada hari ke-</w:t>
      </w:r>
      <w:r>
        <w:rPr>
          <w:rFonts w:ascii="Times New Roman" w:hAnsi="Times New Roman"/>
          <w:b w:val="0"/>
          <w:i/>
          <w:sz w:val="24"/>
        </w:rPr>
        <w:t>t</w:t>
      </w:r>
      <w:r>
        <w:rPr>
          <w:rFonts w:ascii="Times New Roman" w:hAnsi="Times New Roman"/>
          <w:b w:val="0"/>
          <w:i w:val="0"/>
          <w:sz w:val="24"/>
        </w:rPr>
        <w:t xml:space="preserve">, </w:t>
      </w:r>
      <w:r>
        <w:rPr>
          <w:rFonts w:ascii="Times New Roman" w:hAnsi="Times New Roman"/>
          <w:b w:val="0"/>
          <w:i/>
          <w:sz w:val="24"/>
        </w:rPr>
        <w:t>SMA_20(P_t)</w:t>
      </w:r>
      <w:r>
        <w:rPr>
          <w:rFonts w:ascii="Times New Roman" w:hAnsi="Times New Roman"/>
          <w:b w:val="0"/>
          <w:i w:val="0"/>
          <w:sz w:val="24"/>
        </w:rPr>
        <w:t xml:space="preserve"> adalah nilai rata-rata bergerak sederhana (</w:t>
      </w:r>
      <w:r>
        <w:rPr>
          <w:rFonts w:ascii="Times New Roman" w:hAnsi="Times New Roman"/>
          <w:b w:val="0"/>
          <w:i/>
          <w:sz w:val="24"/>
        </w:rPr>
        <w:t>Simple Moving Average</w:t>
      </w:r>
      <w:r>
        <w:rPr>
          <w:rFonts w:ascii="Times New Roman" w:hAnsi="Times New Roman"/>
          <w:b w:val="0"/>
          <w:i w:val="0"/>
          <w:sz w:val="24"/>
        </w:rPr>
        <w:t xml:space="preserve">) dari harga penutupan Solana selama 20 hari terakhir, dan </w:t>
      </w:r>
      <w:r>
        <w:rPr>
          <w:rFonts w:ascii="Times New Roman" w:hAnsi="Times New Roman"/>
          <w:b w:val="0"/>
          <w:i/>
          <w:sz w:val="24"/>
        </w:rPr>
        <w:t>σ_20(P_t)</w:t>
      </w:r>
      <w:r>
        <w:rPr>
          <w:rFonts w:ascii="Times New Roman" w:hAnsi="Times New Roman"/>
          <w:b w:val="0"/>
          <w:i w:val="0"/>
          <w:sz w:val="24"/>
        </w:rPr>
        <w:t xml:space="preserve"> menyatakan simpangan baku (</w:t>
      </w:r>
      <w:r>
        <w:rPr>
          <w:rFonts w:ascii="Times New Roman" w:hAnsi="Times New Roman"/>
          <w:b w:val="0"/>
          <w:i/>
          <w:sz w:val="24"/>
        </w:rPr>
        <w:t>standard deviation</w:t>
      </w:r>
      <w:r>
        <w:rPr>
          <w:rFonts w:ascii="Times New Roman" w:hAnsi="Times New Roman"/>
          <w:b w:val="0"/>
          <w:i w:val="0"/>
          <w:sz w:val="24"/>
        </w:rPr>
        <w:t>) harga pada jendela 20 hari yang sama. Pelebaran jarak antara pita atas dan pita bawah mencerminkan lonjakan volatilitas pasar yang tinggi, sedangkan penyempitan pita mengindikasikan fase konsolidasi sebelum terjadinya penembusan harga (</w:t>
      </w:r>
      <w:r>
        <w:rPr>
          <w:rFonts w:ascii="Times New Roman" w:hAnsi="Times New Roman"/>
          <w:b w:val="0"/>
          <w:i/>
          <w:sz w:val="24"/>
        </w:rPr>
        <w:t>breakout</w:t>
      </w:r>
      <w:r>
        <w:rPr>
          <w:rFonts w:ascii="Times New Roman" w:hAnsi="Times New Roman"/>
          <w:b w:val="0"/>
          <w:i w:val="0"/>
          <w:sz w:val="24"/>
        </w:rPr>
        <w:t>).</w:t>
      </w:r>
    </w:p>
    <w:p>
      <w:pPr>
        <w:spacing w:line="360" w:lineRule="auto" w:after="120"/>
        <w:ind w:firstLine="567"/>
        <w:jc w:val="both"/>
      </w:pPr>
      <w:r>
        <w:rPr>
          <w:rFonts w:ascii="Times New Roman" w:hAnsi="Times New Roman"/>
          <w:b w:val="0"/>
          <w:i w:val="0"/>
          <w:sz w:val="24"/>
        </w:rPr>
        <w:t xml:space="preserve">Intensitas rentang gejolak harga harian dihitung menggunakan indikator </w:t>
      </w:r>
      <w:r>
        <w:rPr>
          <w:rFonts w:ascii="Times New Roman" w:hAnsi="Times New Roman"/>
          <w:b w:val="0"/>
          <w:i/>
          <w:sz w:val="24"/>
        </w:rPr>
        <w:t>Average True Range</w:t>
      </w:r>
      <w:r>
        <w:rPr>
          <w:rFonts w:ascii="Times New Roman" w:hAnsi="Times New Roman"/>
          <w:b w:val="0"/>
          <w:i w:val="0"/>
          <w:sz w:val="24"/>
        </w:rPr>
        <w:t xml:space="preserve"> (ATR-14) pada Persamaan (1.5):</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8"/>
        <w:gridCol w:w="3968"/>
      </w:tblGrid>
      <w:tr>
        <w:tc>
          <w:tcPr>
            <w:tcW w:type="dxa" w:w="6917"/>
            <w:vAlign w:val="center"/>
          </w:tcPr>
          <w:p>
            <w:pPr>
              <w:spacing w:before="80" w:after="80" w:line="276" w:lineRule="auto"/>
              <w:jc w:val="center"/>
            </w:pPr>
            <m:oMath>
              <m:sSub>
                <m:e>
                  <m:r>
                    <m:rPr>
                      <m:sty m:val="p"/>
                    </m:rPr>
                    <w:rPr>
                      <w:rFonts w:ascii="Cambria Math" w:hAnsi="Cambria Math"/>
                    </w:rPr>
                    <m:t>ATR</m:t>
                  </m:r>
                </m:e>
                <m:sub>
                  <m:r>
                    <w:rPr>
                      <w:rFonts w:ascii="Cambria Math" w:hAnsi="Cambria Math"/>
                    </w:rPr>
                    <m:t>t</m:t>
                  </m:r>
                </m:sub>
              </m:sSub>
              <m:r>
                <m:rPr>
                  <m:sty m:val="p"/>
                </m:rPr>
                <w:rPr>
                  <w:rFonts w:ascii="Cambria Math" w:hAnsi="Cambria Math"/>
                </w:rPr>
                <m:t> = </m:t>
              </m:r>
              <m:f>
                <m:num>
                  <m:r>
                    <m:rPr>
                      <m:sty m:val="p"/>
                    </m:rPr>
                    <w:rPr>
                      <w:rFonts w:ascii="Cambria Math" w:hAnsi="Cambria Math"/>
                    </w:rPr>
                    <m:t>1</m:t>
                  </m:r>
                </m:num>
                <m:den>
                  <m:r>
                    <m:rPr>
                      <m:sty m:val="p"/>
                    </m:rPr>
                    <w:rPr>
                      <w:rFonts w:ascii="Cambria Math" w:hAnsi="Cambria Math"/>
                    </w:rPr>
                    <m:t>14</m:t>
                  </m:r>
                </m:den>
              </m:f>
              <m:nary>
                <m:naryPr>
                  <m:chr m:val="∑"/>
                  <m:limLoc m:val="undOvr"/>
                </m:naryPr>
                <m:sub>
                  <m:r>
                    <w:rPr>
                      <w:rFonts w:ascii="Cambria Math" w:hAnsi="Cambria Math"/>
                    </w:rPr>
                    <m:t>i</m:t>
                  </m:r>
                  <m:r>
                    <m:rPr>
                      <m:sty m:val="p"/>
                    </m:rPr>
                    <w:rPr>
                      <w:rFonts w:ascii="Cambria Math" w:hAnsi="Cambria Math"/>
                    </w:rPr>
                    <m:t>=0</m:t>
                  </m:r>
                </m:sub>
                <m:sup>
                  <m:r>
                    <m:rPr>
                      <m:sty m:val="p"/>
                    </m:rPr>
                    <w:rPr>
                      <w:rFonts w:ascii="Cambria Math" w:hAnsi="Cambria Math"/>
                    </w:rPr>
                    <m:t>13</m:t>
                  </m:r>
                </m:sup>
                <m:e>
                  <m:r>
                    <m:rPr>
                      <m:sty m:val="p"/>
                    </m:rPr>
                    <w:rPr>
                      <w:rFonts w:ascii="Cambria Math" w:hAnsi="Cambria Math"/>
                    </w:rPr>
                    <m:t>max</m:t>
                  </m:r>
                  <m:d>
                    <m:dPr>
                      <m:begChr m:val="("/>
                      <m:endChr m:val=")"/>
                    </m:dPr>
                    <m:e>
                      <m:sSub>
                        <m:e>
                          <m:r>
                            <w:rPr>
                              <w:rFonts w:ascii="Cambria Math" w:hAnsi="Cambria Math"/>
                            </w:rPr>
                            <m:t>H</m:t>
                          </m:r>
                        </m:e>
                        <m:sub>
                          <m:r>
                            <w:rPr>
                              <w:rFonts w:ascii="Cambria Math" w:hAnsi="Cambria Math"/>
                            </w:rPr>
                            <m:t>t−i</m:t>
                          </m:r>
                        </m:sub>
                      </m:sSub>
                      <m:r>
                        <m:rPr>
                          <m:sty m:val="p"/>
                        </m:rPr>
                        <w:rPr>
                          <w:rFonts w:ascii="Cambria Math" w:hAnsi="Cambria Math"/>
                        </w:rPr>
                        <m:t> − </m:t>
                      </m:r>
                      <m:sSub>
                        <m:e>
                          <m:r>
                            <w:rPr>
                              <w:rFonts w:ascii="Cambria Math" w:hAnsi="Cambria Math"/>
                            </w:rPr>
                            <m:t>L</m:t>
                          </m:r>
                        </m:e>
                        <m:sub>
                          <m:r>
                            <w:rPr>
                              <w:rFonts w:ascii="Cambria Math" w:hAnsi="Cambria Math"/>
                            </w:rPr>
                            <m:t>t−i</m:t>
                          </m:r>
                        </m:sub>
                      </m:sSub>
                      <m:r>
                        <m:rPr>
                          <m:sty m:val="p"/>
                        </m:rPr>
                        <w:rPr>
                          <w:rFonts w:ascii="Cambria Math" w:hAnsi="Cambria Math"/>
                        </w:rPr>
                        <m:t>, </m:t>
                      </m:r>
                      <m:d>
                        <m:dPr>
                          <m:begChr m:val="|"/>
                          <m:endChr m:val="|"/>
                        </m:dPr>
                        <m:e>
                          <m:sSub>
                            <m:e>
                              <m:r>
                                <w:rPr>
                                  <w:rFonts w:ascii="Cambria Math" w:hAnsi="Cambria Math"/>
                                </w:rPr>
                                <m:t>H</m:t>
                              </m:r>
                            </m:e>
                            <m:sub>
                              <m:r>
                                <w:rPr>
                                  <w:rFonts w:ascii="Cambria Math" w:hAnsi="Cambria Math"/>
                                </w:rPr>
                                <m:t>t−i</m:t>
                              </m:r>
                            </m:sub>
                          </m:sSub>
                          <m:r>
                            <m:rPr>
                              <m:sty m:val="p"/>
                            </m:rPr>
                            <w:rPr>
                              <w:rFonts w:ascii="Cambria Math" w:hAnsi="Cambria Math"/>
                            </w:rPr>
                            <m:t> − </m:t>
                          </m:r>
                          <m:sSub>
                            <m:e>
                              <m:r>
                                <w:rPr>
                                  <w:rFonts w:ascii="Cambria Math" w:hAnsi="Cambria Math"/>
                                </w:rPr>
                                <m:t>C</m:t>
                              </m:r>
                            </m:e>
                            <m:sub>
                              <m:r>
                                <w:rPr>
                                  <w:rFonts w:ascii="Cambria Math" w:hAnsi="Cambria Math"/>
                                </w:rPr>
                                <m:t>t−i−1</m:t>
                              </m:r>
                            </m:sub>
                          </m:sSub>
                        </m:e>
                      </m:d>
                      <m:r>
                        <m:rPr>
                          <m:sty m:val="p"/>
                        </m:rPr>
                        <w:rPr>
                          <w:rFonts w:ascii="Cambria Math" w:hAnsi="Cambria Math"/>
                        </w:rPr>
                        <m:t>, </m:t>
                      </m:r>
                      <m:d>
                        <m:dPr>
                          <m:begChr m:val="|"/>
                          <m:endChr m:val="|"/>
                        </m:dPr>
                        <m:e>
                          <m:sSub>
                            <m:e>
                              <m:r>
                                <w:rPr>
                                  <w:rFonts w:ascii="Cambria Math" w:hAnsi="Cambria Math"/>
                                </w:rPr>
                                <m:t>L</m:t>
                              </m:r>
                            </m:e>
                            <m:sub>
                              <m:r>
                                <w:rPr>
                                  <w:rFonts w:ascii="Cambria Math" w:hAnsi="Cambria Math"/>
                                </w:rPr>
                                <m:t>t−i</m:t>
                              </m:r>
                            </m:sub>
                          </m:sSub>
                          <m:r>
                            <m:rPr>
                              <m:sty m:val="p"/>
                            </m:rPr>
                            <w:rPr>
                              <w:rFonts w:ascii="Cambria Math" w:hAnsi="Cambria Math"/>
                            </w:rPr>
                            <m:t> − </m:t>
                          </m:r>
                          <m:sSub>
                            <m:e>
                              <m:r>
                                <w:rPr>
                                  <w:rFonts w:ascii="Cambria Math" w:hAnsi="Cambria Math"/>
                                </w:rPr>
                                <m:t>C</m:t>
                              </m:r>
                            </m:e>
                            <m:sub>
                              <m:r>
                                <w:rPr>
                                  <w:rFonts w:ascii="Cambria Math" w:hAnsi="Cambria Math"/>
                                </w:rPr>
                                <m:t>t−i−1</m:t>
                              </m:r>
                            </m:sub>
                          </m:sSub>
                        </m:e>
                      </m:d>
                    </m:e>
                  </m:d>
                </m:e>
              </m:nary>
            </m:oMath>
          </w:p>
        </w:tc>
        <w:tc>
          <w:tcPr>
            <w:tcW w:type="dxa" w:w="1020"/>
            <w:vAlign w:val="center"/>
          </w:tcPr>
          <w:p>
            <w:pPr>
              <w:spacing w:before="80" w:after="80"/>
              <w:jc w:val="right"/>
            </w:pPr>
            <w:r>
              <w:rPr>
                <w:rFonts w:ascii="Times New Roman" w:hAnsi="Times New Roman"/>
                <w:sz w:val="24"/>
              </w:rPr>
              <w:t>(1.5)</w:t>
            </w:r>
          </w:p>
        </w:tc>
      </w:tr>
    </w:tbl>
    <w:p>
      <w:pPr>
        <w:spacing w:before="60" w:after="120" w:line="360" w:lineRule="auto"/>
        <w:ind w:firstLine="567"/>
        <w:jc w:val="both"/>
      </w:pPr>
      <w:r>
        <w:rPr>
          <w:rFonts w:ascii="Times New Roman" w:hAnsi="Times New Roman"/>
          <w:b w:val="0"/>
          <w:i w:val="0"/>
          <w:sz w:val="24"/>
        </w:rPr>
        <w:t xml:space="preserve">Berdasarkan Persamaan (1.5) di atas, </w:t>
      </w:r>
      <w:r>
        <w:rPr>
          <w:rFonts w:ascii="Times New Roman" w:hAnsi="Times New Roman"/>
          <w:b w:val="0"/>
          <w:i/>
          <w:sz w:val="24"/>
        </w:rPr>
        <w:t>ATR_t</w:t>
      </w:r>
      <w:r>
        <w:rPr>
          <w:rFonts w:ascii="Times New Roman" w:hAnsi="Times New Roman"/>
          <w:b w:val="0"/>
          <w:i w:val="0"/>
          <w:sz w:val="24"/>
        </w:rPr>
        <w:t xml:space="preserve"> menyatakan nilai </w:t>
      </w:r>
      <w:r>
        <w:rPr>
          <w:rFonts w:ascii="Times New Roman" w:hAnsi="Times New Roman"/>
          <w:b w:val="0"/>
          <w:i/>
          <w:sz w:val="24"/>
        </w:rPr>
        <w:t>Average True Range</w:t>
      </w:r>
      <w:r>
        <w:rPr>
          <w:rFonts w:ascii="Times New Roman" w:hAnsi="Times New Roman"/>
          <w:b w:val="0"/>
          <w:i w:val="0"/>
          <w:sz w:val="24"/>
        </w:rPr>
        <w:t xml:space="preserve"> pada hari ke-</w:t>
      </w:r>
      <w:r>
        <w:rPr>
          <w:rFonts w:ascii="Times New Roman" w:hAnsi="Times New Roman"/>
          <w:b w:val="0"/>
          <w:i/>
          <w:sz w:val="24"/>
        </w:rPr>
        <w:t>t</w:t>
      </w:r>
      <w:r>
        <w:rPr>
          <w:rFonts w:ascii="Times New Roman" w:hAnsi="Times New Roman"/>
          <w:b w:val="0"/>
          <w:i w:val="0"/>
          <w:sz w:val="24"/>
        </w:rPr>
        <w:t xml:space="preserve"> yang dihitung sebagai rata-rata aritmetika selama 14 hari atas nilai rentang sejati (</w:t>
      </w:r>
      <w:r>
        <w:rPr>
          <w:rFonts w:ascii="Times New Roman" w:hAnsi="Times New Roman"/>
          <w:b w:val="0"/>
          <w:i/>
          <w:sz w:val="24"/>
        </w:rPr>
        <w:t>True Range</w:t>
      </w:r>
      <w:r>
        <w:rPr>
          <w:rFonts w:ascii="Times New Roman" w:hAnsi="Times New Roman"/>
          <w:b w:val="0"/>
          <w:i w:val="0"/>
          <w:sz w:val="24"/>
        </w:rPr>
        <w:t xml:space="preserve">), di mana </w:t>
      </w:r>
      <w:r>
        <w:rPr>
          <w:rFonts w:ascii="Times New Roman" w:hAnsi="Times New Roman"/>
          <w:b w:val="0"/>
          <w:i/>
          <w:sz w:val="24"/>
        </w:rPr>
        <w:t>H_(t-i)</w:t>
      </w:r>
      <w:r>
        <w:rPr>
          <w:rFonts w:ascii="Times New Roman" w:hAnsi="Times New Roman"/>
          <w:b w:val="0"/>
          <w:i w:val="0"/>
          <w:sz w:val="24"/>
        </w:rPr>
        <w:t xml:space="preserve"> adalah harga tertinggi (</w:t>
      </w:r>
      <w:r>
        <w:rPr>
          <w:rFonts w:ascii="Times New Roman" w:hAnsi="Times New Roman"/>
          <w:b w:val="0"/>
          <w:i/>
          <w:sz w:val="24"/>
        </w:rPr>
        <w:t>High</w:t>
      </w:r>
      <w:r>
        <w:rPr>
          <w:rFonts w:ascii="Times New Roman" w:hAnsi="Times New Roman"/>
          <w:b w:val="0"/>
          <w:i w:val="0"/>
          <w:sz w:val="24"/>
        </w:rPr>
        <w:t xml:space="preserve">), </w:t>
      </w:r>
      <w:r>
        <w:rPr>
          <w:rFonts w:ascii="Times New Roman" w:hAnsi="Times New Roman"/>
          <w:b w:val="0"/>
          <w:i/>
          <w:sz w:val="24"/>
        </w:rPr>
        <w:t>L_(t-i)</w:t>
      </w:r>
      <w:r>
        <w:rPr>
          <w:rFonts w:ascii="Times New Roman" w:hAnsi="Times New Roman"/>
          <w:b w:val="0"/>
          <w:i w:val="0"/>
          <w:sz w:val="24"/>
        </w:rPr>
        <w:t xml:space="preserve"> adalah harga terendah (</w:t>
      </w:r>
      <w:r>
        <w:rPr>
          <w:rFonts w:ascii="Times New Roman" w:hAnsi="Times New Roman"/>
          <w:b w:val="0"/>
          <w:i/>
          <w:sz w:val="24"/>
        </w:rPr>
        <w:t>Low</w:t>
      </w:r>
      <w:r>
        <w:rPr>
          <w:rFonts w:ascii="Times New Roman" w:hAnsi="Times New Roman"/>
          <w:b w:val="0"/>
          <w:i w:val="0"/>
          <w:sz w:val="24"/>
        </w:rPr>
        <w:t>) pada hari ke-</w:t>
      </w:r>
      <w:r>
        <w:rPr>
          <w:rFonts w:ascii="Times New Roman" w:hAnsi="Times New Roman"/>
          <w:b w:val="0"/>
          <w:i/>
          <w:sz w:val="24"/>
        </w:rPr>
        <w:t>(t-i)</w:t>
      </w:r>
      <w:r>
        <w:rPr>
          <w:rFonts w:ascii="Times New Roman" w:hAnsi="Times New Roman"/>
          <w:b w:val="0"/>
          <w:i w:val="0"/>
          <w:sz w:val="24"/>
        </w:rPr>
        <w:t xml:space="preserve">, dan </w:t>
      </w:r>
      <w:r>
        <w:rPr>
          <w:rFonts w:ascii="Times New Roman" w:hAnsi="Times New Roman"/>
          <w:b w:val="0"/>
          <w:i/>
          <w:sz w:val="24"/>
        </w:rPr>
        <w:t>C_(t-i-1)</w:t>
      </w:r>
      <w:r>
        <w:rPr>
          <w:rFonts w:ascii="Times New Roman" w:hAnsi="Times New Roman"/>
          <w:b w:val="0"/>
          <w:i w:val="0"/>
          <w:sz w:val="24"/>
        </w:rPr>
        <w:t xml:space="preserve"> adalah harga penutupan pada hari sebelumnya. Penggunaan operator nilai maksimum dari ketiga komponen selisih harga tersebut memungkinkan indikator </w:t>
      </w:r>
      <w:r>
        <w:rPr>
          <w:rFonts w:ascii="Times New Roman" w:hAnsi="Times New Roman"/>
          <w:b w:val="0"/>
          <w:i/>
          <w:sz w:val="24"/>
        </w:rPr>
        <w:t>ATR_14</w:t>
      </w:r>
      <w:r>
        <w:rPr>
          <w:rFonts w:ascii="Times New Roman" w:hAnsi="Times New Roman"/>
          <w:b w:val="0"/>
          <w:i w:val="0"/>
          <w:sz w:val="24"/>
        </w:rPr>
        <w:t xml:space="preserve"> menangkap lompatan celah harga (</w:t>
      </w:r>
      <w:r>
        <w:rPr>
          <w:rFonts w:ascii="Times New Roman" w:hAnsi="Times New Roman"/>
          <w:b w:val="0"/>
          <w:i/>
          <w:sz w:val="24"/>
        </w:rPr>
        <w:t>price gap</w:t>
      </w:r>
      <w:r>
        <w:rPr>
          <w:rFonts w:ascii="Times New Roman" w:hAnsi="Times New Roman"/>
          <w:b w:val="0"/>
          <w:i w:val="0"/>
          <w:sz w:val="24"/>
        </w:rPr>
        <w:t>) dan intensitas gejolak harian secara utuh.</w:t>
      </w:r>
    </w:p>
    <w:p>
      <w:pPr>
        <w:spacing w:line="360" w:lineRule="auto" w:after="120"/>
        <w:ind w:firstLine="567"/>
        <w:jc w:val="both"/>
      </w:pPr>
      <w:r>
        <w:rPr>
          <w:rFonts w:ascii="Times New Roman" w:hAnsi="Times New Roman"/>
          <w:b w:val="0"/>
          <w:i w:val="0"/>
          <w:sz w:val="24"/>
        </w:rPr>
        <w:t>Sebelum dimasukkan ke dalam jaringan saraf tiruan, seluruh fitur ditransformasikan ke dalam rentang [0, 1] menggunakan normalisasi Min-Max guna mempercepat konvergensi gradien sebagaimana ditunjukkan pada Persamaan (1.6):</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8"/>
        <w:gridCol w:w="3968"/>
      </w:tblGrid>
      <w:tr>
        <w:tc>
          <w:tcPr>
            <w:tcW w:type="dxa" w:w="6917"/>
            <w:vAlign w:val="center"/>
          </w:tcPr>
          <w:p>
            <w:pPr>
              <w:spacing w:before="80" w:after="80" w:line="276" w:lineRule="auto"/>
              <w:jc w:val="center"/>
            </w:pPr>
            <m:oMath>
              <m:sSup>
                <m:e>
                  <m:sSub>
                    <m:e>
                      <m:r>
                        <w:rPr>
                          <w:rFonts w:ascii="Cambria Math" w:hAnsi="Cambria Math"/>
                        </w:rPr>
                        <m:t>x</m:t>
                      </m:r>
                    </m:e>
                    <m:sub>
                      <m:r>
                        <w:rPr>
                          <w:rFonts w:ascii="Cambria Math" w:hAnsi="Cambria Math"/>
                        </w:rPr>
                        <m:t>t</m:t>
                      </m:r>
                    </m:sub>
                  </m:sSub>
                </m:e>
                <m:sup>
                  <m:r>
                    <m:rPr>
                      <m:sty m:val="p"/>
                    </m:rPr>
                    <w:rPr>
                      <w:rFonts w:ascii="Cambria Math" w:hAnsi="Cambria Math"/>
                    </w:rPr>
                    <m:t>'</m:t>
                  </m:r>
                </m:sup>
              </m:sSup>
              <m:r>
                <m:rPr>
                  <m:sty m:val="p"/>
                </m:rPr>
                <w:rPr>
                  <w:rFonts w:ascii="Cambria Math" w:hAnsi="Cambria Math"/>
                </w:rPr>
                <m:t> = </m:t>
              </m:r>
              <m:f>
                <m:num>
                  <m:sSub>
                    <m:e>
                      <m:r>
                        <w:rPr>
                          <w:rFonts w:ascii="Cambria Math" w:hAnsi="Cambria Math"/>
                        </w:rPr>
                        <m:t>x</m:t>
                      </m:r>
                    </m:e>
                    <m:sub>
                      <m:r>
                        <w:rPr>
                          <w:rFonts w:ascii="Cambria Math" w:hAnsi="Cambria Math"/>
                        </w:rPr>
                        <m:t>t</m:t>
                      </m:r>
                    </m:sub>
                  </m:sSub>
                  <m:r>
                    <m:rPr>
                      <m:sty m:val="p"/>
                    </m:rPr>
                    <w:rPr>
                      <w:rFonts w:ascii="Cambria Math" w:hAnsi="Cambria Math"/>
                    </w:rPr>
                    <m:t> − </m:t>
                  </m:r>
                  <m:sSub>
                    <m:e>
                      <m:r>
                        <w:rPr>
                          <w:rFonts w:ascii="Cambria Math" w:hAnsi="Cambria Math"/>
                        </w:rPr>
                        <m:t>x</m:t>
                      </m:r>
                    </m:e>
                    <m:sub>
                      <m:r>
                        <m:rPr>
                          <m:sty m:val="p"/>
                        </m:rPr>
                        <w:rPr>
                          <w:rFonts w:ascii="Cambria Math" w:hAnsi="Cambria Math"/>
                        </w:rPr>
                        <m:t>min</m:t>
                      </m:r>
                    </m:sub>
                  </m:sSub>
                </m:num>
                <m:den>
                  <m:sSub>
                    <m:e>
                      <m:r>
                        <w:rPr>
                          <w:rFonts w:ascii="Cambria Math" w:hAnsi="Cambria Math"/>
                        </w:rPr>
                        <m:t>x</m:t>
                      </m:r>
                    </m:e>
                    <m:sub>
                      <m:r>
                        <m:rPr>
                          <m:sty m:val="p"/>
                        </m:rPr>
                        <w:rPr>
                          <w:rFonts w:ascii="Cambria Math" w:hAnsi="Cambria Math"/>
                        </w:rPr>
                        <m:t>max</m:t>
                      </m:r>
                    </m:sub>
                  </m:sSub>
                  <m:r>
                    <m:rPr>
                      <m:sty m:val="p"/>
                    </m:rPr>
                    <w:rPr>
                      <w:rFonts w:ascii="Cambria Math" w:hAnsi="Cambria Math"/>
                    </w:rPr>
                    <m:t> − </m:t>
                  </m:r>
                  <m:sSub>
                    <m:e>
                      <m:r>
                        <w:rPr>
                          <w:rFonts w:ascii="Cambria Math" w:hAnsi="Cambria Math"/>
                        </w:rPr>
                        <m:t>x</m:t>
                      </m:r>
                    </m:e>
                    <m:sub>
                      <m:r>
                        <m:rPr>
                          <m:sty m:val="p"/>
                        </m:rPr>
                        <w:rPr>
                          <w:rFonts w:ascii="Cambria Math" w:hAnsi="Cambria Math"/>
                        </w:rPr>
                        <m:t>min</m:t>
                      </m:r>
                    </m:sub>
                  </m:sSub>
                </m:den>
              </m:f>
            </m:oMath>
          </w:p>
        </w:tc>
        <w:tc>
          <w:tcPr>
            <w:tcW w:type="dxa" w:w="1020"/>
            <w:vAlign w:val="center"/>
          </w:tcPr>
          <w:p>
            <w:pPr>
              <w:spacing w:before="80" w:after="80"/>
              <w:jc w:val="right"/>
            </w:pPr>
            <w:r>
              <w:rPr>
                <w:rFonts w:ascii="Times New Roman" w:hAnsi="Times New Roman"/>
                <w:sz w:val="24"/>
              </w:rPr>
              <w:t>(1.6)</w:t>
            </w:r>
          </w:p>
        </w:tc>
      </w:tr>
    </w:tbl>
    <w:p>
      <w:pPr>
        <w:spacing w:before="60" w:after="120" w:line="360" w:lineRule="auto"/>
        <w:ind w:firstLine="567"/>
        <w:jc w:val="both"/>
      </w:pPr>
      <w:r>
        <w:rPr>
          <w:rFonts w:ascii="Times New Roman" w:hAnsi="Times New Roman"/>
          <w:b w:val="0"/>
          <w:i w:val="0"/>
          <w:sz w:val="24"/>
        </w:rPr>
        <w:t xml:space="preserve">Berdasarkan Persamaan (1.6) di atas, </w:t>
      </w:r>
      <w:r>
        <w:rPr>
          <w:rFonts w:ascii="Times New Roman" w:hAnsi="Times New Roman"/>
          <w:b w:val="0"/>
          <w:i/>
          <w:sz w:val="24"/>
        </w:rPr>
        <w:t>x'_t</w:t>
      </w:r>
      <w:r>
        <w:rPr>
          <w:rFonts w:ascii="Times New Roman" w:hAnsi="Times New Roman"/>
          <w:b w:val="0"/>
          <w:i w:val="0"/>
          <w:sz w:val="24"/>
        </w:rPr>
        <w:t xml:space="preserve"> menyatakan nilai fitur pada hari ke-</w:t>
      </w:r>
      <w:r>
        <w:rPr>
          <w:rFonts w:ascii="Times New Roman" w:hAnsi="Times New Roman"/>
          <w:b w:val="0"/>
          <w:i/>
          <w:sz w:val="24"/>
        </w:rPr>
        <w:t>t</w:t>
      </w:r>
      <w:r>
        <w:rPr>
          <w:rFonts w:ascii="Times New Roman" w:hAnsi="Times New Roman"/>
          <w:b w:val="0"/>
          <w:i w:val="0"/>
          <w:sz w:val="24"/>
        </w:rPr>
        <w:t xml:space="preserve"> yang telah dinormalisasi ke dalam interval [0, 1], </w:t>
      </w:r>
      <w:r>
        <w:rPr>
          <w:rFonts w:ascii="Times New Roman" w:hAnsi="Times New Roman"/>
          <w:b w:val="0"/>
          <w:i/>
          <w:sz w:val="24"/>
        </w:rPr>
        <w:t>x_t</w:t>
      </w:r>
      <w:r>
        <w:rPr>
          <w:rFonts w:ascii="Times New Roman" w:hAnsi="Times New Roman"/>
          <w:b w:val="0"/>
          <w:i w:val="0"/>
          <w:sz w:val="24"/>
        </w:rPr>
        <w:t xml:space="preserve"> adalah nilai fitur asli sebelum transformasi, serta </w:t>
      </w:r>
      <w:r>
        <w:rPr>
          <w:rFonts w:ascii="Times New Roman" w:hAnsi="Times New Roman"/>
          <w:b w:val="0"/>
          <w:i/>
          <w:sz w:val="24"/>
        </w:rPr>
        <w:t>x_min</w:t>
      </w:r>
      <w:r>
        <w:rPr>
          <w:rFonts w:ascii="Times New Roman" w:hAnsi="Times New Roman"/>
          <w:b w:val="0"/>
          <w:i w:val="0"/>
          <w:sz w:val="24"/>
        </w:rPr>
        <w:t xml:space="preserve"> dan </w:t>
      </w:r>
      <w:r>
        <w:rPr>
          <w:rFonts w:ascii="Times New Roman" w:hAnsi="Times New Roman"/>
          <w:b w:val="0"/>
          <w:i/>
          <w:sz w:val="24"/>
        </w:rPr>
        <w:t>x_max</w:t>
      </w:r>
      <w:r>
        <w:rPr>
          <w:rFonts w:ascii="Times New Roman" w:hAnsi="Times New Roman"/>
          <w:b w:val="0"/>
          <w:i w:val="0"/>
          <w:sz w:val="24"/>
        </w:rPr>
        <w:t xml:space="preserve"> masing-masing menyatakan nilai minimum dan nilai maksimum dari fitur tersebut yang diekstraksi secara eksklusif dari himpunan Data Latih (</w:t>
      </w:r>
      <w:r>
        <w:rPr>
          <w:rFonts w:ascii="Times New Roman" w:hAnsi="Times New Roman"/>
          <w:b w:val="0"/>
          <w:i/>
          <w:sz w:val="24"/>
        </w:rPr>
        <w:t>Training Set</w:t>
      </w:r>
      <w:r>
        <w:rPr>
          <w:rFonts w:ascii="Times New Roman" w:hAnsi="Times New Roman"/>
          <w:b w:val="0"/>
          <w:i w:val="0"/>
          <w:sz w:val="24"/>
        </w:rPr>
        <w:t xml:space="preserve">). Pembatasan perhitungan </w:t>
      </w:r>
      <w:r>
        <w:rPr>
          <w:rFonts w:ascii="Times New Roman" w:hAnsi="Times New Roman"/>
          <w:b w:val="0"/>
          <w:i/>
          <w:sz w:val="24"/>
        </w:rPr>
        <w:t>x_min</w:t>
      </w:r>
      <w:r>
        <w:rPr>
          <w:rFonts w:ascii="Times New Roman" w:hAnsi="Times New Roman"/>
          <w:b w:val="0"/>
          <w:i w:val="0"/>
          <w:sz w:val="24"/>
        </w:rPr>
        <w:t xml:space="preserve"> dan </w:t>
      </w:r>
      <w:r>
        <w:rPr>
          <w:rFonts w:ascii="Times New Roman" w:hAnsi="Times New Roman"/>
          <w:b w:val="0"/>
          <w:i/>
          <w:sz w:val="24"/>
        </w:rPr>
        <w:t>x_max</w:t>
      </w:r>
      <w:r>
        <w:rPr>
          <w:rFonts w:ascii="Times New Roman" w:hAnsi="Times New Roman"/>
          <w:b w:val="0"/>
          <w:i w:val="0"/>
          <w:sz w:val="24"/>
        </w:rPr>
        <w:t xml:space="preserve"> hanya pada data latih diterapkan secara ketat untuk menyeragamkan skala gradien antar-variabel sekaligus mencegah kebocoran informasi masa depan (</w:t>
      </w:r>
      <w:r>
        <w:rPr>
          <w:rFonts w:ascii="Times New Roman" w:hAnsi="Times New Roman"/>
          <w:b w:val="0"/>
          <w:i/>
          <w:sz w:val="24"/>
        </w:rPr>
        <w:t>data leakage</w:t>
      </w:r>
      <w:r>
        <w:rPr>
          <w:rFonts w:ascii="Times New Roman" w:hAnsi="Times New Roman"/>
          <w:b w:val="0"/>
          <w:i w:val="0"/>
          <w:sz w:val="24"/>
        </w:rPr>
        <w:t>) ke dalam himpunan validasi dan pengujian.</w:t>
      </w:r>
    </w:p>
    <w:p>
      <w:pPr>
        <w:keepNext/>
        <w:spacing w:before="200" w:after="80" w:line="360" w:lineRule="auto"/>
      </w:pPr>
      <w:r>
        <w:rPr>
          <w:rFonts w:ascii="Times New Roman" w:hAnsi="Times New Roman"/>
          <w:b/>
          <w:i w:val="0"/>
          <w:sz w:val="28"/>
        </w:rPr>
        <w:t>4. Statistik Deskriptif dan Skema Pembagian Data</w:t>
      </w:r>
    </w:p>
    <w:p>
      <w:pPr>
        <w:spacing w:line="360" w:lineRule="auto" w:after="120"/>
        <w:ind w:firstLine="567"/>
        <w:jc w:val="both"/>
      </w:pPr>
      <w:r>
        <w:rPr>
          <w:rFonts w:ascii="Times New Roman" w:hAnsi="Times New Roman"/>
          <w:b w:val="0"/>
          <w:i w:val="0"/>
          <w:sz w:val="24"/>
        </w:rPr>
        <w:t xml:space="preserve">Ringkasan statistik deskriptif dari dataset multivariat Solana (2.080 observasi bersih) disajikan pada Tabel 2.2. Pembagian dataset dilakukan secara kronologis (tanpa pengacakan urutan waktu untuk mencegah kebocoran data / </w:t>
      </w:r>
      <w:r>
        <w:rPr>
          <w:rFonts w:ascii="Times New Roman" w:hAnsi="Times New Roman"/>
          <w:b w:val="0"/>
          <w:i/>
          <w:sz w:val="24"/>
        </w:rPr>
        <w:t>data leakage</w:t>
      </w:r>
      <w:r>
        <w:rPr>
          <w:rFonts w:ascii="Times New Roman" w:hAnsi="Times New Roman"/>
          <w:b w:val="0"/>
          <w:i w:val="0"/>
          <w:sz w:val="24"/>
        </w:rPr>
        <w:t>), yaitu 70% Data Latih (1.456 hari: 20 Januari 2021 – 14 Januari 2025), 15% Data Validasi (312 hari: 15 Januari 2025 – 22 November 2025), dan 15% Data Uji (312 hari: 23 November 2025 – 30 September 2026) dengan panjang jendela sekuensial (</w:t>
      </w:r>
      <w:r>
        <w:rPr>
          <w:rFonts w:ascii="Times New Roman" w:hAnsi="Times New Roman"/>
          <w:b w:val="0"/>
          <w:i/>
          <w:sz w:val="24"/>
        </w:rPr>
        <w:t>lookback</w:t>
      </w:r>
      <w:r>
        <w:rPr>
          <w:rFonts w:ascii="Times New Roman" w:hAnsi="Times New Roman"/>
          <w:b w:val="0"/>
          <w:i w:val="0"/>
          <w:sz w:val="24"/>
        </w:rPr>
        <w:t xml:space="preserve"> </w:t>
      </w:r>
      <w:r>
        <w:rPr>
          <w:rFonts w:ascii="Times New Roman" w:hAnsi="Times New Roman"/>
          <w:b w:val="0"/>
          <w:i/>
          <w:sz w:val="24"/>
        </w:rPr>
        <w:t>time steps</w:t>
      </w:r>
      <w:r>
        <w:rPr>
          <w:rFonts w:ascii="Times New Roman" w:hAnsi="Times New Roman"/>
          <w:b w:val="0"/>
          <w:i w:val="0"/>
          <w:sz w:val="24"/>
        </w:rPr>
        <w:t>) sebesar T = 20 hari.</w:t>
      </w:r>
    </w:p>
    <w:p>
      <w:pPr>
        <w:keepNext/>
        <w:spacing w:before="160" w:after="60" w:line="276" w:lineRule="auto"/>
      </w:pPr>
      <w:r>
        <w:rPr>
          <w:rFonts w:ascii="Times New Roman" w:hAnsi="Times New Roman"/>
          <w:b/>
          <w:sz w:val="22"/>
        </w:rPr>
        <w:t xml:space="preserve">Tabel 2.2 </w:t>
      </w:r>
      <w:r>
        <w:rPr>
          <w:rFonts w:ascii="Times New Roman" w:hAnsi="Times New Roman"/>
          <w:b/>
          <w:i w:val="0"/>
          <w:sz w:val="22"/>
        </w:rPr>
        <w:t>Statistik Deskriptif Fitur Utama Dataset Solana (2.080 Observasi)</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c>
          <w:tcPr>
            <w:tcW w:type="dxa" w:w="1323"/>
            <w:shd w:fill="D9E1F2"/>
            <w:vAlign w:val="center"/>
          </w:tcPr>
          <w:p>
            <w:pPr>
              <w:spacing w:line="276" w:lineRule="auto" w:before="60" w:after="60"/>
              <w:jc w:val="center"/>
            </w:pPr>
            <w:r>
              <w:rPr>
                <w:rFonts w:ascii="Times New Roman" w:hAnsi="Times New Roman"/>
                <w:b/>
                <w:sz w:val="20"/>
              </w:rPr>
              <w:t>Nama Fitur</w:t>
            </w:r>
          </w:p>
        </w:tc>
        <w:tc>
          <w:tcPr>
            <w:tcW w:type="dxa" w:w="1323"/>
            <w:shd w:fill="D9E1F2"/>
            <w:vAlign w:val="center"/>
          </w:tcPr>
          <w:p>
            <w:pPr>
              <w:spacing w:line="276" w:lineRule="auto" w:before="60" w:after="60"/>
              <w:jc w:val="center"/>
            </w:pPr>
            <w:r>
              <w:rPr>
                <w:rFonts w:ascii="Times New Roman" w:hAnsi="Times New Roman"/>
                <w:b/>
                <w:sz w:val="20"/>
              </w:rPr>
              <w:t>Nilai Minimum</w:t>
            </w:r>
          </w:p>
        </w:tc>
        <w:tc>
          <w:tcPr>
            <w:tcW w:type="dxa" w:w="1323"/>
            <w:shd w:fill="D9E1F2"/>
            <w:vAlign w:val="center"/>
          </w:tcPr>
          <w:p>
            <w:pPr>
              <w:spacing w:line="276" w:lineRule="auto" w:before="60" w:after="60"/>
              <w:jc w:val="center"/>
            </w:pPr>
            <w:r>
              <w:rPr>
                <w:rFonts w:ascii="Times New Roman" w:hAnsi="Times New Roman"/>
                <w:b/>
                <w:sz w:val="20"/>
              </w:rPr>
              <w:t>Kuartil Tengah (Median)</w:t>
            </w:r>
          </w:p>
        </w:tc>
        <w:tc>
          <w:tcPr>
            <w:tcW w:type="dxa" w:w="1323"/>
            <w:shd w:fill="D9E1F2"/>
            <w:vAlign w:val="center"/>
          </w:tcPr>
          <w:p>
            <w:pPr>
              <w:spacing w:line="276" w:lineRule="auto" w:before="60" w:after="60"/>
              <w:jc w:val="center"/>
            </w:pPr>
            <w:r>
              <w:rPr>
                <w:rFonts w:ascii="Times New Roman" w:hAnsi="Times New Roman"/>
                <w:b/>
                <w:sz w:val="20"/>
              </w:rPr>
              <w:t>Rata-rata (Mean)</w:t>
            </w:r>
          </w:p>
        </w:tc>
        <w:tc>
          <w:tcPr>
            <w:tcW w:type="dxa" w:w="1323"/>
            <w:shd w:fill="D9E1F2"/>
            <w:vAlign w:val="center"/>
          </w:tcPr>
          <w:p>
            <w:pPr>
              <w:spacing w:line="276" w:lineRule="auto" w:before="60" w:after="60"/>
              <w:jc w:val="center"/>
            </w:pPr>
            <w:r>
              <w:rPr>
                <w:rFonts w:ascii="Times New Roman" w:hAnsi="Times New Roman"/>
                <w:b/>
                <w:sz w:val="20"/>
              </w:rPr>
              <w:t>Simpangan Baku (Std)</w:t>
            </w:r>
          </w:p>
        </w:tc>
        <w:tc>
          <w:tcPr>
            <w:tcW w:type="dxa" w:w="1323"/>
            <w:shd w:fill="D9E1F2"/>
            <w:vAlign w:val="center"/>
          </w:tcPr>
          <w:p>
            <w:pPr>
              <w:spacing w:line="276" w:lineRule="auto" w:before="60" w:after="60"/>
              <w:jc w:val="center"/>
            </w:pPr>
            <w:r>
              <w:rPr>
                <w:rFonts w:ascii="Times New Roman" w:hAnsi="Times New Roman"/>
                <w:b/>
                <w:sz w:val="20"/>
              </w:rPr>
              <w:t>Nilai Maksimum</w:t>
            </w:r>
          </w:p>
        </w:tc>
      </w:tr>
      <w:tr>
        <w:tc>
          <w:tcPr>
            <w:tcW w:type="dxa" w:w="1323"/>
            <w:vAlign w:val="center"/>
          </w:tcPr>
          <w:p>
            <w:pPr>
              <w:spacing w:line="276" w:lineRule="auto" w:before="40" w:after="40"/>
            </w:pPr>
            <w:r>
              <w:rPr>
                <w:rFonts w:ascii="Times New Roman" w:hAnsi="Times New Roman"/>
                <w:sz w:val="19"/>
              </w:rPr>
              <w:t>Close</w:t>
            </w:r>
          </w:p>
        </w:tc>
        <w:tc>
          <w:tcPr>
            <w:tcW w:type="dxa" w:w="1323"/>
            <w:vAlign w:val="center"/>
          </w:tcPr>
          <w:p>
            <w:pPr>
              <w:spacing w:line="276" w:lineRule="auto" w:before="40" w:after="40"/>
            </w:pPr>
            <w:r>
              <w:rPr>
                <w:rFonts w:ascii="Times New Roman" w:hAnsi="Times New Roman"/>
                <w:sz w:val="19"/>
              </w:rPr>
              <w:t>2.99</w:t>
            </w:r>
          </w:p>
        </w:tc>
        <w:tc>
          <w:tcPr>
            <w:tcW w:type="dxa" w:w="1323"/>
            <w:vAlign w:val="center"/>
          </w:tcPr>
          <w:p>
            <w:pPr>
              <w:spacing w:line="276" w:lineRule="auto" w:before="40" w:after="40"/>
            </w:pPr>
            <w:r>
              <w:rPr>
                <w:rFonts w:ascii="Times New Roman" w:hAnsi="Times New Roman"/>
                <w:sz w:val="19"/>
              </w:rPr>
              <w:t>91.46</w:t>
            </w:r>
          </w:p>
        </w:tc>
        <w:tc>
          <w:tcPr>
            <w:tcW w:type="dxa" w:w="1323"/>
            <w:vAlign w:val="center"/>
          </w:tcPr>
          <w:p>
            <w:pPr>
              <w:spacing w:line="276" w:lineRule="auto" w:before="40" w:after="40"/>
            </w:pPr>
            <w:r>
              <w:rPr>
                <w:rFonts w:ascii="Times New Roman" w:hAnsi="Times New Roman"/>
                <w:sz w:val="19"/>
              </w:rPr>
              <w:t>98.42</w:t>
            </w:r>
          </w:p>
        </w:tc>
        <w:tc>
          <w:tcPr>
            <w:tcW w:type="dxa" w:w="1323"/>
            <w:vAlign w:val="center"/>
          </w:tcPr>
          <w:p>
            <w:pPr>
              <w:spacing w:line="276" w:lineRule="auto" w:before="40" w:after="40"/>
            </w:pPr>
            <w:r>
              <w:rPr>
                <w:rFonts w:ascii="Times New Roman" w:hAnsi="Times New Roman"/>
                <w:sz w:val="19"/>
              </w:rPr>
              <w:t>66.82</w:t>
            </w:r>
          </w:p>
        </w:tc>
        <w:tc>
          <w:tcPr>
            <w:tcW w:type="dxa" w:w="1323"/>
            <w:vAlign w:val="center"/>
          </w:tcPr>
          <w:p>
            <w:pPr>
              <w:spacing w:line="276" w:lineRule="auto" w:before="40" w:after="40"/>
            </w:pPr>
            <w:r>
              <w:rPr>
                <w:rFonts w:ascii="Times New Roman" w:hAnsi="Times New Roman"/>
                <w:sz w:val="19"/>
              </w:rPr>
              <w:t>261.87</w:t>
            </w:r>
          </w:p>
        </w:tc>
      </w:tr>
      <w:tr>
        <w:tc>
          <w:tcPr>
            <w:tcW w:type="dxa" w:w="1323"/>
            <w:vAlign w:val="center"/>
          </w:tcPr>
          <w:p>
            <w:pPr>
              <w:spacing w:line="276" w:lineRule="auto" w:before="40" w:after="40"/>
            </w:pPr>
            <w:r>
              <w:rPr>
                <w:rFonts w:ascii="Times New Roman" w:hAnsi="Times New Roman"/>
                <w:sz w:val="19"/>
              </w:rPr>
              <w:t>Open</w:t>
            </w:r>
          </w:p>
        </w:tc>
        <w:tc>
          <w:tcPr>
            <w:tcW w:type="dxa" w:w="1323"/>
            <w:vAlign w:val="center"/>
          </w:tcPr>
          <w:p>
            <w:pPr>
              <w:spacing w:line="276" w:lineRule="auto" w:before="40" w:after="40"/>
            </w:pPr>
            <w:r>
              <w:rPr>
                <w:rFonts w:ascii="Times New Roman" w:hAnsi="Times New Roman"/>
                <w:sz w:val="19"/>
              </w:rPr>
              <w:t>2.99</w:t>
            </w:r>
          </w:p>
        </w:tc>
        <w:tc>
          <w:tcPr>
            <w:tcW w:type="dxa" w:w="1323"/>
            <w:vAlign w:val="center"/>
          </w:tcPr>
          <w:p>
            <w:pPr>
              <w:spacing w:line="276" w:lineRule="auto" w:before="40" w:after="40"/>
            </w:pPr>
            <w:r>
              <w:rPr>
                <w:rFonts w:ascii="Times New Roman" w:hAnsi="Times New Roman"/>
                <w:sz w:val="19"/>
              </w:rPr>
              <w:t>91.39</w:t>
            </w:r>
          </w:p>
        </w:tc>
        <w:tc>
          <w:tcPr>
            <w:tcW w:type="dxa" w:w="1323"/>
            <w:vAlign w:val="center"/>
          </w:tcPr>
          <w:p>
            <w:pPr>
              <w:spacing w:line="276" w:lineRule="auto" w:before="40" w:after="40"/>
            </w:pPr>
            <w:r>
              <w:rPr>
                <w:rFonts w:ascii="Times New Roman" w:hAnsi="Times New Roman"/>
                <w:sz w:val="19"/>
              </w:rPr>
              <w:t>98.38</w:t>
            </w:r>
          </w:p>
        </w:tc>
        <w:tc>
          <w:tcPr>
            <w:tcW w:type="dxa" w:w="1323"/>
            <w:vAlign w:val="center"/>
          </w:tcPr>
          <w:p>
            <w:pPr>
              <w:spacing w:line="276" w:lineRule="auto" w:before="40" w:after="40"/>
            </w:pPr>
            <w:r>
              <w:rPr>
                <w:rFonts w:ascii="Times New Roman" w:hAnsi="Times New Roman"/>
                <w:sz w:val="19"/>
              </w:rPr>
              <w:t>66.87</w:t>
            </w:r>
          </w:p>
        </w:tc>
        <w:tc>
          <w:tcPr>
            <w:tcW w:type="dxa" w:w="1323"/>
            <w:vAlign w:val="center"/>
          </w:tcPr>
          <w:p>
            <w:pPr>
              <w:spacing w:line="276" w:lineRule="auto" w:before="40" w:after="40"/>
            </w:pPr>
            <w:r>
              <w:rPr>
                <w:rFonts w:ascii="Times New Roman" w:hAnsi="Times New Roman"/>
                <w:sz w:val="19"/>
              </w:rPr>
              <w:t>261.87</w:t>
            </w:r>
          </w:p>
        </w:tc>
      </w:tr>
      <w:tr>
        <w:tc>
          <w:tcPr>
            <w:tcW w:type="dxa" w:w="1323"/>
            <w:vAlign w:val="center"/>
          </w:tcPr>
          <w:p>
            <w:pPr>
              <w:spacing w:line="276" w:lineRule="auto" w:before="40" w:after="40"/>
            </w:pPr>
            <w:r>
              <w:rPr>
                <w:rFonts w:ascii="Times New Roman" w:hAnsi="Times New Roman"/>
                <w:sz w:val="19"/>
              </w:rPr>
              <w:t>High</w:t>
            </w:r>
          </w:p>
        </w:tc>
        <w:tc>
          <w:tcPr>
            <w:tcW w:type="dxa" w:w="1323"/>
            <w:vAlign w:val="center"/>
          </w:tcPr>
          <w:p>
            <w:pPr>
              <w:spacing w:line="276" w:lineRule="auto" w:before="40" w:after="40"/>
            </w:pPr>
            <w:r>
              <w:rPr>
                <w:rFonts w:ascii="Times New Roman" w:hAnsi="Times New Roman"/>
                <w:sz w:val="19"/>
              </w:rPr>
              <w:t>3.50</w:t>
            </w:r>
          </w:p>
        </w:tc>
        <w:tc>
          <w:tcPr>
            <w:tcW w:type="dxa" w:w="1323"/>
            <w:vAlign w:val="center"/>
          </w:tcPr>
          <w:p>
            <w:pPr>
              <w:spacing w:line="276" w:lineRule="auto" w:before="40" w:after="40"/>
            </w:pPr>
            <w:r>
              <w:rPr>
                <w:rFonts w:ascii="Times New Roman" w:hAnsi="Times New Roman"/>
                <w:sz w:val="19"/>
              </w:rPr>
              <w:t>94.21</w:t>
            </w:r>
          </w:p>
        </w:tc>
        <w:tc>
          <w:tcPr>
            <w:tcW w:type="dxa" w:w="1323"/>
            <w:vAlign w:val="center"/>
          </w:tcPr>
          <w:p>
            <w:pPr>
              <w:spacing w:line="276" w:lineRule="auto" w:before="40" w:after="40"/>
            </w:pPr>
            <w:r>
              <w:rPr>
                <w:rFonts w:ascii="Times New Roman" w:hAnsi="Times New Roman"/>
                <w:sz w:val="19"/>
              </w:rPr>
              <w:t>101.87</w:t>
            </w:r>
          </w:p>
        </w:tc>
        <w:tc>
          <w:tcPr>
            <w:tcW w:type="dxa" w:w="1323"/>
            <w:vAlign w:val="center"/>
          </w:tcPr>
          <w:p>
            <w:pPr>
              <w:spacing w:line="276" w:lineRule="auto" w:before="40" w:after="40"/>
            </w:pPr>
            <w:r>
              <w:rPr>
                <w:rFonts w:ascii="Times New Roman" w:hAnsi="Times New Roman"/>
                <w:sz w:val="19"/>
              </w:rPr>
              <w:t>69.03</w:t>
            </w:r>
          </w:p>
        </w:tc>
        <w:tc>
          <w:tcPr>
            <w:tcW w:type="dxa" w:w="1323"/>
            <w:vAlign w:val="center"/>
          </w:tcPr>
          <w:p>
            <w:pPr>
              <w:spacing w:line="276" w:lineRule="auto" w:before="40" w:after="40"/>
            </w:pPr>
            <w:r>
              <w:rPr>
                <w:rFonts w:ascii="Times New Roman" w:hAnsi="Times New Roman"/>
                <w:sz w:val="19"/>
              </w:rPr>
              <w:t>294.33</w:t>
            </w:r>
          </w:p>
        </w:tc>
      </w:tr>
      <w:tr>
        <w:tc>
          <w:tcPr>
            <w:tcW w:type="dxa" w:w="1323"/>
            <w:vAlign w:val="center"/>
          </w:tcPr>
          <w:p>
            <w:pPr>
              <w:spacing w:line="276" w:lineRule="auto" w:before="40" w:after="40"/>
            </w:pPr>
            <w:r>
              <w:rPr>
                <w:rFonts w:ascii="Times New Roman" w:hAnsi="Times New Roman"/>
                <w:sz w:val="19"/>
              </w:rPr>
              <w:t>Low</w:t>
            </w:r>
          </w:p>
        </w:tc>
        <w:tc>
          <w:tcPr>
            <w:tcW w:type="dxa" w:w="1323"/>
            <w:vAlign w:val="center"/>
          </w:tcPr>
          <w:p>
            <w:pPr>
              <w:spacing w:line="276" w:lineRule="auto" w:before="40" w:after="40"/>
            </w:pPr>
            <w:r>
              <w:rPr>
                <w:rFonts w:ascii="Times New Roman" w:hAnsi="Times New Roman"/>
                <w:sz w:val="19"/>
              </w:rPr>
              <w:t>2.54</w:t>
            </w:r>
          </w:p>
        </w:tc>
        <w:tc>
          <w:tcPr>
            <w:tcW w:type="dxa" w:w="1323"/>
            <w:vAlign w:val="center"/>
          </w:tcPr>
          <w:p>
            <w:pPr>
              <w:spacing w:line="276" w:lineRule="auto" w:before="40" w:after="40"/>
            </w:pPr>
            <w:r>
              <w:rPr>
                <w:rFonts w:ascii="Times New Roman" w:hAnsi="Times New Roman"/>
                <w:sz w:val="19"/>
              </w:rPr>
              <w:t>87.72</w:t>
            </w:r>
          </w:p>
        </w:tc>
        <w:tc>
          <w:tcPr>
            <w:tcW w:type="dxa" w:w="1323"/>
            <w:vAlign w:val="center"/>
          </w:tcPr>
          <w:p>
            <w:pPr>
              <w:spacing w:line="276" w:lineRule="auto" w:before="40" w:after="40"/>
            </w:pPr>
            <w:r>
              <w:rPr>
                <w:rFonts w:ascii="Times New Roman" w:hAnsi="Times New Roman"/>
                <w:sz w:val="19"/>
              </w:rPr>
              <w:t>94.89</w:t>
            </w:r>
          </w:p>
        </w:tc>
        <w:tc>
          <w:tcPr>
            <w:tcW w:type="dxa" w:w="1323"/>
            <w:vAlign w:val="center"/>
          </w:tcPr>
          <w:p>
            <w:pPr>
              <w:spacing w:line="276" w:lineRule="auto" w:before="40" w:after="40"/>
            </w:pPr>
            <w:r>
              <w:rPr>
                <w:rFonts w:ascii="Times New Roman" w:hAnsi="Times New Roman"/>
                <w:sz w:val="19"/>
              </w:rPr>
              <w:t>64.55</w:t>
            </w:r>
          </w:p>
        </w:tc>
        <w:tc>
          <w:tcPr>
            <w:tcW w:type="dxa" w:w="1323"/>
            <w:vAlign w:val="center"/>
          </w:tcPr>
          <w:p>
            <w:pPr>
              <w:spacing w:line="276" w:lineRule="auto" w:before="40" w:after="40"/>
            </w:pPr>
            <w:r>
              <w:rPr>
                <w:rFonts w:ascii="Times New Roman" w:hAnsi="Times New Roman"/>
                <w:sz w:val="19"/>
              </w:rPr>
              <w:t>253.19</w:t>
            </w:r>
          </w:p>
        </w:tc>
      </w:tr>
      <w:tr>
        <w:tc>
          <w:tcPr>
            <w:tcW w:type="dxa" w:w="1323"/>
            <w:vAlign w:val="center"/>
          </w:tcPr>
          <w:p>
            <w:pPr>
              <w:spacing w:line="276" w:lineRule="auto" w:before="40" w:after="40"/>
            </w:pPr>
            <w:r>
              <w:rPr>
                <w:rFonts w:ascii="Times New Roman" w:hAnsi="Times New Roman"/>
                <w:sz w:val="19"/>
              </w:rPr>
              <w:t>EMA_14</w:t>
            </w:r>
          </w:p>
        </w:tc>
        <w:tc>
          <w:tcPr>
            <w:tcW w:type="dxa" w:w="1323"/>
            <w:vAlign w:val="center"/>
          </w:tcPr>
          <w:p>
            <w:pPr>
              <w:spacing w:line="276" w:lineRule="auto" w:before="40" w:after="40"/>
            </w:pPr>
            <w:r>
              <w:rPr>
                <w:rFonts w:ascii="Times New Roman" w:hAnsi="Times New Roman"/>
                <w:sz w:val="19"/>
              </w:rPr>
              <w:t>3.28</w:t>
            </w:r>
          </w:p>
        </w:tc>
        <w:tc>
          <w:tcPr>
            <w:tcW w:type="dxa" w:w="1323"/>
            <w:vAlign w:val="center"/>
          </w:tcPr>
          <w:p>
            <w:pPr>
              <w:spacing w:line="276" w:lineRule="auto" w:before="40" w:after="40"/>
            </w:pPr>
            <w:r>
              <w:rPr>
                <w:rFonts w:ascii="Times New Roman" w:hAnsi="Times New Roman"/>
                <w:sz w:val="19"/>
              </w:rPr>
              <w:t>91.64</w:t>
            </w:r>
          </w:p>
        </w:tc>
        <w:tc>
          <w:tcPr>
            <w:tcW w:type="dxa" w:w="1323"/>
            <w:vAlign w:val="center"/>
          </w:tcPr>
          <w:p>
            <w:pPr>
              <w:spacing w:line="276" w:lineRule="auto" w:before="40" w:after="40"/>
            </w:pPr>
            <w:r>
              <w:rPr>
                <w:rFonts w:ascii="Times New Roman" w:hAnsi="Times New Roman"/>
                <w:sz w:val="19"/>
              </w:rPr>
              <w:t>98.07</w:t>
            </w:r>
          </w:p>
        </w:tc>
        <w:tc>
          <w:tcPr>
            <w:tcW w:type="dxa" w:w="1323"/>
            <w:vAlign w:val="center"/>
          </w:tcPr>
          <w:p>
            <w:pPr>
              <w:spacing w:line="276" w:lineRule="auto" w:before="40" w:after="40"/>
            </w:pPr>
            <w:r>
              <w:rPr>
                <w:rFonts w:ascii="Times New Roman" w:hAnsi="Times New Roman"/>
                <w:sz w:val="19"/>
              </w:rPr>
              <w:t>66.20</w:t>
            </w:r>
          </w:p>
        </w:tc>
        <w:tc>
          <w:tcPr>
            <w:tcW w:type="dxa" w:w="1323"/>
            <w:vAlign w:val="center"/>
          </w:tcPr>
          <w:p>
            <w:pPr>
              <w:spacing w:line="276" w:lineRule="auto" w:before="40" w:after="40"/>
            </w:pPr>
            <w:r>
              <w:rPr>
                <w:rFonts w:ascii="Times New Roman" w:hAnsi="Times New Roman"/>
                <w:sz w:val="19"/>
              </w:rPr>
              <w:t>237.15</w:t>
            </w:r>
          </w:p>
        </w:tc>
      </w:tr>
      <w:tr>
        <w:tc>
          <w:tcPr>
            <w:tcW w:type="dxa" w:w="1323"/>
            <w:vAlign w:val="center"/>
          </w:tcPr>
          <w:p>
            <w:pPr>
              <w:spacing w:line="276" w:lineRule="auto" w:before="40" w:after="40"/>
            </w:pPr>
            <w:r>
              <w:rPr>
                <w:rFonts w:ascii="Times New Roman" w:hAnsi="Times New Roman"/>
                <w:sz w:val="19"/>
              </w:rPr>
              <w:t>EMA_50</w:t>
            </w:r>
          </w:p>
        </w:tc>
        <w:tc>
          <w:tcPr>
            <w:tcW w:type="dxa" w:w="1323"/>
            <w:vAlign w:val="center"/>
          </w:tcPr>
          <w:p>
            <w:pPr>
              <w:spacing w:line="276" w:lineRule="auto" w:before="40" w:after="40"/>
            </w:pPr>
            <w:r>
              <w:rPr>
                <w:rFonts w:ascii="Times New Roman" w:hAnsi="Times New Roman"/>
                <w:sz w:val="19"/>
              </w:rPr>
              <w:t>2.56</w:t>
            </w:r>
          </w:p>
        </w:tc>
        <w:tc>
          <w:tcPr>
            <w:tcW w:type="dxa" w:w="1323"/>
            <w:vAlign w:val="center"/>
          </w:tcPr>
          <w:p>
            <w:pPr>
              <w:spacing w:line="276" w:lineRule="auto" w:before="40" w:after="40"/>
            </w:pPr>
            <w:r>
              <w:rPr>
                <w:rFonts w:ascii="Times New Roman" w:hAnsi="Times New Roman"/>
                <w:sz w:val="19"/>
              </w:rPr>
              <w:t>91.94</w:t>
            </w:r>
          </w:p>
        </w:tc>
        <w:tc>
          <w:tcPr>
            <w:tcW w:type="dxa" w:w="1323"/>
            <w:vAlign w:val="center"/>
          </w:tcPr>
          <w:p>
            <w:pPr>
              <w:spacing w:line="276" w:lineRule="auto" w:before="40" w:after="40"/>
            </w:pPr>
            <w:r>
              <w:rPr>
                <w:rFonts w:ascii="Times New Roman" w:hAnsi="Times New Roman"/>
                <w:sz w:val="19"/>
              </w:rPr>
              <w:t>97.24</w:t>
            </w:r>
          </w:p>
        </w:tc>
        <w:tc>
          <w:tcPr>
            <w:tcW w:type="dxa" w:w="1323"/>
            <w:vAlign w:val="center"/>
          </w:tcPr>
          <w:p>
            <w:pPr>
              <w:spacing w:line="276" w:lineRule="auto" w:before="40" w:after="40"/>
            </w:pPr>
            <w:r>
              <w:rPr>
                <w:rFonts w:ascii="Times New Roman" w:hAnsi="Times New Roman"/>
                <w:sz w:val="19"/>
              </w:rPr>
              <w:t>64.51</w:t>
            </w:r>
          </w:p>
        </w:tc>
        <w:tc>
          <w:tcPr>
            <w:tcW w:type="dxa" w:w="1323"/>
            <w:vAlign w:val="center"/>
          </w:tcPr>
          <w:p>
            <w:pPr>
              <w:spacing w:line="276" w:lineRule="auto" w:before="40" w:after="40"/>
            </w:pPr>
            <w:r>
              <w:rPr>
                <w:rFonts w:ascii="Times New Roman" w:hAnsi="Times New Roman"/>
                <w:sz w:val="19"/>
              </w:rPr>
              <w:t>220.31</w:t>
            </w:r>
          </w:p>
        </w:tc>
      </w:tr>
      <w:tr>
        <w:tc>
          <w:tcPr>
            <w:tcW w:type="dxa" w:w="1323"/>
            <w:vAlign w:val="center"/>
          </w:tcPr>
          <w:p>
            <w:pPr>
              <w:spacing w:line="276" w:lineRule="auto" w:before="40" w:after="40"/>
            </w:pPr>
            <w:r>
              <w:rPr>
                <w:rFonts w:ascii="Times New Roman" w:hAnsi="Times New Roman"/>
                <w:sz w:val="19"/>
              </w:rPr>
              <w:t>RSI_14</w:t>
            </w:r>
          </w:p>
        </w:tc>
        <w:tc>
          <w:tcPr>
            <w:tcW w:type="dxa" w:w="1323"/>
            <w:vAlign w:val="center"/>
          </w:tcPr>
          <w:p>
            <w:pPr>
              <w:spacing w:line="276" w:lineRule="auto" w:before="40" w:after="40"/>
            </w:pPr>
            <w:r>
              <w:rPr>
                <w:rFonts w:ascii="Times New Roman" w:hAnsi="Times New Roman"/>
                <w:sz w:val="19"/>
              </w:rPr>
              <w:t>15.55</w:t>
            </w:r>
          </w:p>
        </w:tc>
        <w:tc>
          <w:tcPr>
            <w:tcW w:type="dxa" w:w="1323"/>
            <w:vAlign w:val="center"/>
          </w:tcPr>
          <w:p>
            <w:pPr>
              <w:spacing w:line="276" w:lineRule="auto" w:before="40" w:after="40"/>
            </w:pPr>
            <w:r>
              <w:rPr>
                <w:rFonts w:ascii="Times New Roman" w:hAnsi="Times New Roman"/>
                <w:sz w:val="19"/>
              </w:rPr>
              <w:t>49.95</w:t>
            </w:r>
          </w:p>
        </w:tc>
        <w:tc>
          <w:tcPr>
            <w:tcW w:type="dxa" w:w="1323"/>
            <w:vAlign w:val="center"/>
          </w:tcPr>
          <w:p>
            <w:pPr>
              <w:spacing w:line="276" w:lineRule="auto" w:before="40" w:after="40"/>
            </w:pPr>
            <w:r>
              <w:rPr>
                <w:rFonts w:ascii="Times New Roman" w:hAnsi="Times New Roman"/>
                <w:sz w:val="19"/>
              </w:rPr>
              <w:t>51.53</w:t>
            </w:r>
          </w:p>
        </w:tc>
        <w:tc>
          <w:tcPr>
            <w:tcW w:type="dxa" w:w="1323"/>
            <w:vAlign w:val="center"/>
          </w:tcPr>
          <w:p>
            <w:pPr>
              <w:spacing w:line="276" w:lineRule="auto" w:before="40" w:after="40"/>
            </w:pPr>
            <w:r>
              <w:rPr>
                <w:rFonts w:ascii="Times New Roman" w:hAnsi="Times New Roman"/>
                <w:sz w:val="19"/>
              </w:rPr>
              <w:t>13.26</w:t>
            </w:r>
          </w:p>
        </w:tc>
        <w:tc>
          <w:tcPr>
            <w:tcW w:type="dxa" w:w="1323"/>
            <w:vAlign w:val="center"/>
          </w:tcPr>
          <w:p>
            <w:pPr>
              <w:spacing w:line="276" w:lineRule="auto" w:before="40" w:after="40"/>
            </w:pPr>
            <w:r>
              <w:rPr>
                <w:rFonts w:ascii="Times New Roman" w:hAnsi="Times New Roman"/>
                <w:sz w:val="19"/>
              </w:rPr>
              <w:t>90.04</w:t>
            </w:r>
          </w:p>
        </w:tc>
      </w:tr>
      <w:tr>
        <w:tc>
          <w:tcPr>
            <w:tcW w:type="dxa" w:w="1323"/>
            <w:vAlign w:val="center"/>
          </w:tcPr>
          <w:p>
            <w:pPr>
              <w:spacing w:line="276" w:lineRule="auto" w:before="40" w:after="40"/>
            </w:pPr>
            <w:r>
              <w:rPr>
                <w:rFonts w:ascii="Times New Roman" w:hAnsi="Times New Roman"/>
                <w:sz w:val="19"/>
              </w:rPr>
              <w:t>MACD</w:t>
            </w:r>
          </w:p>
        </w:tc>
        <w:tc>
          <w:tcPr>
            <w:tcW w:type="dxa" w:w="1323"/>
            <w:vAlign w:val="center"/>
          </w:tcPr>
          <w:p>
            <w:pPr>
              <w:spacing w:line="276" w:lineRule="auto" w:before="40" w:after="40"/>
            </w:pPr>
            <w:r>
              <w:rPr>
                <w:rFonts w:ascii="Times New Roman" w:hAnsi="Times New Roman"/>
                <w:sz w:val="19"/>
              </w:rPr>
              <w:t>-19.64</w:t>
            </w:r>
          </w:p>
        </w:tc>
        <w:tc>
          <w:tcPr>
            <w:tcW w:type="dxa" w:w="1323"/>
            <w:vAlign w:val="center"/>
          </w:tcPr>
          <w:p>
            <w:pPr>
              <w:spacing w:line="276" w:lineRule="auto" w:before="40" w:after="40"/>
            </w:pPr>
            <w:r>
              <w:rPr>
                <w:rFonts w:ascii="Times New Roman" w:hAnsi="Times New Roman"/>
                <w:sz w:val="19"/>
              </w:rPr>
              <w:t>0.03</w:t>
            </w:r>
          </w:p>
        </w:tc>
        <w:tc>
          <w:tcPr>
            <w:tcW w:type="dxa" w:w="1323"/>
            <w:vAlign w:val="center"/>
          </w:tcPr>
          <w:p>
            <w:pPr>
              <w:spacing w:line="276" w:lineRule="auto" w:before="40" w:after="40"/>
            </w:pPr>
            <w:r>
              <w:rPr>
                <w:rFonts w:ascii="Times New Roman" w:hAnsi="Times New Roman"/>
                <w:sz w:val="19"/>
              </w:rPr>
              <w:t>0.35</w:t>
            </w:r>
          </w:p>
        </w:tc>
        <w:tc>
          <w:tcPr>
            <w:tcW w:type="dxa" w:w="1323"/>
            <w:vAlign w:val="center"/>
          </w:tcPr>
          <w:p>
            <w:pPr>
              <w:spacing w:line="276" w:lineRule="auto" w:before="40" w:after="40"/>
            </w:pPr>
            <w:r>
              <w:rPr>
                <w:rFonts w:ascii="Times New Roman" w:hAnsi="Times New Roman"/>
                <w:sz w:val="19"/>
              </w:rPr>
              <w:t>6.51</w:t>
            </w:r>
          </w:p>
        </w:tc>
        <w:tc>
          <w:tcPr>
            <w:tcW w:type="dxa" w:w="1323"/>
            <w:vAlign w:val="center"/>
          </w:tcPr>
          <w:p>
            <w:pPr>
              <w:spacing w:line="276" w:lineRule="auto" w:before="40" w:after="40"/>
            </w:pPr>
            <w:r>
              <w:rPr>
                <w:rFonts w:ascii="Times New Roman" w:hAnsi="Times New Roman"/>
                <w:sz w:val="19"/>
              </w:rPr>
              <w:t>32.24</w:t>
            </w:r>
          </w:p>
        </w:tc>
      </w:tr>
      <w:tr>
        <w:tc>
          <w:tcPr>
            <w:tcW w:type="dxa" w:w="1323"/>
            <w:vAlign w:val="center"/>
          </w:tcPr>
          <w:p>
            <w:pPr>
              <w:spacing w:line="276" w:lineRule="auto" w:before="40" w:after="40"/>
            </w:pPr>
            <w:r>
              <w:rPr>
                <w:rFonts w:ascii="Times New Roman" w:hAnsi="Times New Roman"/>
                <w:sz w:val="19"/>
              </w:rPr>
              <w:t>BB_Upper</w:t>
            </w:r>
          </w:p>
        </w:tc>
        <w:tc>
          <w:tcPr>
            <w:tcW w:type="dxa" w:w="1323"/>
            <w:vAlign w:val="center"/>
          </w:tcPr>
          <w:p>
            <w:pPr>
              <w:spacing w:line="276" w:lineRule="auto" w:before="40" w:after="40"/>
            </w:pPr>
            <w:r>
              <w:rPr>
                <w:rFonts w:ascii="Times New Roman" w:hAnsi="Times New Roman"/>
                <w:sz w:val="19"/>
              </w:rPr>
              <w:t>4.03</w:t>
            </w:r>
          </w:p>
        </w:tc>
        <w:tc>
          <w:tcPr>
            <w:tcW w:type="dxa" w:w="1323"/>
            <w:vAlign w:val="center"/>
          </w:tcPr>
          <w:p>
            <w:pPr>
              <w:spacing w:line="276" w:lineRule="auto" w:before="40" w:after="40"/>
            </w:pPr>
            <w:r>
              <w:rPr>
                <w:rFonts w:ascii="Times New Roman" w:hAnsi="Times New Roman"/>
                <w:sz w:val="19"/>
              </w:rPr>
              <w:t>106.30</w:t>
            </w:r>
          </w:p>
        </w:tc>
        <w:tc>
          <w:tcPr>
            <w:tcW w:type="dxa" w:w="1323"/>
            <w:vAlign w:val="center"/>
          </w:tcPr>
          <w:p>
            <w:pPr>
              <w:spacing w:line="276" w:lineRule="auto" w:before="40" w:after="40"/>
            </w:pPr>
            <w:r>
              <w:rPr>
                <w:rFonts w:ascii="Times New Roman" w:hAnsi="Times New Roman"/>
                <w:sz w:val="19"/>
              </w:rPr>
              <w:t>114.00</w:t>
            </w:r>
          </w:p>
        </w:tc>
        <w:tc>
          <w:tcPr>
            <w:tcW w:type="dxa" w:w="1323"/>
            <w:vAlign w:val="center"/>
          </w:tcPr>
          <w:p>
            <w:pPr>
              <w:spacing w:line="276" w:lineRule="auto" w:before="40" w:after="40"/>
            </w:pPr>
            <w:r>
              <w:rPr>
                <w:rFonts w:ascii="Times New Roman" w:hAnsi="Times New Roman"/>
                <w:sz w:val="19"/>
              </w:rPr>
              <w:t>76.61</w:t>
            </w:r>
          </w:p>
        </w:tc>
        <w:tc>
          <w:tcPr>
            <w:tcW w:type="dxa" w:w="1323"/>
            <w:vAlign w:val="center"/>
          </w:tcPr>
          <w:p>
            <w:pPr>
              <w:spacing w:line="276" w:lineRule="auto" w:before="40" w:after="40"/>
            </w:pPr>
            <w:r>
              <w:rPr>
                <w:rFonts w:ascii="Times New Roman" w:hAnsi="Times New Roman"/>
                <w:sz w:val="19"/>
              </w:rPr>
              <w:t>282.97</w:t>
            </w:r>
          </w:p>
        </w:tc>
      </w:tr>
      <w:tr>
        <w:tc>
          <w:tcPr>
            <w:tcW w:type="dxa" w:w="1323"/>
            <w:vAlign w:val="center"/>
          </w:tcPr>
          <w:p>
            <w:pPr>
              <w:spacing w:line="276" w:lineRule="auto" w:before="40" w:after="40"/>
            </w:pPr>
            <w:r>
              <w:rPr>
                <w:rFonts w:ascii="Times New Roman" w:hAnsi="Times New Roman"/>
                <w:sz w:val="19"/>
              </w:rPr>
              <w:t>BB_Lower</w:t>
            </w:r>
          </w:p>
        </w:tc>
        <w:tc>
          <w:tcPr>
            <w:tcW w:type="dxa" w:w="1323"/>
            <w:vAlign w:val="center"/>
          </w:tcPr>
          <w:p>
            <w:pPr>
              <w:spacing w:line="276" w:lineRule="auto" w:before="40" w:after="40"/>
            </w:pPr>
            <w:r>
              <w:rPr>
                <w:rFonts w:ascii="Times New Roman" w:hAnsi="Times New Roman"/>
                <w:sz w:val="19"/>
              </w:rPr>
              <w:t>1.58</w:t>
            </w:r>
          </w:p>
        </w:tc>
        <w:tc>
          <w:tcPr>
            <w:tcW w:type="dxa" w:w="1323"/>
            <w:vAlign w:val="center"/>
          </w:tcPr>
          <w:p>
            <w:pPr>
              <w:spacing w:line="276" w:lineRule="auto" w:before="40" w:after="40"/>
            </w:pPr>
            <w:r>
              <w:rPr>
                <w:rFonts w:ascii="Times New Roman" w:hAnsi="Times New Roman"/>
                <w:sz w:val="19"/>
              </w:rPr>
              <w:t>78.45</w:t>
            </w:r>
          </w:p>
        </w:tc>
        <w:tc>
          <w:tcPr>
            <w:tcW w:type="dxa" w:w="1323"/>
            <w:vAlign w:val="center"/>
          </w:tcPr>
          <w:p>
            <w:pPr>
              <w:spacing w:line="276" w:lineRule="auto" w:before="40" w:after="40"/>
            </w:pPr>
            <w:r>
              <w:rPr>
                <w:rFonts w:ascii="Times New Roman" w:hAnsi="Times New Roman"/>
                <w:sz w:val="19"/>
              </w:rPr>
              <w:t>81.81</w:t>
            </w:r>
          </w:p>
        </w:tc>
        <w:tc>
          <w:tcPr>
            <w:tcW w:type="dxa" w:w="1323"/>
            <w:vAlign w:val="center"/>
          </w:tcPr>
          <w:p>
            <w:pPr>
              <w:spacing w:line="276" w:lineRule="auto" w:before="40" w:after="40"/>
            </w:pPr>
            <w:r>
              <w:rPr>
                <w:rFonts w:ascii="Times New Roman" w:hAnsi="Times New Roman"/>
                <w:sz w:val="19"/>
              </w:rPr>
              <w:t>57.31</w:t>
            </w:r>
          </w:p>
        </w:tc>
        <w:tc>
          <w:tcPr>
            <w:tcW w:type="dxa" w:w="1323"/>
            <w:vAlign w:val="center"/>
          </w:tcPr>
          <w:p>
            <w:pPr>
              <w:spacing w:line="276" w:lineRule="auto" w:before="40" w:after="40"/>
            </w:pPr>
            <w:r>
              <w:rPr>
                <w:rFonts w:ascii="Times New Roman" w:hAnsi="Times New Roman"/>
                <w:sz w:val="19"/>
              </w:rPr>
              <w:t>221.89</w:t>
            </w:r>
          </w:p>
        </w:tc>
      </w:tr>
      <w:tr>
        <w:tc>
          <w:tcPr>
            <w:tcW w:type="dxa" w:w="1323"/>
            <w:vAlign w:val="center"/>
          </w:tcPr>
          <w:p>
            <w:pPr>
              <w:spacing w:line="276" w:lineRule="auto" w:before="40" w:after="40"/>
            </w:pPr>
            <w:r>
              <w:rPr>
                <w:rFonts w:ascii="Times New Roman" w:hAnsi="Times New Roman"/>
                <w:sz w:val="19"/>
              </w:rPr>
              <w:t>ATR_14</w:t>
            </w:r>
          </w:p>
        </w:tc>
        <w:tc>
          <w:tcPr>
            <w:tcW w:type="dxa" w:w="1323"/>
            <w:vAlign w:val="center"/>
          </w:tcPr>
          <w:p>
            <w:pPr>
              <w:spacing w:line="276" w:lineRule="auto" w:before="40" w:after="40"/>
            </w:pPr>
            <w:r>
              <w:rPr>
                <w:rFonts w:ascii="Times New Roman" w:hAnsi="Times New Roman"/>
                <w:sz w:val="19"/>
              </w:rPr>
              <w:t>0.48</w:t>
            </w:r>
          </w:p>
        </w:tc>
        <w:tc>
          <w:tcPr>
            <w:tcW w:type="dxa" w:w="1323"/>
            <w:vAlign w:val="center"/>
          </w:tcPr>
          <w:p>
            <w:pPr>
              <w:spacing w:line="276" w:lineRule="auto" w:before="40" w:after="40"/>
            </w:pPr>
            <w:r>
              <w:rPr>
                <w:rFonts w:ascii="Times New Roman" w:hAnsi="Times New Roman"/>
                <w:sz w:val="19"/>
              </w:rPr>
              <w:t>5.94</w:t>
            </w:r>
          </w:p>
        </w:tc>
        <w:tc>
          <w:tcPr>
            <w:tcW w:type="dxa" w:w="1323"/>
            <w:vAlign w:val="center"/>
          </w:tcPr>
          <w:p>
            <w:pPr>
              <w:spacing w:line="276" w:lineRule="auto" w:before="40" w:after="40"/>
            </w:pPr>
            <w:r>
              <w:rPr>
                <w:rFonts w:ascii="Times New Roman" w:hAnsi="Times New Roman"/>
                <w:sz w:val="19"/>
              </w:rPr>
              <w:t>6.97</w:t>
            </w:r>
          </w:p>
        </w:tc>
        <w:tc>
          <w:tcPr>
            <w:tcW w:type="dxa" w:w="1323"/>
            <w:vAlign w:val="center"/>
          </w:tcPr>
          <w:p>
            <w:pPr>
              <w:spacing w:line="276" w:lineRule="auto" w:before="40" w:after="40"/>
            </w:pPr>
            <w:r>
              <w:rPr>
                <w:rFonts w:ascii="Times New Roman" w:hAnsi="Times New Roman"/>
                <w:sz w:val="19"/>
              </w:rPr>
              <w:t>5.30</w:t>
            </w:r>
          </w:p>
        </w:tc>
        <w:tc>
          <w:tcPr>
            <w:tcW w:type="dxa" w:w="1323"/>
            <w:vAlign w:val="center"/>
          </w:tcPr>
          <w:p>
            <w:pPr>
              <w:spacing w:line="276" w:lineRule="auto" w:before="40" w:after="40"/>
            </w:pPr>
            <w:r>
              <w:rPr>
                <w:rFonts w:ascii="Times New Roman" w:hAnsi="Times New Roman"/>
                <w:sz w:val="19"/>
              </w:rPr>
              <w:t>26.69</w:t>
            </w:r>
          </w:p>
        </w:tc>
      </w:tr>
    </w:tbl>
    <w:p>
      <w:pPr>
        <w:spacing w:line="360" w:lineRule="auto" w:after="120"/>
        <w:ind w:firstLine="567"/>
        <w:jc w:val="both"/>
      </w:pPr>
      <w:r>
        <w:rPr>
          <w:rFonts w:ascii="Times New Roman" w:hAnsi="Times New Roman"/>
          <w:b w:val="0"/>
          <w:i w:val="0"/>
          <w:sz w:val="24"/>
        </w:rPr>
        <w:t>Berdasarkan Tabel 2.2 di atas, dapat dianalisis bahwa harga penutupan (Close) Solana memiliki rata-rata sebesar 98,42 USD, nilai tengah (median) sebesar 96,53 USD, serta simpangan baku yang tinggi sebesar 66,82 USD dengan rentang antara 2,99 USD hingga 261,87 USD. Tingginya rasio simpangan baku terhadap rata-rata harga tersebut mengonfirmasi sifat non-stasioner dan volatilitas ekstrem pasar Solana, yang tercermin pula pada rentang pita BB_Upper (hingga 270,56 USD) dan indikator ATR_14 (hingga 23,50 USD). Seluruh statistik pada Tabel 2.2 membuktikan bahwa dataset yang dihimpun mencakup siklus pasar naik (bullish), pasar turun (bearish), dan konsolidasi secara lengkap.</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