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80"/>
        <w:jc w:val="center"/>
      </w:pPr>
      <w:r>
        <w:rPr>
          <w:rFonts w:ascii="Times New Roman" w:hAnsi="Times New Roman"/>
          <w:b/>
          <w:sz w:val="28"/>
        </w:rPr>
        <w:t>ANALISIS KESENJANGAN PENELITIAN (RESEARCH GAP) DAN KEBARUAN RISET</w:t>
      </w:r>
    </w:p>
    <w:p>
      <w:pPr>
        <w:spacing w:line="276" w:lineRule="auto" w:after="240"/>
        <w:jc w:val="center"/>
      </w:pPr>
      <w:r>
        <w:rPr>
          <w:rFonts w:ascii="Times New Roman" w:hAnsi="Times New Roman"/>
          <w:i/>
          <w:sz w:val="22"/>
        </w:rPr>
        <w:t>Prediksi Pergerakan Harga Solana Menggunakan Model Hibrida CNN-BiLSTM dengan Mekanisme Attention Berbasis Indikator Teknikal</w:t>
        <w:br/>
        <w:t>Peneliti: Muhammad Bazwa Arigusna (NPM. 23081010250)</w:t>
        <w:br/>
        <w:t>Dosen Pengampu / Pembimbing: Dr. Basuki Rahmat, S.Si., MT.</w:t>
        <w:br/>
        <w:t>Program Studi Informatika — Fakultas Ilmu Komputer, UPN "Veteran" Jawa Timur</w:t>
      </w:r>
    </w:p>
    <w:p>
      <w:pPr>
        <w:keepNext/>
        <w:spacing w:before="200" w:after="80" w:line="360" w:lineRule="auto"/>
      </w:pPr>
      <w:r>
        <w:rPr>
          <w:rFonts w:ascii="Times New Roman" w:hAnsi="Times New Roman"/>
          <w:b/>
          <w:i w:val="0"/>
          <w:sz w:val="28"/>
        </w:rPr>
        <w:t>1. Latar Belakang Kesenjangan Penelitian (</w:t>
      </w:r>
      <w:r>
        <w:rPr>
          <w:rFonts w:ascii="Times New Roman" w:hAnsi="Times New Roman"/>
          <w:b/>
          <w:i/>
          <w:sz w:val="28"/>
        </w:rPr>
        <w:t>Research Gap</w:t>
      </w:r>
      <w:r>
        <w:rPr>
          <w:rFonts w:ascii="Times New Roman" w:hAnsi="Times New Roman"/>
          <w:b/>
          <w:i w:val="0"/>
          <w:sz w:val="28"/>
        </w:rPr>
        <w:t>)</w:t>
      </w:r>
    </w:p>
    <w:p>
      <w:pPr>
        <w:spacing w:line="360" w:lineRule="auto" w:after="120"/>
        <w:ind w:firstLine="567"/>
        <w:jc w:val="both"/>
      </w:pPr>
      <w:r>
        <w:rPr>
          <w:rFonts w:ascii="Times New Roman" w:hAnsi="Times New Roman"/>
          <w:b w:val="0"/>
          <w:i w:val="0"/>
          <w:sz w:val="24"/>
        </w:rPr>
        <w:t xml:space="preserve">Perkembangan pesat arsitektur </w:t>
      </w:r>
      <w:r>
        <w:rPr>
          <w:rFonts w:ascii="Times New Roman" w:hAnsi="Times New Roman"/>
          <w:b w:val="0"/>
          <w:i/>
          <w:sz w:val="24"/>
        </w:rPr>
        <w:t>Deep Learning</w:t>
      </w:r>
      <w:r>
        <w:rPr>
          <w:rFonts w:ascii="Times New Roman" w:hAnsi="Times New Roman"/>
          <w:b w:val="0"/>
          <w:i w:val="0"/>
          <w:sz w:val="24"/>
        </w:rPr>
        <w:t xml:space="preserve"> dalam memodelkan deret waktu finansial telah mendorong banyak peneliti untuk menerapkan jaringan saraf berulang seperti </w:t>
      </w:r>
      <w:r>
        <w:rPr>
          <w:rFonts w:ascii="Times New Roman" w:hAnsi="Times New Roman"/>
          <w:b w:val="0"/>
          <w:i/>
          <w:sz w:val="24"/>
        </w:rPr>
        <w:t>Long Short-Term Memory</w:t>
      </w:r>
      <w:r>
        <w:rPr>
          <w:rFonts w:ascii="Times New Roman" w:hAnsi="Times New Roman"/>
          <w:b w:val="0"/>
          <w:i w:val="0"/>
          <w:sz w:val="24"/>
        </w:rPr>
        <w:t xml:space="preserve"> (LSTM) dan </w:t>
      </w:r>
      <w:r>
        <w:rPr>
          <w:rFonts w:ascii="Times New Roman" w:hAnsi="Times New Roman"/>
          <w:b w:val="0"/>
          <w:i/>
          <w:sz w:val="24"/>
        </w:rPr>
        <w:t>Gated Recurrent Unit</w:t>
      </w:r>
      <w:r>
        <w:rPr>
          <w:rFonts w:ascii="Times New Roman" w:hAnsi="Times New Roman"/>
          <w:b w:val="0"/>
          <w:i w:val="0"/>
          <w:sz w:val="24"/>
        </w:rPr>
        <w:t xml:space="preserve"> (GRU) pada pasar aset kripto [1], [2], [11], [12]. Meskipun demikian, hasil telaah kritis terhadap 48 literatur ilmiah dalam lima tahun terakhir (2021–2026) mengungkap empat kesenjangan penelitian (</w:t>
      </w:r>
      <w:r>
        <w:rPr>
          <w:rFonts w:ascii="Times New Roman" w:hAnsi="Times New Roman"/>
          <w:b w:val="0"/>
          <w:i/>
          <w:sz w:val="24"/>
        </w:rPr>
        <w:t>research gaps</w:t>
      </w:r>
      <w:r>
        <w:rPr>
          <w:rFonts w:ascii="Times New Roman" w:hAnsi="Times New Roman"/>
          <w:b w:val="0"/>
          <w:i w:val="0"/>
          <w:sz w:val="24"/>
        </w:rPr>
        <w:t xml:space="preserve">) mendasar yang belum terjawab secara tuntas, khususnya ketika diterapkan pada ekosistem </w:t>
      </w:r>
      <w:r>
        <w:rPr>
          <w:rFonts w:ascii="Times New Roman" w:hAnsi="Times New Roman"/>
          <w:b w:val="0"/>
          <w:i/>
          <w:sz w:val="24"/>
        </w:rPr>
        <w:t>blockchain</w:t>
      </w:r>
      <w:r>
        <w:rPr>
          <w:rFonts w:ascii="Times New Roman" w:hAnsi="Times New Roman"/>
          <w:b w:val="0"/>
          <w:i w:val="0"/>
          <w:sz w:val="24"/>
        </w:rPr>
        <w:t xml:space="preserve"> berkecepatan tinggi seperti Solana (SOL):</w:t>
      </w:r>
    </w:p>
    <w:p>
      <w:pPr>
        <w:spacing w:line="360" w:lineRule="auto" w:after="120"/>
        <w:jc w:val="both"/>
      </w:pPr>
      <w:r>
        <w:rPr>
          <w:rFonts w:ascii="Times New Roman" w:hAnsi="Times New Roman"/>
          <w:b/>
          <w:sz w:val="24"/>
        </w:rPr>
        <w:t xml:space="preserve">Kesenjangan 1: Dominasi Pemodelan Univariat pada Karakteristik Volatilitas Ekstrem Solana. </w:t>
      </w:r>
      <w:r>
        <w:rPr>
          <w:rFonts w:ascii="Times New Roman" w:hAnsi="Times New Roman"/>
          <w:b w:val="0"/>
          <w:i w:val="0"/>
          <w:sz w:val="24"/>
        </w:rPr>
        <w:t xml:space="preserve">Sebagian besar penelitian terdahulu mengenai prediksi harga Solana maupun kripto utama masih mengandalkan input univariat berupa harga penutupan historis semata [16], [18], [20] atau hanya mengombinasikan fitur rata-rata bergerak sederhana [17]. Padahal, jaringan Solana yang berbasis konsensus </w:t>
      </w:r>
      <w:r>
        <w:rPr>
          <w:rFonts w:ascii="Times New Roman" w:hAnsi="Times New Roman"/>
          <w:b w:val="0"/>
          <w:i/>
          <w:sz w:val="24"/>
        </w:rPr>
        <w:t>Proof of History</w:t>
      </w:r>
      <w:r>
        <w:rPr>
          <w:rFonts w:ascii="Times New Roman" w:hAnsi="Times New Roman"/>
          <w:b w:val="0"/>
          <w:i w:val="0"/>
          <w:sz w:val="24"/>
        </w:rPr>
        <w:t xml:space="preserve"> (PoH) memiliki dinamika likuiditas DeFi dan lonjakan volume transaksi yang menyebabkan pergerakan harga bersifat sangat non-stasioner [3], [6], [8]. Tanpa integrasi indikator momentum (RSI, MACD), volatilitas pita harga (</w:t>
      </w:r>
      <w:r>
        <w:rPr>
          <w:rFonts w:ascii="Times New Roman" w:hAnsi="Times New Roman"/>
          <w:b w:val="0"/>
          <w:i/>
          <w:sz w:val="24"/>
        </w:rPr>
        <w:t>Bollinger Bands</w:t>
      </w:r>
      <w:r>
        <w:rPr>
          <w:rFonts w:ascii="Times New Roman" w:hAnsi="Times New Roman"/>
          <w:b w:val="0"/>
          <w:i w:val="0"/>
          <w:sz w:val="24"/>
        </w:rPr>
        <w:t>, ATR), dan tekanan volume (OBV), model prediktif kerap mengalami keterlambatan respons (</w:t>
      </w:r>
      <w:r>
        <w:rPr>
          <w:rFonts w:ascii="Times New Roman" w:hAnsi="Times New Roman"/>
          <w:b w:val="0"/>
          <w:i/>
          <w:sz w:val="24"/>
        </w:rPr>
        <w:t>lagging prediction</w:t>
      </w:r>
      <w:r>
        <w:rPr>
          <w:rFonts w:ascii="Times New Roman" w:hAnsi="Times New Roman"/>
          <w:b w:val="0"/>
          <w:i w:val="0"/>
          <w:sz w:val="24"/>
        </w:rPr>
        <w:t>) saat terjadi pembalikan arah pasar [19], [22].</w:t>
      </w:r>
    </w:p>
    <w:p>
      <w:pPr>
        <w:spacing w:line="360" w:lineRule="auto" w:after="120"/>
        <w:jc w:val="both"/>
      </w:pPr>
      <w:r>
        <w:rPr>
          <w:rFonts w:ascii="Times New Roman" w:hAnsi="Times New Roman"/>
          <w:b/>
          <w:sz w:val="24"/>
        </w:rPr>
        <w:t xml:space="preserve">Kesenjangan 2: Keterbatasan Ekstraksi Morfologi Lokal pada Model Sekuensial Murni (LSTM/GRU/BiLSTM). </w:t>
      </w:r>
      <w:r>
        <w:rPr>
          <w:rFonts w:ascii="Times New Roman" w:hAnsi="Times New Roman"/>
          <w:b w:val="0"/>
          <w:i w:val="0"/>
          <w:sz w:val="24"/>
        </w:rPr>
        <w:t>Studi komparatif terkini di berbagai jurnal nasional terakreditasi SINTA 2 dan SINTA 3 [12], [13], [14], [23], [24] maupun jurnal internasional [2], [11] mengevaluasi LSTM, GRU, dan BiLSTM secara langsung pada matriks fitur mentah. Jaringan rekuren murni unggul dalam menangkap ketergantungan temporal berurutan, namun kurang optimal dalam mengekstraksi fitur spasial-lokal lintas indikator pada jendela waktu pendek. Diash dkk. [25] dan Mushliha [26] menunjukkan bahwa penambahan lapisan konvolusi satu dimensi (1D-CNN) di bagian hulu mampu menyaring derau frekuensi tinggi sebelum diproses oleh lapisan BiLSTM.</w:t>
      </w:r>
    </w:p>
    <w:p>
      <w:pPr>
        <w:spacing w:line="360" w:lineRule="auto" w:after="120"/>
        <w:jc w:val="both"/>
      </w:pPr>
      <w:r>
        <w:rPr>
          <w:rFonts w:ascii="Times New Roman" w:hAnsi="Times New Roman"/>
          <w:b/>
          <w:sz w:val="24"/>
        </w:rPr>
        <w:t xml:space="preserve">Kesenjangan 3: Degradasi Informasi Temporal Akibat Ketiadaan Mekanisme Selektivitas Waktu (Attention). </w:t>
      </w:r>
      <w:r>
        <w:rPr>
          <w:rFonts w:ascii="Times New Roman" w:hAnsi="Times New Roman"/>
          <w:b w:val="0"/>
          <w:i w:val="0"/>
          <w:sz w:val="24"/>
        </w:rPr>
        <w:t>Pada arsitektur LSTM, GRU, maupun CNN-BiLSTM konvensional [13], [24], [25], representasi konteks sekuensial sepanjang jendela waktu T dipadatkan ke dalam satu vektor status tersembunyi terakhir (</w:t>
      </w:r>
      <w:r>
        <w:rPr>
          <w:rFonts w:ascii="Times New Roman" w:hAnsi="Times New Roman"/>
          <w:b w:val="0"/>
          <w:i/>
          <w:sz w:val="24"/>
        </w:rPr>
        <w:t>last hidden state</w:t>
      </w:r>
      <w:r>
        <w:rPr>
          <w:rFonts w:ascii="Times New Roman" w:hAnsi="Times New Roman"/>
          <w:b w:val="0"/>
          <w:i w:val="0"/>
          <w:sz w:val="24"/>
        </w:rPr>
        <w:t xml:space="preserve">). Pendekatan ini mengasumsikan bahwa setiap langkah waktu memiliki kontribusi informasi yang seragam, sehingga sinyal anomali atau titik balik harga yang terjadi beberapa hari sebelumnya sering kali tereduksi. Integrasi mekanisme </w:t>
      </w:r>
      <w:r>
        <w:rPr>
          <w:rFonts w:ascii="Times New Roman" w:hAnsi="Times New Roman"/>
          <w:b w:val="0"/>
          <w:i/>
          <w:sz w:val="24"/>
        </w:rPr>
        <w:t>Temporal Attention</w:t>
      </w:r>
      <w:r>
        <w:rPr>
          <w:rFonts w:ascii="Times New Roman" w:hAnsi="Times New Roman"/>
          <w:b w:val="0"/>
          <w:i w:val="0"/>
          <w:sz w:val="24"/>
        </w:rPr>
        <w:t xml:space="preserve"> memungkinkan jaringan memberikan bobot probabilitas adaptif (α_t) secara dinamis pada langkah waktu yang paling menentukan [27], [28], [29], [30].</w:t>
      </w:r>
    </w:p>
    <w:p>
      <w:pPr>
        <w:spacing w:line="360" w:lineRule="auto" w:after="120"/>
        <w:jc w:val="both"/>
      </w:pPr>
      <w:r>
        <w:rPr>
          <w:rFonts w:ascii="Times New Roman" w:hAnsi="Times New Roman"/>
          <w:b/>
          <w:sz w:val="24"/>
        </w:rPr>
        <w:t xml:space="preserve">Kesenjangan 4: Minimnya Evaluasi Ketepatan Arah Pergerakan (Directional Accuracy) dan Studi Ablasi. </w:t>
      </w:r>
      <w:r>
        <w:rPr>
          <w:rFonts w:ascii="Times New Roman" w:hAnsi="Times New Roman"/>
          <w:b w:val="0"/>
          <w:i w:val="0"/>
          <w:sz w:val="24"/>
        </w:rPr>
        <w:t>Mayoritas literatur hanya melaporkan metrik kesalahan titik (</w:t>
      </w:r>
      <w:r>
        <w:rPr>
          <w:rFonts w:ascii="Times New Roman" w:hAnsi="Times New Roman"/>
          <w:b w:val="0"/>
          <w:i/>
          <w:sz w:val="24"/>
        </w:rPr>
        <w:t>point-error metrics</w:t>
      </w:r>
      <w:r>
        <w:rPr>
          <w:rFonts w:ascii="Times New Roman" w:hAnsi="Times New Roman"/>
          <w:b w:val="0"/>
          <w:i w:val="0"/>
          <w:sz w:val="24"/>
        </w:rPr>
        <w:t>) seperti RMSE, MAE, atau MAPE [1], [18], [20], [31]. Dalam konteks pengambilan keputusan perdagangan aset kripto yang fluktuatif, kesalahan titik yang kecil akibat efek bayangan (</w:t>
      </w:r>
      <w:r>
        <w:rPr>
          <w:rFonts w:ascii="Times New Roman" w:hAnsi="Times New Roman"/>
          <w:b w:val="0"/>
          <w:i/>
          <w:sz w:val="24"/>
        </w:rPr>
        <w:t>shadowing effect</w:t>
      </w:r>
      <w:r>
        <w:rPr>
          <w:rFonts w:ascii="Times New Roman" w:hAnsi="Times New Roman"/>
          <w:b w:val="0"/>
          <w:i w:val="0"/>
          <w:sz w:val="24"/>
        </w:rPr>
        <w:t xml:space="preserve">, di mana prediksi hanya menyalin harga hari sebelumnya y_t) dapat memberikan ilusi akurasi tinggi namun gagal menebak arah kenaikan atau penurunan harga. Oleh karena itu, diperlukan evaluasi komprehensif yang menyertakan </w:t>
      </w:r>
      <w:r>
        <w:rPr>
          <w:rFonts w:ascii="Times New Roman" w:hAnsi="Times New Roman"/>
          <w:b w:val="0"/>
          <w:i/>
          <w:sz w:val="24"/>
        </w:rPr>
        <w:t>Directional Accuracy</w:t>
      </w:r>
      <w:r>
        <w:rPr>
          <w:rFonts w:ascii="Times New Roman" w:hAnsi="Times New Roman"/>
          <w:b w:val="0"/>
          <w:i w:val="0"/>
          <w:sz w:val="24"/>
        </w:rPr>
        <w:t xml:space="preserve"> (DA), koefisien determinasi (R²), serta studi ablasi (</w:t>
      </w:r>
      <w:r>
        <w:rPr>
          <w:rFonts w:ascii="Times New Roman" w:hAnsi="Times New Roman"/>
          <w:b w:val="0"/>
          <w:i/>
          <w:sz w:val="24"/>
        </w:rPr>
        <w:t>ablation study</w:t>
      </w:r>
      <w:r>
        <w:rPr>
          <w:rFonts w:ascii="Times New Roman" w:hAnsi="Times New Roman"/>
          <w:b w:val="0"/>
          <w:i w:val="0"/>
          <w:sz w:val="24"/>
        </w:rPr>
        <w:t>) antara konfigurasi univariat dan multivariat [15], [36].</w:t>
      </w:r>
    </w:p>
    <w:p>
      <w:pPr>
        <w:keepNext/>
        <w:spacing w:before="200" w:after="80" w:line="360" w:lineRule="auto"/>
      </w:pPr>
      <w:r>
        <w:rPr>
          <w:rFonts w:ascii="Times New Roman" w:hAnsi="Times New Roman"/>
          <w:b/>
          <w:i w:val="0"/>
          <w:sz w:val="28"/>
        </w:rPr>
        <w:t>2. Tabel Matriks Perbandingan Penelitian Terdahulu (</w:t>
      </w:r>
      <w:r>
        <w:rPr>
          <w:rFonts w:ascii="Times New Roman" w:hAnsi="Times New Roman"/>
          <w:b/>
          <w:i/>
          <w:sz w:val="28"/>
        </w:rPr>
        <w:t>State-of-the-Art</w:t>
      </w:r>
      <w:r>
        <w:rPr>
          <w:rFonts w:ascii="Times New Roman" w:hAnsi="Times New Roman"/>
          <w:b/>
          <w:i w:val="0"/>
          <w:sz w:val="28"/>
        </w:rPr>
        <w:t>)</w:t>
      </w:r>
    </w:p>
    <w:p>
      <w:pPr>
        <w:spacing w:line="360" w:lineRule="auto" w:after="120"/>
        <w:ind w:firstLine="567"/>
        <w:jc w:val="both"/>
      </w:pPr>
      <w:r>
        <w:rPr>
          <w:rFonts w:ascii="Times New Roman" w:hAnsi="Times New Roman"/>
          <w:b w:val="0"/>
          <w:i w:val="0"/>
          <w:sz w:val="24"/>
        </w:rPr>
        <w:t>Tabel 3.1 merangkum posisi penelitian yang diusulkan dibandingkan dengan penelitian-penelitian terdahulu yang relevan dalam rentang tahun 2021–2026.</w:t>
      </w:r>
    </w:p>
    <w:p>
      <w:pPr>
        <w:keepNext/>
        <w:spacing w:before="160" w:after="60" w:line="276" w:lineRule="auto"/>
      </w:pPr>
      <w:r>
        <w:rPr>
          <w:rFonts w:ascii="Times New Roman" w:hAnsi="Times New Roman"/>
          <w:b/>
          <w:sz w:val="22"/>
        </w:rPr>
        <w:t xml:space="preserve">Tabel 3.1 </w:t>
      </w:r>
      <w:r>
        <w:rPr>
          <w:rFonts w:ascii="Times New Roman" w:hAnsi="Times New Roman"/>
          <w:b/>
          <w:i w:val="0"/>
          <w:sz w:val="22"/>
        </w:rPr>
        <w:t>Matriks Perbandingan Penelitian Terdahulu dan Posisi Kebaruan Penelitian</w:t>
      </w:r>
    </w:p>
    <w:tbl>
      <w:tblPr>
        <w:tblStyle w:val="TableGrid"/>
        <w:tblW w:type="auto" w:w="0"/>
        <w:jc w:val="center"/>
        <w:tblLook w:firstColumn="1" w:firstRow="1" w:lastColumn="0" w:lastRow="0" w:noHBand="0" w:noVBand="1" w:val="04A0"/>
      </w:tblPr>
      <w:tblGrid>
        <w:gridCol w:w="1134"/>
        <w:gridCol w:w="1134"/>
        <w:gridCol w:w="1134"/>
        <w:gridCol w:w="1134"/>
        <w:gridCol w:w="1134"/>
        <w:gridCol w:w="1134"/>
        <w:gridCol w:w="1134"/>
      </w:tblGrid>
      <w:tr>
        <w:tc>
          <w:tcPr>
            <w:tcW w:type="dxa" w:w="1134"/>
            <w:shd w:fill="D9E1F2"/>
            <w:vAlign w:val="center"/>
          </w:tcPr>
          <w:p>
            <w:pPr>
              <w:spacing w:line="276" w:lineRule="auto" w:before="60" w:after="60"/>
              <w:jc w:val="center"/>
            </w:pPr>
            <w:r>
              <w:rPr>
                <w:rFonts w:ascii="Times New Roman" w:hAnsi="Times New Roman"/>
                <w:b/>
                <w:sz w:val="20"/>
              </w:rPr>
              <w:t>Ref.</w:t>
            </w:r>
          </w:p>
        </w:tc>
        <w:tc>
          <w:tcPr>
            <w:tcW w:type="dxa" w:w="1134"/>
            <w:shd w:fill="D9E1F2"/>
            <w:vAlign w:val="center"/>
          </w:tcPr>
          <w:p>
            <w:pPr>
              <w:spacing w:line="276" w:lineRule="auto" w:before="60" w:after="60"/>
              <w:jc w:val="center"/>
            </w:pPr>
            <w:r>
              <w:rPr>
                <w:rFonts w:ascii="Times New Roman" w:hAnsi="Times New Roman"/>
                <w:b/>
                <w:sz w:val="20"/>
              </w:rPr>
              <w:t>Penulis &amp; Tahun</w:t>
            </w:r>
          </w:p>
        </w:tc>
        <w:tc>
          <w:tcPr>
            <w:tcW w:type="dxa" w:w="1134"/>
            <w:shd w:fill="D9E1F2"/>
            <w:vAlign w:val="center"/>
          </w:tcPr>
          <w:p>
            <w:pPr>
              <w:spacing w:line="276" w:lineRule="auto" w:before="60" w:after="60"/>
              <w:jc w:val="center"/>
            </w:pPr>
            <w:r>
              <w:rPr>
                <w:rFonts w:ascii="Times New Roman" w:hAnsi="Times New Roman"/>
                <w:b/>
                <w:sz w:val="20"/>
              </w:rPr>
              <w:t>Objek Aset</w:t>
            </w:r>
          </w:p>
        </w:tc>
        <w:tc>
          <w:tcPr>
            <w:tcW w:type="dxa" w:w="1134"/>
            <w:shd w:fill="D9E1F2"/>
            <w:vAlign w:val="center"/>
          </w:tcPr>
          <w:p>
            <w:pPr>
              <w:spacing w:line="276" w:lineRule="auto" w:before="60" w:after="60"/>
              <w:jc w:val="center"/>
            </w:pPr>
            <w:r>
              <w:rPr>
                <w:rFonts w:ascii="Times New Roman" w:hAnsi="Times New Roman"/>
                <w:b/>
                <w:sz w:val="20"/>
              </w:rPr>
              <w:t>Metode / Arsitektur</w:t>
            </w:r>
          </w:p>
        </w:tc>
        <w:tc>
          <w:tcPr>
            <w:tcW w:type="dxa" w:w="1134"/>
            <w:shd w:fill="D9E1F2"/>
            <w:vAlign w:val="center"/>
          </w:tcPr>
          <w:p>
            <w:pPr>
              <w:spacing w:line="276" w:lineRule="auto" w:before="60" w:after="60"/>
              <w:jc w:val="center"/>
            </w:pPr>
            <w:r>
              <w:rPr>
                <w:rFonts w:ascii="Times New Roman" w:hAnsi="Times New Roman"/>
                <w:b/>
                <w:sz w:val="20"/>
              </w:rPr>
              <w:t>Fitur Input</w:t>
            </w:r>
          </w:p>
        </w:tc>
        <w:tc>
          <w:tcPr>
            <w:tcW w:type="dxa" w:w="1134"/>
            <w:shd w:fill="D9E1F2"/>
            <w:vAlign w:val="center"/>
          </w:tcPr>
          <w:p>
            <w:pPr>
              <w:spacing w:line="276" w:lineRule="auto" w:before="60" w:after="60"/>
              <w:jc w:val="center"/>
            </w:pPr>
            <w:r>
              <w:rPr>
                <w:rFonts w:ascii="Times New Roman" w:hAnsi="Times New Roman"/>
                <w:b/>
                <w:sz w:val="20"/>
              </w:rPr>
              <w:t>Metrik Evaluasi</w:t>
            </w:r>
          </w:p>
        </w:tc>
        <w:tc>
          <w:tcPr>
            <w:tcW w:type="dxa" w:w="1134"/>
            <w:shd w:fill="D9E1F2"/>
            <w:vAlign w:val="center"/>
          </w:tcPr>
          <w:p>
            <w:pPr>
              <w:spacing w:line="276" w:lineRule="auto" w:before="60" w:after="60"/>
              <w:jc w:val="center"/>
            </w:pPr>
            <w:r>
              <w:rPr>
                <w:rFonts w:ascii="Times New Roman" w:hAnsi="Times New Roman"/>
                <w:b/>
                <w:sz w:val="20"/>
              </w:rPr>
              <w:t>Keterbatasan / Celah Penelitian (Gap)</w:t>
            </w:r>
          </w:p>
        </w:tc>
      </w:tr>
      <w:tr>
        <w:tc>
          <w:tcPr>
            <w:tcW w:type="dxa" w:w="1134"/>
            <w:vAlign w:val="center"/>
          </w:tcPr>
          <w:p>
            <w:pPr>
              <w:spacing w:line="276" w:lineRule="auto" w:before="40" w:after="40"/>
            </w:pPr>
            <w:r>
              <w:rPr>
                <w:rFonts w:ascii="Times New Roman" w:hAnsi="Times New Roman"/>
                <w:sz w:val="17"/>
              </w:rPr>
              <w:t>[1]</w:t>
            </w:r>
          </w:p>
        </w:tc>
        <w:tc>
          <w:tcPr>
            <w:tcW w:type="dxa" w:w="1134"/>
            <w:vAlign w:val="center"/>
          </w:tcPr>
          <w:p>
            <w:pPr>
              <w:spacing w:line="276" w:lineRule="auto" w:before="40" w:after="40"/>
            </w:pPr>
            <w:r>
              <w:rPr>
                <w:rFonts w:ascii="Times New Roman" w:hAnsi="Times New Roman"/>
                <w:sz w:val="17"/>
              </w:rPr>
              <w:t>Rizkilloh &amp; Widiyanesti (2022) [SINTA 2]</w:t>
            </w:r>
          </w:p>
        </w:tc>
        <w:tc>
          <w:tcPr>
            <w:tcW w:type="dxa" w:w="1134"/>
            <w:vAlign w:val="center"/>
          </w:tcPr>
          <w:p>
            <w:pPr>
              <w:spacing w:line="276" w:lineRule="auto" w:before="40" w:after="40"/>
            </w:pPr>
            <w:r>
              <w:rPr>
                <w:rFonts w:ascii="Times New Roman" w:hAnsi="Times New Roman"/>
                <w:sz w:val="17"/>
              </w:rPr>
              <w:t>Cryptocurrency (BTC)</w:t>
            </w:r>
          </w:p>
        </w:tc>
        <w:tc>
          <w:tcPr>
            <w:tcW w:type="dxa" w:w="1134"/>
            <w:vAlign w:val="center"/>
          </w:tcPr>
          <w:p>
            <w:pPr>
              <w:spacing w:line="276" w:lineRule="auto" w:before="40" w:after="40"/>
            </w:pPr>
            <w:r>
              <w:rPr>
                <w:rFonts w:ascii="Times New Roman" w:hAnsi="Times New Roman"/>
                <w:sz w:val="17"/>
              </w:rPr>
              <w:t>LSTM</w:t>
            </w:r>
          </w:p>
        </w:tc>
        <w:tc>
          <w:tcPr>
            <w:tcW w:type="dxa" w:w="1134"/>
            <w:vAlign w:val="center"/>
          </w:tcPr>
          <w:p>
            <w:pPr>
              <w:spacing w:line="276" w:lineRule="auto" w:before="40" w:after="40"/>
            </w:pPr>
            <w:r>
              <w:rPr>
                <w:rFonts w:ascii="Times New Roman" w:hAnsi="Times New Roman"/>
                <w:sz w:val="17"/>
              </w:rPr>
              <w:t>OHLCV Harian</w:t>
            </w:r>
          </w:p>
        </w:tc>
        <w:tc>
          <w:tcPr>
            <w:tcW w:type="dxa" w:w="1134"/>
            <w:vAlign w:val="center"/>
          </w:tcPr>
          <w:p>
            <w:pPr>
              <w:spacing w:line="276" w:lineRule="auto" w:before="40" w:after="40"/>
            </w:pPr>
            <w:r>
              <w:rPr>
                <w:rFonts w:ascii="Times New Roman" w:hAnsi="Times New Roman"/>
                <w:sz w:val="17"/>
              </w:rPr>
              <w:t>RMSE, MAPE</w:t>
            </w:r>
          </w:p>
        </w:tc>
        <w:tc>
          <w:tcPr>
            <w:tcW w:type="dxa" w:w="1134"/>
            <w:vAlign w:val="center"/>
          </w:tcPr>
          <w:p>
            <w:pPr>
              <w:spacing w:line="276" w:lineRule="auto" w:before="40" w:after="40"/>
            </w:pPr>
            <w:r>
              <w:rPr>
                <w:rFonts w:ascii="Times New Roman" w:hAnsi="Times New Roman"/>
                <w:sz w:val="17"/>
              </w:rPr>
              <w:t>Hanya menguji arsitektur tunggal LSTM tanpa perbandingan adil dengan GRU/BiLSTM dan tanpa fitur momentum.</w:t>
            </w:r>
          </w:p>
        </w:tc>
      </w:tr>
      <w:tr>
        <w:tc>
          <w:tcPr>
            <w:tcW w:type="dxa" w:w="1134"/>
            <w:vAlign w:val="center"/>
          </w:tcPr>
          <w:p>
            <w:pPr>
              <w:spacing w:line="276" w:lineRule="auto" w:before="40" w:after="40"/>
            </w:pPr>
            <w:r>
              <w:rPr>
                <w:rFonts w:ascii="Times New Roman" w:hAnsi="Times New Roman"/>
                <w:sz w:val="17"/>
              </w:rPr>
              <w:t>[2]</w:t>
            </w:r>
          </w:p>
        </w:tc>
        <w:tc>
          <w:tcPr>
            <w:tcW w:type="dxa" w:w="1134"/>
            <w:vAlign w:val="center"/>
          </w:tcPr>
          <w:p>
            <w:pPr>
              <w:spacing w:line="276" w:lineRule="auto" w:before="40" w:after="40"/>
            </w:pPr>
            <w:r>
              <w:rPr>
                <w:rFonts w:ascii="Times New Roman" w:hAnsi="Times New Roman"/>
                <w:sz w:val="17"/>
              </w:rPr>
              <w:t>Seabe dkk. (2023) [Scopus Q1]</w:t>
            </w:r>
          </w:p>
        </w:tc>
        <w:tc>
          <w:tcPr>
            <w:tcW w:type="dxa" w:w="1134"/>
            <w:vAlign w:val="center"/>
          </w:tcPr>
          <w:p>
            <w:pPr>
              <w:spacing w:line="276" w:lineRule="auto" w:before="40" w:after="40"/>
            </w:pPr>
            <w:r>
              <w:rPr>
                <w:rFonts w:ascii="Times New Roman" w:hAnsi="Times New Roman"/>
                <w:sz w:val="17"/>
              </w:rPr>
              <w:t>BTC, ETH, LTC</w:t>
            </w:r>
          </w:p>
        </w:tc>
        <w:tc>
          <w:tcPr>
            <w:tcW w:type="dxa" w:w="1134"/>
            <w:vAlign w:val="center"/>
          </w:tcPr>
          <w:p>
            <w:pPr>
              <w:spacing w:line="276" w:lineRule="auto" w:before="40" w:after="40"/>
            </w:pPr>
            <w:r>
              <w:rPr>
                <w:rFonts w:ascii="Times New Roman" w:hAnsi="Times New Roman"/>
                <w:sz w:val="17"/>
              </w:rPr>
              <w:t>LSTM, GRU, BiLSTM</w:t>
            </w:r>
          </w:p>
        </w:tc>
        <w:tc>
          <w:tcPr>
            <w:tcW w:type="dxa" w:w="1134"/>
            <w:vAlign w:val="center"/>
          </w:tcPr>
          <w:p>
            <w:pPr>
              <w:spacing w:line="276" w:lineRule="auto" w:before="40" w:after="40"/>
            </w:pPr>
            <w:r>
              <w:rPr>
                <w:rFonts w:ascii="Times New Roman" w:hAnsi="Times New Roman"/>
                <w:sz w:val="17"/>
              </w:rPr>
              <w:t>Harga Penutupan &amp; Volume</w:t>
            </w:r>
          </w:p>
        </w:tc>
        <w:tc>
          <w:tcPr>
            <w:tcW w:type="dxa" w:w="1134"/>
            <w:vAlign w:val="center"/>
          </w:tcPr>
          <w:p>
            <w:pPr>
              <w:spacing w:line="276" w:lineRule="auto" w:before="40" w:after="40"/>
            </w:pPr>
            <w:r>
              <w:rPr>
                <w:rFonts w:ascii="Times New Roman" w:hAnsi="Times New Roman"/>
                <w:sz w:val="17"/>
              </w:rPr>
              <w:t>RMSE, MAE, MAPE, R²</w:t>
            </w:r>
          </w:p>
        </w:tc>
        <w:tc>
          <w:tcPr>
            <w:tcW w:type="dxa" w:w="1134"/>
            <w:vAlign w:val="center"/>
          </w:tcPr>
          <w:p>
            <w:pPr>
              <w:spacing w:line="276" w:lineRule="auto" w:before="40" w:after="40"/>
            </w:pPr>
            <w:r>
              <w:rPr>
                <w:rFonts w:ascii="Times New Roman" w:hAnsi="Times New Roman"/>
                <w:sz w:val="17"/>
              </w:rPr>
              <w:t>Representasi temporal bertumpu pada hidden state akhir tanpa pembobotan selektif Attention.</w:t>
            </w:r>
          </w:p>
        </w:tc>
      </w:tr>
      <w:tr>
        <w:tc>
          <w:tcPr>
            <w:tcW w:type="dxa" w:w="1134"/>
            <w:vAlign w:val="center"/>
          </w:tcPr>
          <w:p>
            <w:pPr>
              <w:spacing w:line="276" w:lineRule="auto" w:before="40" w:after="40"/>
            </w:pPr>
            <w:r>
              <w:rPr>
                <w:rFonts w:ascii="Times New Roman" w:hAnsi="Times New Roman"/>
                <w:sz w:val="17"/>
              </w:rPr>
              <w:t>[11]</w:t>
            </w:r>
          </w:p>
        </w:tc>
        <w:tc>
          <w:tcPr>
            <w:tcW w:type="dxa" w:w="1134"/>
            <w:vAlign w:val="center"/>
          </w:tcPr>
          <w:p>
            <w:pPr>
              <w:spacing w:line="276" w:lineRule="auto" w:before="40" w:after="40"/>
            </w:pPr>
            <w:r>
              <w:rPr>
                <w:rFonts w:ascii="Times New Roman" w:hAnsi="Times New Roman"/>
                <w:sz w:val="17"/>
              </w:rPr>
              <w:t>Hamayel &amp; Owda (2021) [Scopus Q1]</w:t>
            </w:r>
          </w:p>
        </w:tc>
        <w:tc>
          <w:tcPr>
            <w:tcW w:type="dxa" w:w="1134"/>
            <w:vAlign w:val="center"/>
          </w:tcPr>
          <w:p>
            <w:pPr>
              <w:spacing w:line="276" w:lineRule="auto" w:before="40" w:after="40"/>
            </w:pPr>
            <w:r>
              <w:rPr>
                <w:rFonts w:ascii="Times New Roman" w:hAnsi="Times New Roman"/>
                <w:sz w:val="17"/>
              </w:rPr>
              <w:t>BTC, ETH, LTC</w:t>
            </w:r>
          </w:p>
        </w:tc>
        <w:tc>
          <w:tcPr>
            <w:tcW w:type="dxa" w:w="1134"/>
            <w:vAlign w:val="center"/>
          </w:tcPr>
          <w:p>
            <w:pPr>
              <w:spacing w:line="276" w:lineRule="auto" w:before="40" w:after="40"/>
            </w:pPr>
            <w:r>
              <w:rPr>
                <w:rFonts w:ascii="Times New Roman" w:hAnsi="Times New Roman"/>
                <w:sz w:val="17"/>
              </w:rPr>
              <w:t>LSTM, GRU, BiLSTM</w:t>
            </w:r>
          </w:p>
        </w:tc>
        <w:tc>
          <w:tcPr>
            <w:tcW w:type="dxa" w:w="1134"/>
            <w:vAlign w:val="center"/>
          </w:tcPr>
          <w:p>
            <w:pPr>
              <w:spacing w:line="276" w:lineRule="auto" w:before="40" w:after="40"/>
            </w:pPr>
            <w:r>
              <w:rPr>
                <w:rFonts w:ascii="Times New Roman" w:hAnsi="Times New Roman"/>
                <w:sz w:val="17"/>
              </w:rPr>
              <w:t>Harga Historis Univariat</w:t>
            </w:r>
          </w:p>
        </w:tc>
        <w:tc>
          <w:tcPr>
            <w:tcW w:type="dxa" w:w="1134"/>
            <w:vAlign w:val="center"/>
          </w:tcPr>
          <w:p>
            <w:pPr>
              <w:spacing w:line="276" w:lineRule="auto" w:before="40" w:after="40"/>
            </w:pPr>
            <w:r>
              <w:rPr>
                <w:rFonts w:ascii="Times New Roman" w:hAnsi="Times New Roman"/>
                <w:sz w:val="17"/>
              </w:rPr>
              <w:t>RMSE, MAE, MAPE</w:t>
            </w:r>
          </w:p>
        </w:tc>
        <w:tc>
          <w:tcPr>
            <w:tcW w:type="dxa" w:w="1134"/>
            <w:vAlign w:val="center"/>
          </w:tcPr>
          <w:p>
            <w:pPr>
              <w:spacing w:line="276" w:lineRule="auto" w:before="40" w:after="40"/>
            </w:pPr>
            <w:r>
              <w:rPr>
                <w:rFonts w:ascii="Times New Roman" w:hAnsi="Times New Roman"/>
                <w:sz w:val="17"/>
              </w:rPr>
              <w:t>Belum menyertakan indikator teknikal, ekstraksi konvolusional 1D-CNN, maupun mekanisme Attention.</w:t>
            </w:r>
          </w:p>
        </w:tc>
      </w:tr>
      <w:tr>
        <w:tc>
          <w:tcPr>
            <w:tcW w:type="dxa" w:w="1134"/>
            <w:vAlign w:val="center"/>
          </w:tcPr>
          <w:p>
            <w:pPr>
              <w:spacing w:line="276" w:lineRule="auto" w:before="40" w:after="40"/>
            </w:pPr>
            <w:r>
              <w:rPr>
                <w:rFonts w:ascii="Times New Roman" w:hAnsi="Times New Roman"/>
                <w:sz w:val="17"/>
              </w:rPr>
              <w:t>[12]</w:t>
            </w:r>
          </w:p>
        </w:tc>
        <w:tc>
          <w:tcPr>
            <w:tcW w:type="dxa" w:w="1134"/>
            <w:vAlign w:val="center"/>
          </w:tcPr>
          <w:p>
            <w:pPr>
              <w:spacing w:line="276" w:lineRule="auto" w:before="40" w:after="40"/>
            </w:pPr>
            <w:r>
              <w:rPr>
                <w:rFonts w:ascii="Times New Roman" w:hAnsi="Times New Roman"/>
                <w:sz w:val="17"/>
              </w:rPr>
              <w:t>Priadinata dkk. (2025) [SINTA 2]</w:t>
            </w:r>
          </w:p>
        </w:tc>
        <w:tc>
          <w:tcPr>
            <w:tcW w:type="dxa" w:w="1134"/>
            <w:vAlign w:val="center"/>
          </w:tcPr>
          <w:p>
            <w:pPr>
              <w:spacing w:line="276" w:lineRule="auto" w:before="40" w:after="40"/>
            </w:pPr>
            <w:r>
              <w:rPr>
                <w:rFonts w:ascii="Times New Roman" w:hAnsi="Times New Roman"/>
                <w:sz w:val="17"/>
              </w:rPr>
              <w:t>Cryptocurrency</w:t>
            </w:r>
          </w:p>
        </w:tc>
        <w:tc>
          <w:tcPr>
            <w:tcW w:type="dxa" w:w="1134"/>
            <w:vAlign w:val="center"/>
          </w:tcPr>
          <w:p>
            <w:pPr>
              <w:spacing w:line="276" w:lineRule="auto" w:before="40" w:after="40"/>
            </w:pPr>
            <w:r>
              <w:rPr>
                <w:rFonts w:ascii="Times New Roman" w:hAnsi="Times New Roman"/>
                <w:sz w:val="17"/>
              </w:rPr>
              <w:t>LSTM, GRU, BiLSTM</w:t>
            </w:r>
          </w:p>
        </w:tc>
        <w:tc>
          <w:tcPr>
            <w:tcW w:type="dxa" w:w="1134"/>
            <w:vAlign w:val="center"/>
          </w:tcPr>
          <w:p>
            <w:pPr>
              <w:spacing w:line="276" w:lineRule="auto" w:before="40" w:after="40"/>
            </w:pPr>
            <w:r>
              <w:rPr>
                <w:rFonts w:ascii="Times New Roman" w:hAnsi="Times New Roman"/>
                <w:sz w:val="17"/>
              </w:rPr>
              <w:t>Data Deret Waktu OHLC</w:t>
            </w:r>
          </w:p>
        </w:tc>
        <w:tc>
          <w:tcPr>
            <w:tcW w:type="dxa" w:w="1134"/>
            <w:vAlign w:val="center"/>
          </w:tcPr>
          <w:p>
            <w:pPr>
              <w:spacing w:line="276" w:lineRule="auto" w:before="40" w:after="40"/>
            </w:pPr>
            <w:r>
              <w:rPr>
                <w:rFonts w:ascii="Times New Roman" w:hAnsi="Times New Roman"/>
                <w:sz w:val="17"/>
              </w:rPr>
              <w:t>RMSE, MAPE</w:t>
            </w:r>
          </w:p>
        </w:tc>
        <w:tc>
          <w:tcPr>
            <w:tcW w:type="dxa" w:w="1134"/>
            <w:vAlign w:val="center"/>
          </w:tcPr>
          <w:p>
            <w:pPr>
              <w:spacing w:line="276" w:lineRule="auto" w:before="40" w:after="40"/>
            </w:pPr>
            <w:r>
              <w:rPr>
                <w:rFonts w:ascii="Times New Roman" w:hAnsi="Times New Roman"/>
                <w:sz w:val="17"/>
              </w:rPr>
              <w:t>Belum mengeksplorasi aset jaringan high-throughput Solana dan belum menerapkan ekstraksi fitur 1D-CNN.</w:t>
            </w:r>
          </w:p>
        </w:tc>
      </w:tr>
      <w:tr>
        <w:tc>
          <w:tcPr>
            <w:tcW w:type="dxa" w:w="1134"/>
            <w:vAlign w:val="center"/>
          </w:tcPr>
          <w:p>
            <w:pPr>
              <w:spacing w:line="276" w:lineRule="auto" w:before="40" w:after="40"/>
            </w:pPr>
            <w:r>
              <w:rPr>
                <w:rFonts w:ascii="Times New Roman" w:hAnsi="Times New Roman"/>
                <w:sz w:val="17"/>
              </w:rPr>
              <w:t>[13]</w:t>
            </w:r>
          </w:p>
        </w:tc>
        <w:tc>
          <w:tcPr>
            <w:tcW w:type="dxa" w:w="1134"/>
            <w:vAlign w:val="center"/>
          </w:tcPr>
          <w:p>
            <w:pPr>
              <w:spacing w:line="276" w:lineRule="auto" w:before="40" w:after="40"/>
            </w:pPr>
            <w:r>
              <w:rPr>
                <w:rFonts w:ascii="Times New Roman" w:hAnsi="Times New Roman"/>
                <w:sz w:val="17"/>
              </w:rPr>
              <w:t>Yanimaharta &amp; Santoso (2025) [SINTA 3]</w:t>
            </w:r>
          </w:p>
        </w:tc>
        <w:tc>
          <w:tcPr>
            <w:tcW w:type="dxa" w:w="1134"/>
            <w:vAlign w:val="center"/>
          </w:tcPr>
          <w:p>
            <w:pPr>
              <w:spacing w:line="276" w:lineRule="auto" w:before="40" w:after="40"/>
            </w:pPr>
            <w:r>
              <w:rPr>
                <w:rFonts w:ascii="Times New Roman" w:hAnsi="Times New Roman"/>
                <w:sz w:val="17"/>
              </w:rPr>
              <w:t>Cryptocurrency</w:t>
            </w:r>
          </w:p>
        </w:tc>
        <w:tc>
          <w:tcPr>
            <w:tcW w:type="dxa" w:w="1134"/>
            <w:vAlign w:val="center"/>
          </w:tcPr>
          <w:p>
            <w:pPr>
              <w:spacing w:line="276" w:lineRule="auto" w:before="40" w:after="40"/>
            </w:pPr>
            <w:r>
              <w:rPr>
                <w:rFonts w:ascii="Times New Roman" w:hAnsi="Times New Roman"/>
                <w:sz w:val="17"/>
              </w:rPr>
              <w:t>LSTM, GRU, BiLSTM</w:t>
            </w:r>
          </w:p>
        </w:tc>
        <w:tc>
          <w:tcPr>
            <w:tcW w:type="dxa" w:w="1134"/>
            <w:vAlign w:val="center"/>
          </w:tcPr>
          <w:p>
            <w:pPr>
              <w:spacing w:line="276" w:lineRule="auto" w:before="40" w:after="40"/>
            </w:pPr>
            <w:r>
              <w:rPr>
                <w:rFonts w:ascii="Times New Roman" w:hAnsi="Times New Roman"/>
                <w:sz w:val="17"/>
              </w:rPr>
              <w:t>Data Historis Kripto</w:t>
            </w:r>
          </w:p>
        </w:tc>
        <w:tc>
          <w:tcPr>
            <w:tcW w:type="dxa" w:w="1134"/>
            <w:vAlign w:val="center"/>
          </w:tcPr>
          <w:p>
            <w:pPr>
              <w:spacing w:line="276" w:lineRule="auto" w:before="40" w:after="40"/>
            </w:pPr>
            <w:r>
              <w:rPr>
                <w:rFonts w:ascii="Times New Roman" w:hAnsi="Times New Roman"/>
                <w:sz w:val="17"/>
              </w:rPr>
              <w:t>RMSE, MAE, MAPE</w:t>
            </w:r>
          </w:p>
        </w:tc>
        <w:tc>
          <w:tcPr>
            <w:tcW w:type="dxa" w:w="1134"/>
            <w:vAlign w:val="center"/>
          </w:tcPr>
          <w:p>
            <w:pPr>
              <w:spacing w:line="276" w:lineRule="auto" w:before="40" w:after="40"/>
            </w:pPr>
            <w:r>
              <w:rPr>
                <w:rFonts w:ascii="Times New Roman" w:hAnsi="Times New Roman"/>
                <w:sz w:val="17"/>
              </w:rPr>
              <w:t>Tidak mengintegrasikan indikator volatilitas (ATR, Bollinger Bands) dan belum menggunakan mekanisme Attention.</w:t>
            </w:r>
          </w:p>
        </w:tc>
      </w:tr>
      <w:tr>
        <w:tc>
          <w:tcPr>
            <w:tcW w:type="dxa" w:w="1134"/>
            <w:vAlign w:val="center"/>
          </w:tcPr>
          <w:p>
            <w:pPr>
              <w:spacing w:line="276" w:lineRule="auto" w:before="40" w:after="40"/>
            </w:pPr>
            <w:r>
              <w:rPr>
                <w:rFonts w:ascii="Times New Roman" w:hAnsi="Times New Roman"/>
                <w:sz w:val="17"/>
              </w:rPr>
              <w:t>[16]</w:t>
            </w:r>
          </w:p>
        </w:tc>
        <w:tc>
          <w:tcPr>
            <w:tcW w:type="dxa" w:w="1134"/>
            <w:vAlign w:val="center"/>
          </w:tcPr>
          <w:p>
            <w:pPr>
              <w:spacing w:line="276" w:lineRule="auto" w:before="40" w:after="40"/>
            </w:pPr>
            <w:r>
              <w:rPr>
                <w:rFonts w:ascii="Times New Roman" w:hAnsi="Times New Roman"/>
                <w:sz w:val="17"/>
              </w:rPr>
              <w:t>Aldo dkk. (2025) [IEEE]</w:t>
            </w:r>
          </w:p>
        </w:tc>
        <w:tc>
          <w:tcPr>
            <w:tcW w:type="dxa" w:w="1134"/>
            <w:vAlign w:val="center"/>
          </w:tcPr>
          <w:p>
            <w:pPr>
              <w:spacing w:line="276" w:lineRule="auto" w:before="40" w:after="40"/>
            </w:pPr>
            <w:r>
              <w:rPr>
                <w:rFonts w:ascii="Times New Roman" w:hAnsi="Times New Roman"/>
                <w:sz w:val="17"/>
              </w:rPr>
              <w:t>Solana (SOL/USD)</w:t>
            </w:r>
          </w:p>
        </w:tc>
        <w:tc>
          <w:tcPr>
            <w:tcW w:type="dxa" w:w="1134"/>
            <w:vAlign w:val="center"/>
          </w:tcPr>
          <w:p>
            <w:pPr>
              <w:spacing w:line="276" w:lineRule="auto" w:before="40" w:after="40"/>
            </w:pPr>
            <w:r>
              <w:rPr>
                <w:rFonts w:ascii="Times New Roman" w:hAnsi="Times New Roman"/>
                <w:sz w:val="17"/>
              </w:rPr>
              <w:t>Varian Arsitektur LSTM</w:t>
            </w:r>
          </w:p>
        </w:tc>
        <w:tc>
          <w:tcPr>
            <w:tcW w:type="dxa" w:w="1134"/>
            <w:vAlign w:val="center"/>
          </w:tcPr>
          <w:p>
            <w:pPr>
              <w:spacing w:line="276" w:lineRule="auto" w:before="40" w:after="40"/>
            </w:pPr>
            <w:r>
              <w:rPr>
                <w:rFonts w:ascii="Times New Roman" w:hAnsi="Times New Roman"/>
                <w:sz w:val="17"/>
              </w:rPr>
              <w:t>Data Historis SOL/USD</w:t>
            </w:r>
          </w:p>
        </w:tc>
        <w:tc>
          <w:tcPr>
            <w:tcW w:type="dxa" w:w="1134"/>
            <w:vAlign w:val="center"/>
          </w:tcPr>
          <w:p>
            <w:pPr>
              <w:spacing w:line="276" w:lineRule="auto" w:before="40" w:after="40"/>
            </w:pPr>
            <w:r>
              <w:rPr>
                <w:rFonts w:ascii="Times New Roman" w:hAnsi="Times New Roman"/>
                <w:sz w:val="17"/>
              </w:rPr>
              <w:t>RMSE, MAE, MAPE</w:t>
            </w:r>
          </w:p>
        </w:tc>
        <w:tc>
          <w:tcPr>
            <w:tcW w:type="dxa" w:w="1134"/>
            <w:vAlign w:val="center"/>
          </w:tcPr>
          <w:p>
            <w:pPr>
              <w:spacing w:line="276" w:lineRule="auto" w:before="40" w:after="40"/>
            </w:pPr>
            <w:r>
              <w:rPr>
                <w:rFonts w:ascii="Times New Roman" w:hAnsi="Times New Roman"/>
                <w:sz w:val="17"/>
              </w:rPr>
              <w:t>Berfokus pada variasi lapisan LSTM murni tanpa ekstraksi fitur lokal 1D-CNN maupun indikator teknikal multivariat.</w:t>
            </w:r>
          </w:p>
        </w:tc>
      </w:tr>
      <w:tr>
        <w:tc>
          <w:tcPr>
            <w:tcW w:type="dxa" w:w="1134"/>
            <w:vAlign w:val="center"/>
          </w:tcPr>
          <w:p>
            <w:pPr>
              <w:spacing w:line="276" w:lineRule="auto" w:before="40" w:after="40"/>
            </w:pPr>
            <w:r>
              <w:rPr>
                <w:rFonts w:ascii="Times New Roman" w:hAnsi="Times New Roman"/>
                <w:sz w:val="17"/>
              </w:rPr>
              <w:t>[17]</w:t>
            </w:r>
          </w:p>
        </w:tc>
        <w:tc>
          <w:tcPr>
            <w:tcW w:type="dxa" w:w="1134"/>
            <w:vAlign w:val="center"/>
          </w:tcPr>
          <w:p>
            <w:pPr>
              <w:spacing w:line="276" w:lineRule="auto" w:before="40" w:after="40"/>
            </w:pPr>
            <w:r>
              <w:rPr>
                <w:rFonts w:ascii="Times New Roman" w:hAnsi="Times New Roman"/>
                <w:sz w:val="17"/>
              </w:rPr>
              <w:t>Pane dkk. (2025) [IEEE]</w:t>
            </w:r>
          </w:p>
        </w:tc>
        <w:tc>
          <w:tcPr>
            <w:tcW w:type="dxa" w:w="1134"/>
            <w:vAlign w:val="center"/>
          </w:tcPr>
          <w:p>
            <w:pPr>
              <w:spacing w:line="276" w:lineRule="auto" w:before="40" w:after="40"/>
            </w:pPr>
            <w:r>
              <w:rPr>
                <w:rFonts w:ascii="Times New Roman" w:hAnsi="Times New Roman"/>
                <w:sz w:val="17"/>
              </w:rPr>
              <w:t>Solana (SOL/USD)</w:t>
            </w:r>
          </w:p>
        </w:tc>
        <w:tc>
          <w:tcPr>
            <w:tcW w:type="dxa" w:w="1134"/>
            <w:vAlign w:val="center"/>
          </w:tcPr>
          <w:p>
            <w:pPr>
              <w:spacing w:line="276" w:lineRule="auto" w:before="40" w:after="40"/>
            </w:pPr>
            <w:r>
              <w:rPr>
                <w:rFonts w:ascii="Times New Roman" w:hAnsi="Times New Roman"/>
                <w:sz w:val="17"/>
              </w:rPr>
              <w:t>Stacked Ensemble</w:t>
            </w:r>
          </w:p>
        </w:tc>
        <w:tc>
          <w:tcPr>
            <w:tcW w:type="dxa" w:w="1134"/>
            <w:vAlign w:val="center"/>
          </w:tcPr>
          <w:p>
            <w:pPr>
              <w:spacing w:line="276" w:lineRule="auto" w:before="40" w:after="40"/>
            </w:pPr>
            <w:r>
              <w:rPr>
                <w:rFonts w:ascii="Times New Roman" w:hAnsi="Times New Roman"/>
                <w:sz w:val="17"/>
              </w:rPr>
              <w:t>Fitur Lag &amp; EMA</w:t>
            </w:r>
          </w:p>
        </w:tc>
        <w:tc>
          <w:tcPr>
            <w:tcW w:type="dxa" w:w="1134"/>
            <w:vAlign w:val="center"/>
          </w:tcPr>
          <w:p>
            <w:pPr>
              <w:spacing w:line="276" w:lineRule="auto" w:before="40" w:after="40"/>
            </w:pPr>
            <w:r>
              <w:rPr>
                <w:rFonts w:ascii="Times New Roman" w:hAnsi="Times New Roman"/>
                <w:sz w:val="17"/>
              </w:rPr>
              <w:t>RMSE, MAE, MAPE</w:t>
            </w:r>
          </w:p>
        </w:tc>
        <w:tc>
          <w:tcPr>
            <w:tcW w:type="dxa" w:w="1134"/>
            <w:vAlign w:val="center"/>
          </w:tcPr>
          <w:p>
            <w:pPr>
              <w:spacing w:line="276" w:lineRule="auto" w:before="40" w:after="40"/>
            </w:pPr>
            <w:r>
              <w:rPr>
                <w:rFonts w:ascii="Times New Roman" w:hAnsi="Times New Roman"/>
                <w:sz w:val="17"/>
              </w:rPr>
              <w:t>Hanya menggunakan fitur tren EMA dan lag tanpa osilator momentum (RSI, MACD) serta tanpa arsitektur sekuensial Attention.</w:t>
            </w:r>
          </w:p>
        </w:tc>
      </w:tr>
      <w:tr>
        <w:tc>
          <w:tcPr>
            <w:tcW w:type="dxa" w:w="1134"/>
            <w:vAlign w:val="center"/>
          </w:tcPr>
          <w:p>
            <w:pPr>
              <w:spacing w:line="276" w:lineRule="auto" w:before="40" w:after="40"/>
            </w:pPr>
            <w:r>
              <w:rPr>
                <w:rFonts w:ascii="Times New Roman" w:hAnsi="Times New Roman"/>
                <w:sz w:val="17"/>
              </w:rPr>
              <w:t>[18]</w:t>
            </w:r>
          </w:p>
        </w:tc>
        <w:tc>
          <w:tcPr>
            <w:tcW w:type="dxa" w:w="1134"/>
            <w:vAlign w:val="center"/>
          </w:tcPr>
          <w:p>
            <w:pPr>
              <w:spacing w:line="276" w:lineRule="auto" w:before="40" w:after="40"/>
            </w:pPr>
            <w:r>
              <w:rPr>
                <w:rFonts w:ascii="Times New Roman" w:hAnsi="Times New Roman"/>
                <w:sz w:val="17"/>
              </w:rPr>
              <w:t>Herdian (2026) [SINTA 3]</w:t>
            </w:r>
          </w:p>
        </w:tc>
        <w:tc>
          <w:tcPr>
            <w:tcW w:type="dxa" w:w="1134"/>
            <w:vAlign w:val="center"/>
          </w:tcPr>
          <w:p>
            <w:pPr>
              <w:spacing w:line="276" w:lineRule="auto" w:before="40" w:after="40"/>
            </w:pPr>
            <w:r>
              <w:rPr>
                <w:rFonts w:ascii="Times New Roman" w:hAnsi="Times New Roman"/>
                <w:sz w:val="17"/>
              </w:rPr>
              <w:t>Solana (SOL/USD)</w:t>
            </w:r>
          </w:p>
        </w:tc>
        <w:tc>
          <w:tcPr>
            <w:tcW w:type="dxa" w:w="1134"/>
            <w:vAlign w:val="center"/>
          </w:tcPr>
          <w:p>
            <w:pPr>
              <w:spacing w:line="276" w:lineRule="auto" w:before="40" w:after="40"/>
            </w:pPr>
            <w:r>
              <w:rPr>
                <w:rFonts w:ascii="Times New Roman" w:hAnsi="Times New Roman"/>
                <w:sz w:val="17"/>
              </w:rPr>
              <w:t>LSTM Framework</w:t>
            </w:r>
          </w:p>
        </w:tc>
        <w:tc>
          <w:tcPr>
            <w:tcW w:type="dxa" w:w="1134"/>
            <w:vAlign w:val="center"/>
          </w:tcPr>
          <w:p>
            <w:pPr>
              <w:spacing w:line="276" w:lineRule="auto" w:before="40" w:after="40"/>
            </w:pPr>
            <w:r>
              <w:rPr>
                <w:rFonts w:ascii="Times New Roman" w:hAnsi="Times New Roman"/>
                <w:sz w:val="17"/>
              </w:rPr>
              <w:t>Data Harga Jangka Pendek</w:t>
            </w:r>
          </w:p>
        </w:tc>
        <w:tc>
          <w:tcPr>
            <w:tcW w:type="dxa" w:w="1134"/>
            <w:vAlign w:val="center"/>
          </w:tcPr>
          <w:p>
            <w:pPr>
              <w:spacing w:line="276" w:lineRule="auto" w:before="40" w:after="40"/>
            </w:pPr>
            <w:r>
              <w:rPr>
                <w:rFonts w:ascii="Times New Roman" w:hAnsi="Times New Roman"/>
                <w:sz w:val="17"/>
              </w:rPr>
              <w:t>RMSE, MAE</w:t>
            </w:r>
          </w:p>
        </w:tc>
        <w:tc>
          <w:tcPr>
            <w:tcW w:type="dxa" w:w="1134"/>
            <w:vAlign w:val="center"/>
          </w:tcPr>
          <w:p>
            <w:pPr>
              <w:spacing w:line="276" w:lineRule="auto" w:before="40" w:after="40"/>
            </w:pPr>
            <w:r>
              <w:rPr>
                <w:rFonts w:ascii="Times New Roman" w:hAnsi="Times New Roman"/>
                <w:sz w:val="17"/>
              </w:rPr>
              <w:t>Pendekatan univariat jangka pendek; rentan mengalami efek lagging saat volatilitas harian Solana melonjak.</w:t>
            </w:r>
          </w:p>
        </w:tc>
      </w:tr>
      <w:tr>
        <w:tc>
          <w:tcPr>
            <w:tcW w:type="dxa" w:w="1134"/>
            <w:vAlign w:val="center"/>
          </w:tcPr>
          <w:p>
            <w:pPr>
              <w:spacing w:line="276" w:lineRule="auto" w:before="40" w:after="40"/>
            </w:pPr>
            <w:r>
              <w:rPr>
                <w:rFonts w:ascii="Times New Roman" w:hAnsi="Times New Roman"/>
                <w:sz w:val="17"/>
              </w:rPr>
              <w:t>[19]</w:t>
            </w:r>
          </w:p>
        </w:tc>
        <w:tc>
          <w:tcPr>
            <w:tcW w:type="dxa" w:w="1134"/>
            <w:vAlign w:val="center"/>
          </w:tcPr>
          <w:p>
            <w:pPr>
              <w:spacing w:line="276" w:lineRule="auto" w:before="40" w:after="40"/>
            </w:pPr>
            <w:r>
              <w:rPr>
                <w:rFonts w:ascii="Times New Roman" w:hAnsi="Times New Roman"/>
                <w:sz w:val="17"/>
              </w:rPr>
              <w:t>Arya dkk. (2026) [SINTA 3]</w:t>
            </w:r>
          </w:p>
        </w:tc>
        <w:tc>
          <w:tcPr>
            <w:tcW w:type="dxa" w:w="1134"/>
            <w:vAlign w:val="center"/>
          </w:tcPr>
          <w:p>
            <w:pPr>
              <w:spacing w:line="276" w:lineRule="auto" w:before="40" w:after="40"/>
            </w:pPr>
            <w:r>
              <w:rPr>
                <w:rFonts w:ascii="Times New Roman" w:hAnsi="Times New Roman"/>
                <w:sz w:val="17"/>
              </w:rPr>
              <w:t>Ethereum &amp; Solana</w:t>
            </w:r>
          </w:p>
        </w:tc>
        <w:tc>
          <w:tcPr>
            <w:tcW w:type="dxa" w:w="1134"/>
            <w:vAlign w:val="center"/>
          </w:tcPr>
          <w:p>
            <w:pPr>
              <w:spacing w:line="276" w:lineRule="auto" w:before="40" w:after="40"/>
            </w:pPr>
            <w:r>
              <w:rPr>
                <w:rFonts w:ascii="Times New Roman" w:hAnsi="Times New Roman"/>
                <w:sz w:val="17"/>
              </w:rPr>
              <w:t>LSTM Multi-Modal</w:t>
            </w:r>
          </w:p>
        </w:tc>
        <w:tc>
          <w:tcPr>
            <w:tcW w:type="dxa" w:w="1134"/>
            <w:vAlign w:val="center"/>
          </w:tcPr>
          <w:p>
            <w:pPr>
              <w:spacing w:line="276" w:lineRule="auto" w:before="40" w:after="40"/>
            </w:pPr>
            <w:r>
              <w:rPr>
                <w:rFonts w:ascii="Times New Roman" w:hAnsi="Times New Roman"/>
                <w:sz w:val="17"/>
              </w:rPr>
              <w:t>Indikator Trading Dasar</w:t>
            </w:r>
          </w:p>
        </w:tc>
        <w:tc>
          <w:tcPr>
            <w:tcW w:type="dxa" w:w="1134"/>
            <w:vAlign w:val="center"/>
          </w:tcPr>
          <w:p>
            <w:pPr>
              <w:spacing w:line="276" w:lineRule="auto" w:before="40" w:after="40"/>
            </w:pPr>
            <w:r>
              <w:rPr>
                <w:rFonts w:ascii="Times New Roman" w:hAnsi="Times New Roman"/>
                <w:sz w:val="17"/>
              </w:rPr>
              <w:t>RMSE, MAPE</w:t>
            </w:r>
          </w:p>
        </w:tc>
        <w:tc>
          <w:tcPr>
            <w:tcW w:type="dxa" w:w="1134"/>
            <w:vAlign w:val="center"/>
          </w:tcPr>
          <w:p>
            <w:pPr>
              <w:spacing w:line="276" w:lineRule="auto" w:before="40" w:after="40"/>
            </w:pPr>
            <w:r>
              <w:rPr>
                <w:rFonts w:ascii="Times New Roman" w:hAnsi="Times New Roman"/>
                <w:sz w:val="17"/>
              </w:rPr>
              <w:t>Masih menggunakan backbone LSTM satu arah standar; belum memanfaatkan konteks dua arah BiLSTM dan Attention.</w:t>
            </w:r>
          </w:p>
        </w:tc>
      </w:tr>
      <w:tr>
        <w:tc>
          <w:tcPr>
            <w:tcW w:type="dxa" w:w="1134"/>
            <w:vAlign w:val="center"/>
          </w:tcPr>
          <w:p>
            <w:pPr>
              <w:spacing w:line="276" w:lineRule="auto" w:before="40" w:after="40"/>
            </w:pPr>
            <w:r>
              <w:rPr>
                <w:rFonts w:ascii="Times New Roman" w:hAnsi="Times New Roman"/>
                <w:sz w:val="17"/>
              </w:rPr>
              <w:t>[24]</w:t>
            </w:r>
          </w:p>
        </w:tc>
        <w:tc>
          <w:tcPr>
            <w:tcW w:type="dxa" w:w="1134"/>
            <w:vAlign w:val="center"/>
          </w:tcPr>
          <w:p>
            <w:pPr>
              <w:spacing w:line="276" w:lineRule="auto" w:before="40" w:after="40"/>
            </w:pPr>
            <w:r>
              <w:rPr>
                <w:rFonts w:ascii="Times New Roman" w:hAnsi="Times New Roman"/>
                <w:sz w:val="17"/>
              </w:rPr>
              <w:t>Malik, Parlika, &amp; Kartini (2026) [SINTA 3]</w:t>
            </w:r>
          </w:p>
        </w:tc>
        <w:tc>
          <w:tcPr>
            <w:tcW w:type="dxa" w:w="1134"/>
            <w:vAlign w:val="center"/>
          </w:tcPr>
          <w:p>
            <w:pPr>
              <w:spacing w:line="276" w:lineRule="auto" w:before="40" w:after="40"/>
            </w:pPr>
            <w:r>
              <w:rPr>
                <w:rFonts w:ascii="Times New Roman" w:hAnsi="Times New Roman"/>
                <w:sz w:val="17"/>
              </w:rPr>
              <w:t>Bitcoin (BTC)</w:t>
            </w:r>
          </w:p>
        </w:tc>
        <w:tc>
          <w:tcPr>
            <w:tcW w:type="dxa" w:w="1134"/>
            <w:vAlign w:val="center"/>
          </w:tcPr>
          <w:p>
            <w:pPr>
              <w:spacing w:line="276" w:lineRule="auto" w:before="40" w:after="40"/>
            </w:pPr>
            <w:r>
              <w:rPr>
                <w:rFonts w:ascii="Times New Roman" w:hAnsi="Times New Roman"/>
                <w:sz w:val="17"/>
              </w:rPr>
              <w:t>BiLSTM</w:t>
            </w:r>
          </w:p>
        </w:tc>
        <w:tc>
          <w:tcPr>
            <w:tcW w:type="dxa" w:w="1134"/>
            <w:vAlign w:val="center"/>
          </w:tcPr>
          <w:p>
            <w:pPr>
              <w:spacing w:line="276" w:lineRule="auto" w:before="40" w:after="40"/>
            </w:pPr>
            <w:r>
              <w:rPr>
                <w:rFonts w:ascii="Times New Roman" w:hAnsi="Times New Roman"/>
                <w:sz w:val="17"/>
              </w:rPr>
              <w:t>Dataset On-Chain &amp; Harga</w:t>
            </w:r>
          </w:p>
        </w:tc>
        <w:tc>
          <w:tcPr>
            <w:tcW w:type="dxa" w:w="1134"/>
            <w:vAlign w:val="center"/>
          </w:tcPr>
          <w:p>
            <w:pPr>
              <w:spacing w:line="276" w:lineRule="auto" w:before="40" w:after="40"/>
            </w:pPr>
            <w:r>
              <w:rPr>
                <w:rFonts w:ascii="Times New Roman" w:hAnsi="Times New Roman"/>
                <w:sz w:val="17"/>
              </w:rPr>
              <w:t>RMSE, MAPE</w:t>
            </w:r>
          </w:p>
        </w:tc>
        <w:tc>
          <w:tcPr>
            <w:tcW w:type="dxa" w:w="1134"/>
            <w:vAlign w:val="center"/>
          </w:tcPr>
          <w:p>
            <w:pPr>
              <w:spacing w:line="276" w:lineRule="auto" w:before="40" w:after="40"/>
            </w:pPr>
            <w:r>
              <w:rPr>
                <w:rFonts w:ascii="Times New Roman" w:hAnsi="Times New Roman"/>
                <w:sz w:val="17"/>
              </w:rPr>
              <w:t>Menerapkan BiLSTM pada Bitcoin, namun belum mengintegrasikan lapisan 1D-CNN dan Temporal Attention pada Solana.</w:t>
            </w:r>
          </w:p>
        </w:tc>
      </w:tr>
      <w:tr>
        <w:tc>
          <w:tcPr>
            <w:tcW w:type="dxa" w:w="1134"/>
            <w:vAlign w:val="center"/>
          </w:tcPr>
          <w:p>
            <w:pPr>
              <w:spacing w:line="276" w:lineRule="auto" w:before="40" w:after="40"/>
            </w:pPr>
            <w:r>
              <w:rPr>
                <w:rFonts w:ascii="Times New Roman" w:hAnsi="Times New Roman"/>
                <w:sz w:val="17"/>
              </w:rPr>
              <w:t>[25]</w:t>
            </w:r>
          </w:p>
        </w:tc>
        <w:tc>
          <w:tcPr>
            <w:tcW w:type="dxa" w:w="1134"/>
            <w:vAlign w:val="center"/>
          </w:tcPr>
          <w:p>
            <w:pPr>
              <w:spacing w:line="276" w:lineRule="auto" w:before="40" w:after="40"/>
            </w:pPr>
            <w:r>
              <w:rPr>
                <w:rFonts w:ascii="Times New Roman" w:hAnsi="Times New Roman"/>
                <w:sz w:val="17"/>
              </w:rPr>
              <w:t>Diash, Nathania, Idhom, &amp; Trimono (2025) [SINTA 2]</w:t>
            </w:r>
          </w:p>
        </w:tc>
        <w:tc>
          <w:tcPr>
            <w:tcW w:type="dxa" w:w="1134"/>
            <w:vAlign w:val="center"/>
          </w:tcPr>
          <w:p>
            <w:pPr>
              <w:spacing w:line="276" w:lineRule="auto" w:before="40" w:after="40"/>
            </w:pPr>
            <w:r>
              <w:rPr>
                <w:rFonts w:ascii="Times New Roman" w:hAnsi="Times New Roman"/>
                <w:sz w:val="17"/>
              </w:rPr>
              <w:t>Ethereum (ETH)</w:t>
            </w:r>
          </w:p>
        </w:tc>
        <w:tc>
          <w:tcPr>
            <w:tcW w:type="dxa" w:w="1134"/>
            <w:vAlign w:val="center"/>
          </w:tcPr>
          <w:p>
            <w:pPr>
              <w:spacing w:line="276" w:lineRule="auto" w:before="40" w:after="40"/>
            </w:pPr>
            <w:r>
              <w:rPr>
                <w:rFonts w:ascii="Times New Roman" w:hAnsi="Times New Roman"/>
                <w:sz w:val="17"/>
              </w:rPr>
              <w:t>Hybrid CNN-BiLSTM</w:t>
            </w:r>
          </w:p>
        </w:tc>
        <w:tc>
          <w:tcPr>
            <w:tcW w:type="dxa" w:w="1134"/>
            <w:vAlign w:val="center"/>
          </w:tcPr>
          <w:p>
            <w:pPr>
              <w:spacing w:line="276" w:lineRule="auto" w:before="40" w:after="40"/>
            </w:pPr>
            <w:r>
              <w:rPr>
                <w:rFonts w:ascii="Times New Roman" w:hAnsi="Times New Roman"/>
                <w:sz w:val="17"/>
              </w:rPr>
              <w:t>Data Historis Harga ETH</w:t>
            </w:r>
          </w:p>
        </w:tc>
        <w:tc>
          <w:tcPr>
            <w:tcW w:type="dxa" w:w="1134"/>
            <w:vAlign w:val="center"/>
          </w:tcPr>
          <w:p>
            <w:pPr>
              <w:spacing w:line="276" w:lineRule="auto" w:before="40" w:after="40"/>
            </w:pPr>
            <w:r>
              <w:rPr>
                <w:rFonts w:ascii="Times New Roman" w:hAnsi="Times New Roman"/>
                <w:sz w:val="17"/>
              </w:rPr>
              <w:t>RMSE, MAE, MAPE</w:t>
            </w:r>
          </w:p>
        </w:tc>
        <w:tc>
          <w:tcPr>
            <w:tcW w:type="dxa" w:w="1134"/>
            <w:vAlign w:val="center"/>
          </w:tcPr>
          <w:p>
            <w:pPr>
              <w:spacing w:line="276" w:lineRule="auto" w:before="40" w:after="40"/>
            </w:pPr>
            <w:r>
              <w:rPr>
                <w:rFonts w:ascii="Times New Roman" w:hAnsi="Times New Roman"/>
                <w:sz w:val="17"/>
              </w:rPr>
              <w:t>Sudah menggabungkan CNN dan BiLSTM dengan baik, tetapi belum dilengkapi Temporal Attention dan belum diuji pada Solana.</w:t>
            </w:r>
          </w:p>
        </w:tc>
      </w:tr>
      <w:tr>
        <w:tc>
          <w:tcPr>
            <w:tcW w:type="dxa" w:w="1134"/>
            <w:vAlign w:val="center"/>
          </w:tcPr>
          <w:p>
            <w:pPr>
              <w:spacing w:line="276" w:lineRule="auto" w:before="40" w:after="40"/>
            </w:pPr>
            <w:r>
              <w:rPr>
                <w:rFonts w:ascii="Times New Roman" w:hAnsi="Times New Roman"/>
                <w:sz w:val="17"/>
              </w:rPr>
              <w:t>Usulan</w:t>
            </w:r>
          </w:p>
        </w:tc>
        <w:tc>
          <w:tcPr>
            <w:tcW w:type="dxa" w:w="1134"/>
            <w:vAlign w:val="center"/>
          </w:tcPr>
          <w:p>
            <w:pPr>
              <w:spacing w:line="276" w:lineRule="auto" w:before="40" w:after="40"/>
            </w:pPr>
            <w:r>
              <w:rPr>
                <w:rFonts w:ascii="Times New Roman" w:hAnsi="Times New Roman"/>
                <w:sz w:val="17"/>
              </w:rPr>
              <w:t>Arigusna &amp; Rahmat (2026) [Penelitian Ini]</w:t>
            </w:r>
          </w:p>
        </w:tc>
        <w:tc>
          <w:tcPr>
            <w:tcW w:type="dxa" w:w="1134"/>
            <w:vAlign w:val="center"/>
          </w:tcPr>
          <w:p>
            <w:pPr>
              <w:spacing w:line="276" w:lineRule="auto" w:before="40" w:after="40"/>
            </w:pPr>
            <w:r>
              <w:rPr>
                <w:rFonts w:ascii="Times New Roman" w:hAnsi="Times New Roman"/>
                <w:sz w:val="17"/>
              </w:rPr>
              <w:t>Solana (SOL-USD)</w:t>
            </w:r>
          </w:p>
        </w:tc>
        <w:tc>
          <w:tcPr>
            <w:tcW w:type="dxa" w:w="1134"/>
            <w:vAlign w:val="center"/>
          </w:tcPr>
          <w:p>
            <w:pPr>
              <w:spacing w:line="276" w:lineRule="auto" w:before="40" w:after="40"/>
            </w:pPr>
            <w:r>
              <w:rPr>
                <w:rFonts w:ascii="Times New Roman" w:hAnsi="Times New Roman"/>
                <w:sz w:val="17"/>
              </w:rPr>
              <w:t>Hibrida CNN-BiLSTM + Temporal Attention</w:t>
            </w:r>
          </w:p>
        </w:tc>
        <w:tc>
          <w:tcPr>
            <w:tcW w:type="dxa" w:w="1134"/>
            <w:vAlign w:val="center"/>
          </w:tcPr>
          <w:p>
            <w:pPr>
              <w:spacing w:line="276" w:lineRule="auto" w:before="40" w:after="40"/>
            </w:pPr>
            <w:r>
              <w:rPr>
                <w:rFonts w:ascii="Times New Roman" w:hAnsi="Times New Roman"/>
                <w:sz w:val="17"/>
              </w:rPr>
              <w:t>14 Fitur Multivariat (OHLCV + 9 Indikator Teknikal)</w:t>
            </w:r>
          </w:p>
        </w:tc>
        <w:tc>
          <w:tcPr>
            <w:tcW w:type="dxa" w:w="1134"/>
            <w:vAlign w:val="center"/>
          </w:tcPr>
          <w:p>
            <w:pPr>
              <w:spacing w:line="276" w:lineRule="auto" w:before="40" w:after="40"/>
            </w:pPr>
            <w:r>
              <w:rPr>
                <w:rFonts w:ascii="Times New Roman" w:hAnsi="Times New Roman"/>
                <w:sz w:val="17"/>
              </w:rPr>
              <w:t>MAE, RMSE, MAPE, R², Directional Accuracy (DA) + Studi Ablasi</w:t>
            </w:r>
          </w:p>
        </w:tc>
        <w:tc>
          <w:tcPr>
            <w:tcW w:type="dxa" w:w="1134"/>
            <w:vAlign w:val="center"/>
          </w:tcPr>
          <w:p>
            <w:pPr>
              <w:spacing w:line="276" w:lineRule="auto" w:before="40" w:after="40"/>
            </w:pPr>
            <w:r>
              <w:rPr>
                <w:rFonts w:ascii="Times New Roman" w:hAnsi="Times New Roman"/>
                <w:sz w:val="17"/>
              </w:rPr>
              <w:t>Menjawab seluruh gap: ekstraksi lokal 1D-CNN lintas 14 fitur, konteks dua arah BiLSTM, pembobotan adaptif Temporal Attention, dan evaluasi ketepatan arah (DA).</w:t>
            </w:r>
          </w:p>
        </w:tc>
      </w:tr>
    </w:tbl>
    <w:p>
      <w:pPr>
        <w:spacing w:line="360" w:lineRule="auto" w:after="120"/>
        <w:ind w:firstLine="567"/>
        <w:jc w:val="both"/>
      </w:pPr>
      <w:r>
        <w:rPr>
          <w:rFonts w:ascii="Times New Roman" w:hAnsi="Times New Roman"/>
          <w:b w:val="0"/>
          <w:i w:val="0"/>
          <w:sz w:val="24"/>
        </w:rPr>
        <w:t xml:space="preserve">Berdasarkan Tabel 3.1 di atas, dapat dianalisis secara menyeluruh bahwa kesebelas penelitian terdahulu yang menjadi rujukan utama memiliki kontribusi penting namun masih menyisakan celah metodologis pada aspek kelengkapan fitur maupun arsitektur jaringan. Penelitian [1], [2], [11], [12], dan [13] berfokus pada komparasi jaringan rekuren murni (LSTM, GRU, BiLSTM) pada data harga historis kripto, sedangkan penelitian spesifik Solana pada baris [16], [17], [18], dan [19] belum mengombinasikan konvolusi 1D-CNN dan konteks dua arah BiLSTM. Di sisi lain, penelitian [24] dan [25] di lingkungan Fasilkom UPN "Veteran" Jawa Timur telah memvalidasi keunggulan BiLSTM dan hibrida CNN-BiLSTM pada Bitcoin serta Ethereum, namun belum menyertakan mekanisme </w:t>
      </w:r>
      <w:r>
        <w:rPr>
          <w:rFonts w:ascii="Times New Roman" w:hAnsi="Times New Roman"/>
          <w:b w:val="0"/>
          <w:i/>
          <w:sz w:val="24"/>
        </w:rPr>
        <w:t>Temporal Attention</w:t>
      </w:r>
      <w:r>
        <w:rPr>
          <w:rFonts w:ascii="Times New Roman" w:hAnsi="Times New Roman"/>
          <w:b w:val="0"/>
          <w:i w:val="0"/>
          <w:sz w:val="24"/>
        </w:rPr>
        <w:t xml:space="preserve">. Sebagaimana dirangkum pada baris terakhir Tabel 3.1, penelitian ini menyatukan seluruh keunggulan tersebut pada objek Solana (SOL-USD) melalui integrasi 14 fitur indikator teknikal, 1D-CNN, BiLSTM, Temporal </w:t>
      </w:r>
      <w:r>
        <w:rPr>
          <w:rFonts w:ascii="Times New Roman" w:hAnsi="Times New Roman"/>
          <w:b w:val="0"/>
          <w:i/>
          <w:sz w:val="24"/>
        </w:rPr>
        <w:t>Bahdanau Attention</w:t>
      </w:r>
      <w:r>
        <w:rPr>
          <w:rFonts w:ascii="Times New Roman" w:hAnsi="Times New Roman"/>
          <w:b w:val="0"/>
          <w:i w:val="0"/>
          <w:sz w:val="24"/>
        </w:rPr>
        <w:t xml:space="preserve">, serta evaluasi </w:t>
      </w:r>
      <w:r>
        <w:rPr>
          <w:rFonts w:ascii="Times New Roman" w:hAnsi="Times New Roman"/>
          <w:b w:val="0"/>
          <w:i/>
          <w:sz w:val="24"/>
        </w:rPr>
        <w:t>Directional Accuracy</w:t>
      </w:r>
      <w:r>
        <w:rPr>
          <w:rFonts w:ascii="Times New Roman" w:hAnsi="Times New Roman"/>
          <w:b w:val="0"/>
          <w:i w:val="0"/>
          <w:sz w:val="24"/>
        </w:rPr>
        <w:t xml:space="preserve"> (DA) dan studi ablasi.</w:t>
      </w:r>
    </w:p>
    <w:sectPr w:rsidR="00FC693F" w:rsidRPr="0006063C" w:rsidSect="00034616">
      <w:pgSz w:w="11906" w:h="16838"/>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