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jc w:val="center"/>
      </w:pPr>
      <w:r>
        <w:rPr>
          <w:rFonts w:ascii="Times New Roman" w:hAnsi="Times New Roman"/>
          <w:b/>
          <w:sz w:val="28"/>
        </w:rPr>
        <w:t>PETA KONSEP PENELITIAN (RESEARCH MIND MAP)</w:t>
      </w:r>
    </w:p>
    <w:p>
      <w:pPr>
        <w:spacing w:line="276" w:lineRule="auto" w:after="240"/>
        <w:jc w:val="center"/>
      </w:pPr>
      <w:r>
        <w:rPr>
          <w:rFonts w:ascii="Times New Roman" w:hAnsi="Times New Roman"/>
          <w:i/>
          <w:sz w:val="22"/>
        </w:rPr>
        <w:t>Pemetaan Masalah, Kesenjangan Riset, Dataset, Arsitektur CNN-BiLSTM-Attention, Evaluasi, dan Target Kontribusi</w:t>
        <w:br/>
        <w:t>Peneliti: Muhammad Bazwa Arigusna (NPM. 23081010250)</w:t>
        <w:br/>
        <w:t>Dosen Pengampu / Pembimbing: Dr. Basuki Rahmat, S.Si., MT.</w:t>
        <w:br/>
        <w:t>Program Studi Informatika — Fakultas Ilmu Komputer, UPN "Veteran" Jawa Timur</w:t>
      </w:r>
    </w:p>
    <w:p>
      <w:pPr>
        <w:keepNext/>
        <w:spacing w:before="200" w:after="80" w:line="360" w:lineRule="auto"/>
      </w:pPr>
      <w:r>
        <w:rPr>
          <w:rFonts w:ascii="Times New Roman" w:hAnsi="Times New Roman"/>
          <w:b/>
          <w:i w:val="0"/>
          <w:sz w:val="28"/>
        </w:rPr>
        <w:t xml:space="preserve">1. Visualisasi </w:t>
      </w:r>
      <w:r>
        <w:rPr>
          <w:rFonts w:ascii="Times New Roman" w:hAnsi="Times New Roman"/>
          <w:b/>
          <w:i/>
          <w:sz w:val="28"/>
        </w:rPr>
        <w:t>Research Mind Map</w:t>
      </w:r>
    </w:p>
    <w:p>
      <w:pPr>
        <w:spacing w:line="360" w:lineRule="auto" w:after="120"/>
        <w:ind w:firstLine="567"/>
        <w:jc w:val="both"/>
      </w:pPr>
      <w:r>
        <w:rPr>
          <w:rFonts w:ascii="Times New Roman" w:hAnsi="Times New Roman"/>
          <w:b w:val="0"/>
          <w:i w:val="0"/>
          <w:sz w:val="24"/>
        </w:rPr>
        <w:t>Peta pikiran penelitian (</w:t>
      </w:r>
      <w:r>
        <w:rPr>
          <w:rFonts w:ascii="Times New Roman" w:hAnsi="Times New Roman"/>
          <w:b w:val="0"/>
          <w:i/>
          <w:sz w:val="24"/>
        </w:rPr>
        <w:t>Research Mind Map</w:t>
      </w:r>
      <w:r>
        <w:rPr>
          <w:rFonts w:ascii="Times New Roman" w:hAnsi="Times New Roman"/>
          <w:b w:val="0"/>
          <w:i w:val="0"/>
          <w:sz w:val="24"/>
        </w:rPr>
        <w:t xml:space="preserve">) dirancang untuk memetakan keterkaitan logis antara latar belakang permasalahan pada ekosistem </w:t>
      </w:r>
      <w:r>
        <w:rPr>
          <w:rFonts w:ascii="Times New Roman" w:hAnsi="Times New Roman"/>
          <w:b w:val="0"/>
          <w:i/>
          <w:sz w:val="24"/>
        </w:rPr>
        <w:t>blockchain</w:t>
      </w:r>
      <w:r>
        <w:rPr>
          <w:rFonts w:ascii="Times New Roman" w:hAnsi="Times New Roman"/>
          <w:b w:val="0"/>
          <w:i w:val="0"/>
          <w:sz w:val="24"/>
        </w:rPr>
        <w:t xml:space="preserve"> Solana, kesenjangan literatur (</w:t>
      </w:r>
      <w:r>
        <w:rPr>
          <w:rFonts w:ascii="Times New Roman" w:hAnsi="Times New Roman"/>
          <w:b w:val="0"/>
          <w:i/>
          <w:sz w:val="24"/>
        </w:rPr>
        <w:t>research gap</w:t>
      </w:r>
      <w:r>
        <w:rPr>
          <w:rFonts w:ascii="Times New Roman" w:hAnsi="Times New Roman"/>
          <w:b w:val="0"/>
          <w:i w:val="0"/>
          <w:sz w:val="24"/>
        </w:rPr>
        <w:t xml:space="preserve">), konstruksi dataset multivariat, rancangan arsitektur hibrida CNN-BiLSTM-Attention, skenario evaluasi, hingga target luaran publikasi ilmiah. Visualisasi </w:t>
      </w:r>
      <w:r>
        <w:rPr>
          <w:rFonts w:ascii="Times New Roman" w:hAnsi="Times New Roman"/>
          <w:b w:val="0"/>
          <w:i/>
          <w:sz w:val="24"/>
        </w:rPr>
        <w:t>Research Mind Map</w:t>
      </w:r>
      <w:r>
        <w:rPr>
          <w:rFonts w:ascii="Times New Roman" w:hAnsi="Times New Roman"/>
          <w:b w:val="0"/>
          <w:i w:val="0"/>
          <w:sz w:val="24"/>
        </w:rPr>
        <w:t xml:space="preserve"> ditunjukkan pada Gambar 4.1.</w:t>
      </w:r>
    </w:p>
    <w:p>
      <w:pPr>
        <w:keepNext/>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research_mind_map_solana.png"/>
                    <pic:cNvPicPr/>
                  </pic:nvPicPr>
                  <pic:blipFill>
                    <a:blip r:embed="rId9"/>
                    <a:stretch>
                      <a:fillRect/>
                    </a:stretch>
                  </pic:blipFill>
                  <pic:spPr>
                    <a:xfrm>
                      <a:off x="0" y="0"/>
                      <a:ext cx="5040000" cy="3360000"/>
                    </a:xfrm>
                    <a:prstGeom prst="rect"/>
                  </pic:spPr>
                </pic:pic>
              </a:graphicData>
            </a:graphic>
          </wp:inline>
        </w:drawing>
      </w:r>
    </w:p>
    <w:p>
      <w:pPr>
        <w:keepNext/>
        <w:spacing w:before="80" w:after="120" w:line="276" w:lineRule="auto"/>
        <w:jc w:val="center"/>
      </w:pPr>
      <w:r>
        <w:rPr>
          <w:rFonts w:ascii="Times New Roman" w:hAnsi="Times New Roman"/>
          <w:b/>
          <w:sz w:val="22"/>
        </w:rPr>
        <w:t xml:space="preserve">Gambar 4.1 </w:t>
      </w:r>
      <w:r>
        <w:rPr>
          <w:rFonts w:ascii="Times New Roman" w:hAnsi="Times New Roman"/>
          <w:b/>
          <w:i/>
          <w:sz w:val="22"/>
        </w:rPr>
        <w:t>Research Mind Map</w:t>
      </w:r>
      <w:r>
        <w:rPr>
          <w:rFonts w:ascii="Times New Roman" w:hAnsi="Times New Roman"/>
          <w:b/>
          <w:i w:val="0"/>
          <w:sz w:val="22"/>
        </w:rPr>
        <w:t xml:space="preserve"> Prediksi Harga Solana Menggunakan Model Hibrida CNN-BiLSTM-Attention</w:t>
      </w:r>
    </w:p>
    <w:p>
      <w:pPr>
        <w:spacing w:line="360" w:lineRule="auto" w:after="120"/>
        <w:ind w:firstLine="567"/>
        <w:jc w:val="both"/>
      </w:pPr>
      <w:r>
        <w:rPr>
          <w:rFonts w:ascii="Times New Roman" w:hAnsi="Times New Roman"/>
          <w:b w:val="0"/>
          <w:i w:val="0"/>
          <w:sz w:val="24"/>
        </w:rPr>
        <w:t xml:space="preserve">Berdasarkan Gambar 4.1 di atas, dapat dijelaskan bahwa diagram </w:t>
      </w:r>
      <w:r>
        <w:rPr>
          <w:rFonts w:ascii="Times New Roman" w:hAnsi="Times New Roman"/>
          <w:b w:val="0"/>
          <w:i/>
          <w:sz w:val="24"/>
        </w:rPr>
        <w:t>Research Mind Map</w:t>
      </w:r>
      <w:r>
        <w:rPr>
          <w:rFonts w:ascii="Times New Roman" w:hAnsi="Times New Roman"/>
          <w:b w:val="0"/>
          <w:i w:val="0"/>
          <w:sz w:val="24"/>
        </w:rPr>
        <w:t xml:space="preserve"> menempatkan topik inti penelitian pada simpul pusat yang bercabang secara simetris ke enam domain komponen riset (tiga cabang di sisi kiri dan tiga cabang di sisi kanan). Sisi kiri memetakan fondasi permasalahan yang mencakup karakteristik konsensus </w:t>
      </w:r>
      <w:r>
        <w:rPr>
          <w:rFonts w:ascii="Times New Roman" w:hAnsi="Times New Roman"/>
          <w:b w:val="0"/>
          <w:i/>
          <w:sz w:val="24"/>
        </w:rPr>
        <w:t>Proof of History</w:t>
      </w:r>
      <w:r>
        <w:rPr>
          <w:rFonts w:ascii="Times New Roman" w:hAnsi="Times New Roman"/>
          <w:b w:val="0"/>
          <w:i w:val="0"/>
          <w:sz w:val="24"/>
        </w:rPr>
        <w:t xml:space="preserve"> dan volatilitas Solana (Cabang 1), identifikasi empat kesenjangan penelitian pada model rekuren standar (Cabang 2), serta konstruksi dataset 2.080 observasi harian dengan 14 fitur indikator teknikal (Cabang 3). Adapun sisi kanan memetakan solusi metodologis yang meliputi rancangan arsitektur hibrida 1D-CNN, BiLSTM, dan Temporal </w:t>
      </w:r>
      <w:r>
        <w:rPr>
          <w:rFonts w:ascii="Times New Roman" w:hAnsi="Times New Roman"/>
          <w:b w:val="0"/>
          <w:i/>
          <w:sz w:val="24"/>
        </w:rPr>
        <w:t>Bahdanau Attention</w:t>
      </w:r>
      <w:r>
        <w:rPr>
          <w:rFonts w:ascii="Times New Roman" w:hAnsi="Times New Roman"/>
          <w:b w:val="0"/>
          <w:i w:val="0"/>
          <w:sz w:val="24"/>
        </w:rPr>
        <w:t xml:space="preserve"> (Cabang 4), protokol pengujian komparatif lima model beserta studi ablasi menggunakan metrik MAE, RMSE, MAPE, R², dan </w:t>
      </w:r>
      <w:r>
        <w:rPr>
          <w:rFonts w:ascii="Times New Roman" w:hAnsi="Times New Roman"/>
          <w:b w:val="0"/>
          <w:i/>
          <w:sz w:val="24"/>
        </w:rPr>
        <w:t>Directional Accuracy</w:t>
      </w:r>
      <w:r>
        <w:rPr>
          <w:rFonts w:ascii="Times New Roman" w:hAnsi="Times New Roman"/>
          <w:b w:val="0"/>
          <w:i w:val="0"/>
          <w:sz w:val="24"/>
        </w:rPr>
        <w:t xml:space="preserve"> (Cabang 5), serta target luaran akademik untuk UTS dan UAS (Cabang 6).</w:t>
      </w:r>
    </w:p>
    <w:p>
      <w:pPr>
        <w:keepNext/>
        <w:spacing w:before="200" w:after="80" w:line="360" w:lineRule="auto"/>
      </w:pPr>
      <w:r>
        <w:rPr>
          <w:rFonts w:ascii="Times New Roman" w:hAnsi="Times New Roman"/>
          <w:b/>
          <w:i w:val="0"/>
          <w:sz w:val="28"/>
        </w:rPr>
        <w:t>2. Uraian Rinci Setiap Cabang Peta Konsep Penelitian</w:t>
      </w:r>
    </w:p>
    <w:p>
      <w:pPr>
        <w:spacing w:line="360" w:lineRule="auto" w:after="120"/>
        <w:jc w:val="both"/>
      </w:pPr>
      <w:r>
        <w:rPr>
          <w:rFonts w:ascii="Times New Roman" w:hAnsi="Times New Roman"/>
          <w:b/>
          <w:sz w:val="24"/>
        </w:rPr>
        <w:t xml:space="preserve">Cabang 1 — Fenomena dan Masalah Penelitian: </w:t>
      </w:r>
      <w:r>
        <w:rPr>
          <w:rFonts w:ascii="Times New Roman" w:hAnsi="Times New Roman"/>
          <w:b w:val="0"/>
          <w:i w:val="0"/>
          <w:sz w:val="24"/>
        </w:rPr>
        <w:t xml:space="preserve">Jaringan Solana memproses ribuan transaksi per detik melalui konsensus </w:t>
      </w:r>
      <w:r>
        <w:rPr>
          <w:rFonts w:ascii="Times New Roman" w:hAnsi="Times New Roman"/>
          <w:b w:val="0"/>
          <w:i/>
          <w:sz w:val="24"/>
        </w:rPr>
        <w:t>Proof of History</w:t>
      </w:r>
      <w:r>
        <w:rPr>
          <w:rFonts w:ascii="Times New Roman" w:hAnsi="Times New Roman"/>
          <w:b w:val="0"/>
          <w:i w:val="0"/>
          <w:sz w:val="24"/>
        </w:rPr>
        <w:t xml:space="preserve"> (PoH) dan </w:t>
      </w:r>
      <w:r>
        <w:rPr>
          <w:rFonts w:ascii="Times New Roman" w:hAnsi="Times New Roman"/>
          <w:b w:val="0"/>
          <w:i/>
          <w:sz w:val="24"/>
        </w:rPr>
        <w:t>Proof of Stake</w:t>
      </w:r>
      <w:r>
        <w:rPr>
          <w:rFonts w:ascii="Times New Roman" w:hAnsi="Times New Roman"/>
          <w:b w:val="0"/>
          <w:i w:val="0"/>
          <w:sz w:val="24"/>
        </w:rPr>
        <w:t xml:space="preserve"> (PoS) [3], [4], namun harga pasarnya (SOL-USD) mengalami volatilitas tinggi yang bersifat non-linier dan non-stasioner [8], [9], sehingga sulit diprediksi secara akurat oleh model statistik linier maupun jaringan saraf univariat.</w:t>
      </w:r>
    </w:p>
    <w:p>
      <w:pPr>
        <w:spacing w:line="360" w:lineRule="auto" w:after="120"/>
        <w:jc w:val="both"/>
      </w:pPr>
      <w:r>
        <w:rPr>
          <w:rFonts w:ascii="Times New Roman" w:hAnsi="Times New Roman"/>
          <w:b/>
          <w:sz w:val="24"/>
        </w:rPr>
        <w:t xml:space="preserve">Cabang 2 — Research Gap: </w:t>
      </w:r>
      <w:r>
        <w:rPr>
          <w:rFonts w:ascii="Times New Roman" w:hAnsi="Times New Roman"/>
          <w:b w:val="0"/>
          <w:i w:val="0"/>
          <w:sz w:val="24"/>
        </w:rPr>
        <w:t>Model LSTM dan GRU standar memperlakukan bobot waktu secara seragam dan belum dilengkapi penyaring fitur lokal antar-indikator teknikal [12], [16], [18], sehingga rentan mengalami keterlambatan fase (</w:t>
      </w:r>
      <w:r>
        <w:rPr>
          <w:rFonts w:ascii="Times New Roman" w:hAnsi="Times New Roman"/>
          <w:b w:val="0"/>
          <w:i/>
          <w:sz w:val="24"/>
        </w:rPr>
        <w:t>phase lagging</w:t>
      </w:r>
      <w:r>
        <w:rPr>
          <w:rFonts w:ascii="Times New Roman" w:hAnsi="Times New Roman"/>
          <w:b w:val="0"/>
          <w:i w:val="0"/>
          <w:sz w:val="24"/>
        </w:rPr>
        <w:t>) pada saat terjadi lonjakan harga mendadak.</w:t>
      </w:r>
    </w:p>
    <w:p>
      <w:pPr>
        <w:spacing w:line="360" w:lineRule="auto" w:after="120"/>
        <w:jc w:val="both"/>
      </w:pPr>
      <w:r>
        <w:rPr>
          <w:rFonts w:ascii="Times New Roman" w:hAnsi="Times New Roman"/>
          <w:b/>
          <w:sz w:val="24"/>
        </w:rPr>
        <w:t xml:space="preserve">Cabang 3 — Dataset Rencana Riset Kecil: </w:t>
      </w:r>
      <w:r>
        <w:rPr>
          <w:rFonts w:ascii="Times New Roman" w:hAnsi="Times New Roman"/>
          <w:b w:val="0"/>
          <w:i w:val="0"/>
          <w:sz w:val="24"/>
        </w:rPr>
        <w:t>Menggunakan 2.080 observasi harian bersih SOL-USD (2021–2026) dengan 14 fitur input multivariat (Open, High, Low, Close, Volume, EMA-14, EMA-50, RSI-14, MACD, MACD Signal, BB Upper, BB Lower, ATR-14, dan OBV) yang dibagi secara kronologis menjadi 70% data latih, 15% data validasi, dan 15% data uji.</w:t>
      </w:r>
    </w:p>
    <w:p>
      <w:pPr>
        <w:spacing w:line="360" w:lineRule="auto" w:after="120"/>
        <w:jc w:val="both"/>
      </w:pPr>
      <w:r>
        <w:rPr>
          <w:rFonts w:ascii="Times New Roman" w:hAnsi="Times New Roman"/>
          <w:b/>
          <w:sz w:val="24"/>
        </w:rPr>
        <w:t xml:space="preserve">Cabang 4 — Arsitektur Usulan (Hybrid CNN-BiLSTM-Attention): </w:t>
      </w:r>
      <w:r>
        <w:rPr>
          <w:rFonts w:ascii="Times New Roman" w:hAnsi="Times New Roman"/>
          <w:b w:val="0"/>
          <w:i w:val="0"/>
          <w:sz w:val="24"/>
        </w:rPr>
        <w:t xml:space="preserve">Mengintegrasikan 1D-CNN (ekstraksi pola morfologi lokal lintas indikator) [25], [26], BiLSTM (pemodelan ketergantungan temporal maju dan mundur) [24], serta mekanisme Temporal </w:t>
      </w:r>
      <w:r>
        <w:rPr>
          <w:rFonts w:ascii="Times New Roman" w:hAnsi="Times New Roman"/>
          <w:b w:val="0"/>
          <w:i/>
          <w:sz w:val="24"/>
        </w:rPr>
        <w:t>Bahdanau Attention</w:t>
      </w:r>
      <w:r>
        <w:rPr>
          <w:rFonts w:ascii="Times New Roman" w:hAnsi="Times New Roman"/>
          <w:b w:val="0"/>
          <w:i w:val="0"/>
          <w:sz w:val="24"/>
        </w:rPr>
        <w:t xml:space="preserve"> (pembobotan selektif langkah waktu historis dalam jendela 20 hari) [27], [28], [29].</w:t>
      </w:r>
    </w:p>
    <w:p>
      <w:pPr>
        <w:spacing w:line="360" w:lineRule="auto" w:after="120"/>
        <w:jc w:val="both"/>
      </w:pPr>
      <w:r>
        <w:rPr>
          <w:rFonts w:ascii="Times New Roman" w:hAnsi="Times New Roman"/>
          <w:b/>
          <w:sz w:val="24"/>
        </w:rPr>
        <w:t xml:space="preserve">Cabang 5 — Rencana Metrik Evaluasi dan Komparasi: </w:t>
      </w:r>
      <w:r>
        <w:rPr>
          <w:rFonts w:ascii="Times New Roman" w:hAnsi="Times New Roman"/>
          <w:b w:val="0"/>
          <w:i w:val="0"/>
          <w:sz w:val="24"/>
        </w:rPr>
        <w:t xml:space="preserve">Membandingkan model usulan terhadap empat model pembanding (LSTM, GRU, BiLSTM, dan CNN-BiLSTM) serta studi ablasi univariat menggunakan lima metrik evaluasi: MAE, RMSE, MAPE, R² Score, dan </w:t>
      </w:r>
      <w:r>
        <w:rPr>
          <w:rFonts w:ascii="Times New Roman" w:hAnsi="Times New Roman"/>
          <w:b w:val="0"/>
          <w:i/>
          <w:sz w:val="24"/>
        </w:rPr>
        <w:t>Directional Accuracy</w:t>
      </w:r>
      <w:r>
        <w:rPr>
          <w:rFonts w:ascii="Times New Roman" w:hAnsi="Times New Roman"/>
          <w:b w:val="0"/>
          <w:i w:val="0"/>
          <w:sz w:val="24"/>
        </w:rPr>
        <w:t xml:space="preserve"> (DA).</w:t>
      </w:r>
    </w:p>
    <w:p>
      <w:pPr>
        <w:spacing w:line="360" w:lineRule="auto" w:after="120"/>
        <w:jc w:val="both"/>
      </w:pPr>
      <w:r>
        <w:rPr>
          <w:rFonts w:ascii="Times New Roman" w:hAnsi="Times New Roman"/>
          <w:b/>
          <w:sz w:val="24"/>
        </w:rPr>
        <w:t xml:space="preserve">Cabang 6 — Target Luaran dan Kontribusi: </w:t>
      </w:r>
      <w:r>
        <w:rPr>
          <w:rFonts w:ascii="Times New Roman" w:hAnsi="Times New Roman"/>
          <w:b w:val="0"/>
          <w:i w:val="0"/>
          <w:sz w:val="24"/>
        </w:rPr>
        <w:t>Menghasilkan Proposal Skripsi sesuai standar Fasilkom UPN Veteran Jawa Timur 2025 beserta 48 referensi terverifikasi (untuk UTS) serta Draft Paper Publikasi standar Jurnal SINTA 3, dataset terolah, kode eksperimen, dan materi presentasi (untuk UAS).</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