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/>
          <w:b/>
          <w:sz w:val="28"/>
        </w:rPr>
        <w:t>RENCANA METRIK EVALUASI (EVALUATION METRIC PLAN)</w:t>
      </w:r>
    </w:p>
    <w:p>
      <w:pPr>
        <w:spacing w:line="276" w:lineRule="auto" w:after="240"/>
        <w:jc w:val="center"/>
      </w:pPr>
      <w:r>
        <w:rPr>
          <w:rFonts w:ascii="Times New Roman" w:hAnsi="Times New Roman"/>
          <w:i/>
          <w:sz w:val="22"/>
        </w:rPr>
        <w:t>Perumusan Matematis dan Protokol Pengujian Model Prediksi Harga Solana</w:t>
        <w:br/>
        <w:t>Peneliti: Muhammad Bazwa Arigusna (NPM. 23081010250)</w:t>
        <w:br/>
        <w:t>Dosen Pengampu / Pembimbing: Dr. Basuki Rahmat, S.Si., MT.</w:t>
        <w:br/>
        <w:t>Program Studi Informatika — Fakultas Ilmu Komputer, UPN "Veteran" Jawa Timur</w:t>
      </w:r>
    </w:p>
    <w:p>
      <w:pPr>
        <w:keepNext/>
        <w:spacing w:before="200" w:after="80" w:line="360" w:lineRule="auto"/>
      </w:pPr>
      <w:r>
        <w:rPr>
          <w:rFonts w:ascii="Times New Roman" w:hAnsi="Times New Roman"/>
          <w:b/>
          <w:i w:val="0"/>
          <w:sz w:val="28"/>
        </w:rPr>
        <w:t>1. Rasional Pemilihan Metrik Evaluasi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Evaluasi performa model prediksi deret waktu finansial pada aset kripto dengan volatilitas tinggi seperti Solana (SOL-USD) menuntut penggunaan metrik multi-dimensi. Mengacu pada standar evaluasi di berbagai literatur bereputasi [2], [12], [27], [36] serta pedoman skripsi Fakultas Ilmu Komputer UPN "Veteran" Jawa Timur, penelitian ini menetapkan lima metrik evaluasi kuantitatif yang saling melengkapi, yaitu </w:t>
      </w:r>
      <w:r>
        <w:rPr>
          <w:rFonts w:ascii="Times New Roman" w:hAnsi="Times New Roman"/>
          <w:b w:val="0"/>
          <w:i/>
          <w:sz w:val="24"/>
        </w:rPr>
        <w:t>Mean Absolute Error</w:t>
      </w:r>
      <w:r>
        <w:rPr>
          <w:rFonts w:ascii="Times New Roman" w:hAnsi="Times New Roman"/>
          <w:b w:val="0"/>
          <w:i w:val="0"/>
          <w:sz w:val="24"/>
        </w:rPr>
        <w:t xml:space="preserve"> (MAE), </w:t>
      </w:r>
      <w:r>
        <w:rPr>
          <w:rFonts w:ascii="Times New Roman" w:hAnsi="Times New Roman"/>
          <w:b w:val="0"/>
          <w:i/>
          <w:sz w:val="24"/>
        </w:rPr>
        <w:t>Root Mean Square Error</w:t>
      </w:r>
      <w:r>
        <w:rPr>
          <w:rFonts w:ascii="Times New Roman" w:hAnsi="Times New Roman"/>
          <w:b w:val="0"/>
          <w:i w:val="0"/>
          <w:sz w:val="24"/>
        </w:rPr>
        <w:t xml:space="preserve"> (RMSE), </w:t>
      </w:r>
      <w:r>
        <w:rPr>
          <w:rFonts w:ascii="Times New Roman" w:hAnsi="Times New Roman"/>
          <w:b w:val="0"/>
          <w:i/>
          <w:sz w:val="24"/>
        </w:rPr>
        <w:t>Mean Absolute Percentage Error</w:t>
      </w:r>
      <w:r>
        <w:rPr>
          <w:rFonts w:ascii="Times New Roman" w:hAnsi="Times New Roman"/>
          <w:b w:val="0"/>
          <w:i w:val="0"/>
          <w:sz w:val="24"/>
        </w:rPr>
        <w:t xml:space="preserve"> (MAPE), Koefisien Determinasi (R² Score), dan </w:t>
      </w:r>
      <w:r>
        <w:rPr>
          <w:rFonts w:ascii="Times New Roman" w:hAnsi="Times New Roman"/>
          <w:b w:val="0"/>
          <w:i/>
          <w:sz w:val="24"/>
        </w:rPr>
        <w:t>Directional Accuracy</w:t>
      </w:r>
      <w:r>
        <w:rPr>
          <w:rFonts w:ascii="Times New Roman" w:hAnsi="Times New Roman"/>
          <w:b w:val="0"/>
          <w:i w:val="0"/>
          <w:sz w:val="24"/>
        </w:rPr>
        <w:t xml:space="preserve"> (DA). Seluruh metrik dievaluasi pada skala harga asli dalam satuan Dolar Amerika Serikat (USD) setelah dilakukan transformasi balik (</w:t>
      </w:r>
      <w:r>
        <w:rPr>
          <w:rFonts w:ascii="Times New Roman" w:hAnsi="Times New Roman"/>
          <w:b w:val="0"/>
          <w:i/>
          <w:sz w:val="24"/>
        </w:rPr>
        <w:t>inverse scaling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keepNext/>
        <w:spacing w:before="200" w:after="80" w:line="360" w:lineRule="auto"/>
      </w:pPr>
      <w:r>
        <w:rPr>
          <w:rFonts w:ascii="Times New Roman" w:hAnsi="Times New Roman"/>
          <w:b/>
          <w:i w:val="0"/>
          <w:sz w:val="28"/>
        </w:rPr>
        <w:t>2. Formulasi Matematis Metrik Evaluasi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Kelima metrik evaluasi yang digunakan dalam penelitian ini dirumuskan secara matematis beserta penjelasan masing-masing variabelnya pada Persamaan (2.1) hingga Persamaan (2.5) berikut: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a. </w:t>
      </w:r>
      <w:r>
        <w:rPr>
          <w:rFonts w:ascii="Times New Roman" w:hAnsi="Times New Roman"/>
          <w:b/>
          <w:i w:val="0"/>
          <w:sz w:val="24"/>
        </w:rPr>
        <w:t>Mean Absolute Error (MAE):</w:t>
      </w:r>
      <w:r>
        <w:rPr>
          <w:rFonts w:ascii="Times New Roman" w:hAnsi="Times New Roman"/>
          <w:b w:val="0"/>
          <w:i w:val="0"/>
          <w:sz w:val="24"/>
        </w:rPr>
        <w:t xml:space="preserve"> Mengukur rata-rata selisih absolut antara harga aktual dan harga prediksi dalam satuan USD sebagaimana dinyatakan pada Persamaan (2.1):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6917"/>
            <w:vAlign w:val="center"/>
          </w:tcPr>
          <w:p>
            <w:pPr>
              <w:spacing w:before="80" w:after="80" w:line="276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 −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1020"/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sz w:val="24"/>
              </w:rPr>
              <w:t>(2.1)</w:t>
            </w:r>
          </w:p>
        </w:tc>
      </w:tr>
    </w:tbl>
    <w:p>
      <w:pPr>
        <w:spacing w:before="6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Persamaan (2.1) di atas, </w:t>
      </w:r>
      <w:r>
        <w:rPr>
          <w:rFonts w:ascii="Times New Roman" w:hAnsi="Times New Roman"/>
          <w:b w:val="0"/>
          <w:i/>
          <w:sz w:val="24"/>
        </w:rPr>
        <w:t>MAE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 w:val="0"/>
          <w:i/>
          <w:sz w:val="24"/>
        </w:rPr>
        <w:t>Mean Absolute Error</w:t>
      </w:r>
      <w:r>
        <w:rPr>
          <w:rFonts w:ascii="Times New Roman" w:hAnsi="Times New Roman"/>
          <w:b w:val="0"/>
          <w:i w:val="0"/>
          <w:sz w:val="24"/>
        </w:rPr>
        <w:t xml:space="preserve">) mengukur rata-rata selisih mutlak antara nilai harga penutupan aktual Solana </w:t>
      </w:r>
      <w:r>
        <w:rPr>
          <w:rFonts w:ascii="Times New Roman" w:hAnsi="Times New Roman"/>
          <w:b w:val="0"/>
          <w:i/>
          <w:sz w:val="24"/>
        </w:rPr>
        <w:t>y_i</w:t>
      </w:r>
      <w:r>
        <w:rPr>
          <w:rFonts w:ascii="Times New Roman" w:hAnsi="Times New Roman"/>
          <w:b w:val="0"/>
          <w:i w:val="0"/>
          <w:sz w:val="24"/>
        </w:rPr>
        <w:t xml:space="preserve"> dan nilai harga hasil prediksi model </w:t>
      </w:r>
      <w:r>
        <w:rPr>
          <w:rFonts w:ascii="Times New Roman" w:hAnsi="Times New Roman"/>
          <w:b w:val="0"/>
          <w:i/>
          <w:sz w:val="24"/>
        </w:rPr>
        <w:t>ŷ_i</w:t>
      </w:r>
      <w:r>
        <w:rPr>
          <w:rFonts w:ascii="Times New Roman" w:hAnsi="Times New Roman"/>
          <w:b w:val="0"/>
          <w:i w:val="0"/>
          <w:sz w:val="24"/>
        </w:rPr>
        <w:t xml:space="preserve"> dalam satuan Dolar Amerika Serikat (USD) pada keseluruhan </w:t>
      </w:r>
      <w:r>
        <w:rPr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sampel pengujian. Karena memberikan bobot linier yang setara pada setiap titik kesalahan tanpa penguadratan, metrik </w:t>
      </w:r>
      <w:r>
        <w:rPr>
          <w:rFonts w:ascii="Times New Roman" w:hAnsi="Times New Roman"/>
          <w:b w:val="0"/>
          <w:i/>
          <w:sz w:val="24"/>
        </w:rPr>
        <w:t>MAE</w:t>
      </w:r>
      <w:r>
        <w:rPr>
          <w:rFonts w:ascii="Times New Roman" w:hAnsi="Times New Roman"/>
          <w:b w:val="0"/>
          <w:i w:val="0"/>
          <w:sz w:val="24"/>
        </w:rPr>
        <w:t xml:space="preserve"> merepresentasikan besaran deviasi harga rata-rata harian yang paling intuitif secara finansial; semakin mendekati 0 nilai </w:t>
      </w:r>
      <w:r>
        <w:rPr>
          <w:rFonts w:ascii="Times New Roman" w:hAnsi="Times New Roman"/>
          <w:b w:val="0"/>
          <w:i/>
          <w:sz w:val="24"/>
        </w:rPr>
        <w:t>MAE</w:t>
      </w:r>
      <w:r>
        <w:rPr>
          <w:rFonts w:ascii="Times New Roman" w:hAnsi="Times New Roman"/>
          <w:b w:val="0"/>
          <w:i w:val="0"/>
          <w:sz w:val="24"/>
        </w:rPr>
        <w:t>, semakin presisi estimasi model.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b. </w:t>
      </w:r>
      <w:r>
        <w:rPr>
          <w:rFonts w:ascii="Times New Roman" w:hAnsi="Times New Roman"/>
          <w:b/>
          <w:i w:val="0"/>
          <w:sz w:val="24"/>
        </w:rPr>
        <w:t>Root Mean Square Error (RMSE):</w:t>
      </w:r>
      <w:r>
        <w:rPr>
          <w:rFonts w:ascii="Times New Roman" w:hAnsi="Times New Roman"/>
          <w:b w:val="0"/>
          <w:i w:val="0"/>
          <w:sz w:val="24"/>
        </w:rPr>
        <w:t xml:space="preserve"> Mengukur akar dari rata-rata kuadrat kesalahan prediksi untuk menilai ketangguhan model terhadap fluktuasi ekstrem sebagaimana dinyatakan pada Persamaan (2.2):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6917"/>
            <w:vAlign w:val="center"/>
          </w:tcPr>
          <w:p>
            <w:pPr>
              <w:spacing w:before="80" w:after="80" w:line="276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RMSE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 = 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 − 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type="dxa" w:w="1020"/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sz w:val="24"/>
              </w:rPr>
              <w:t>(2.2)</w:t>
            </w:r>
          </w:p>
        </w:tc>
      </w:tr>
    </w:tbl>
    <w:p>
      <w:pPr>
        <w:spacing w:before="6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Persamaan (2.2) di atas, </w:t>
      </w:r>
      <w:r>
        <w:rPr>
          <w:rFonts w:ascii="Times New Roman" w:hAnsi="Times New Roman"/>
          <w:b w:val="0"/>
          <w:i/>
          <w:sz w:val="24"/>
        </w:rPr>
        <w:t>RMSE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 w:val="0"/>
          <w:i/>
          <w:sz w:val="24"/>
        </w:rPr>
        <w:t>Root Mean Square Error</w:t>
      </w:r>
      <w:r>
        <w:rPr>
          <w:rFonts w:ascii="Times New Roman" w:hAnsi="Times New Roman"/>
          <w:b w:val="0"/>
          <w:i w:val="0"/>
          <w:sz w:val="24"/>
        </w:rPr>
        <w:t xml:space="preserve">) menghitung akar kuadrat dari rata-rata kuadrat selisih antara harga penutupan aktual </w:t>
      </w:r>
      <w:r>
        <w:rPr>
          <w:rFonts w:ascii="Times New Roman" w:hAnsi="Times New Roman"/>
          <w:b w:val="0"/>
          <w:i/>
          <w:sz w:val="24"/>
        </w:rPr>
        <w:t>y_i</w:t>
      </w:r>
      <w:r>
        <w:rPr>
          <w:rFonts w:ascii="Times New Roman" w:hAnsi="Times New Roman"/>
          <w:b w:val="0"/>
          <w:i w:val="0"/>
          <w:sz w:val="24"/>
        </w:rPr>
        <w:t xml:space="preserve"> dan harga prediksi </w:t>
      </w:r>
      <w:r>
        <w:rPr>
          <w:rFonts w:ascii="Times New Roman" w:hAnsi="Times New Roman"/>
          <w:b w:val="0"/>
          <w:i/>
          <w:sz w:val="24"/>
        </w:rPr>
        <w:t>ŷ_i</w:t>
      </w:r>
      <w:r>
        <w:rPr>
          <w:rFonts w:ascii="Times New Roman" w:hAnsi="Times New Roman"/>
          <w:b w:val="0"/>
          <w:i w:val="0"/>
          <w:sz w:val="24"/>
        </w:rPr>
        <w:t xml:space="preserve"> sepanjang </w:t>
      </w:r>
      <w:r>
        <w:rPr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observasi data uji. Proses penguadratan kesalahan sebelum penarikan akar kuadrat menyebabkan metrik </w:t>
      </w:r>
      <w:r>
        <w:rPr>
          <w:rFonts w:ascii="Times New Roman" w:hAnsi="Times New Roman"/>
          <w:b w:val="0"/>
          <w:i/>
          <w:sz w:val="24"/>
        </w:rPr>
        <w:t>RMSE</w:t>
      </w:r>
      <w:r>
        <w:rPr>
          <w:rFonts w:ascii="Times New Roman" w:hAnsi="Times New Roman"/>
          <w:b w:val="0"/>
          <w:i w:val="0"/>
          <w:sz w:val="24"/>
        </w:rPr>
        <w:t xml:space="preserve"> sangat sensitif terhadap kesalahan prediksi berukuran besar (</w:t>
      </w:r>
      <w:r>
        <w:rPr>
          <w:rFonts w:ascii="Times New Roman" w:hAnsi="Times New Roman"/>
          <w:b w:val="0"/>
          <w:i/>
          <w:sz w:val="24"/>
        </w:rPr>
        <w:t>outlier</w:t>
      </w:r>
      <w:r>
        <w:rPr>
          <w:rFonts w:ascii="Times New Roman" w:hAnsi="Times New Roman"/>
          <w:b w:val="0"/>
          <w:i w:val="0"/>
          <w:sz w:val="24"/>
        </w:rPr>
        <w:t>), sehingga metrik ini menjadi indikator utama untuk menilai ketangguhan model saat pasar Solana mengalami lonjakan volatilitas ekstrem.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c. </w:t>
      </w:r>
      <w:r>
        <w:rPr>
          <w:rFonts w:ascii="Times New Roman" w:hAnsi="Times New Roman"/>
          <w:b/>
          <w:i w:val="0"/>
          <w:sz w:val="24"/>
        </w:rPr>
        <w:t>Mean Absolute Percentage Error (MAPE):</w:t>
      </w:r>
      <w:r>
        <w:rPr>
          <w:rFonts w:ascii="Times New Roman" w:hAnsi="Times New Roman"/>
          <w:b w:val="0"/>
          <w:i w:val="0"/>
          <w:sz w:val="24"/>
        </w:rPr>
        <w:t xml:space="preserve"> Mengukur persentase kesalahan relatif rata-rata terhadap harga aktual sebagaimana dirumuskan pada Persamaan (2.3):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6917"/>
            <w:vAlign w:val="center"/>
          </w:tcPr>
          <w:p>
            <w:pPr>
              <w:spacing w:before="80" w:after="80" w:line="276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MAPE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 − 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</w:p>
        </w:tc>
        <w:tc>
          <w:tcPr>
            <w:tcW w:type="dxa" w:w="1020"/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sz w:val="24"/>
              </w:rPr>
              <w:t>(2.3)</w:t>
            </w:r>
          </w:p>
        </w:tc>
      </w:tr>
    </w:tbl>
    <w:p>
      <w:pPr>
        <w:spacing w:before="6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Persamaan (2.3) di atas, </w:t>
      </w:r>
      <w:r>
        <w:rPr>
          <w:rFonts w:ascii="Times New Roman" w:hAnsi="Times New Roman"/>
          <w:b w:val="0"/>
          <w:i/>
          <w:sz w:val="24"/>
        </w:rPr>
        <w:t>MAPE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 w:val="0"/>
          <w:i/>
          <w:sz w:val="24"/>
        </w:rPr>
        <w:t>Mean Absolute Percentage Error</w:t>
      </w:r>
      <w:r>
        <w:rPr>
          <w:rFonts w:ascii="Times New Roman" w:hAnsi="Times New Roman"/>
          <w:b w:val="0"/>
          <w:i w:val="0"/>
          <w:sz w:val="24"/>
        </w:rPr>
        <w:t xml:space="preserve">) menyatakan rata-rata persentase kesalahan absolut antara harga aktual </w:t>
      </w:r>
      <w:r>
        <w:rPr>
          <w:rFonts w:ascii="Times New Roman" w:hAnsi="Times New Roman"/>
          <w:b w:val="0"/>
          <w:i/>
          <w:sz w:val="24"/>
        </w:rPr>
        <w:t>y_i</w:t>
      </w:r>
      <w:r>
        <w:rPr>
          <w:rFonts w:ascii="Times New Roman" w:hAnsi="Times New Roman"/>
          <w:b w:val="0"/>
          <w:i w:val="0"/>
          <w:sz w:val="24"/>
        </w:rPr>
        <w:t xml:space="preserve"> dan harga prediksi </w:t>
      </w:r>
      <w:r>
        <w:rPr>
          <w:rFonts w:ascii="Times New Roman" w:hAnsi="Times New Roman"/>
          <w:b w:val="0"/>
          <w:i/>
          <w:sz w:val="24"/>
        </w:rPr>
        <w:t>ŷ_i</w:t>
      </w:r>
      <w:r>
        <w:rPr>
          <w:rFonts w:ascii="Times New Roman" w:hAnsi="Times New Roman"/>
          <w:b w:val="0"/>
          <w:i w:val="0"/>
          <w:sz w:val="24"/>
        </w:rPr>
        <w:t xml:space="preserve"> relatif terhadap nilai aktual </w:t>
      </w:r>
      <w:r>
        <w:rPr>
          <w:rFonts w:ascii="Times New Roman" w:hAnsi="Times New Roman"/>
          <w:b w:val="0"/>
          <w:i/>
          <w:sz w:val="24"/>
        </w:rPr>
        <w:t>y_i</w:t>
      </w:r>
      <w:r>
        <w:rPr>
          <w:rFonts w:ascii="Times New Roman" w:hAnsi="Times New Roman"/>
          <w:b w:val="0"/>
          <w:i w:val="0"/>
          <w:sz w:val="24"/>
        </w:rPr>
        <w:t xml:space="preserve"> pada </w:t>
      </w:r>
      <w:r>
        <w:rPr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sampel pengujian. Mengingat nilainya dinyatakan dalam satuan persentase (%) yang bebas skala (</w:t>
      </w:r>
      <w:r>
        <w:rPr>
          <w:rFonts w:ascii="Times New Roman" w:hAnsi="Times New Roman"/>
          <w:b w:val="0"/>
          <w:i/>
          <w:sz w:val="24"/>
        </w:rPr>
        <w:t>scale-independent</w:t>
      </w:r>
      <w:r>
        <w:rPr>
          <w:rFonts w:ascii="Times New Roman" w:hAnsi="Times New Roman"/>
          <w:b w:val="0"/>
          <w:i w:val="0"/>
          <w:sz w:val="24"/>
        </w:rPr>
        <w:t xml:space="preserve">), </w:t>
      </w:r>
      <w:r>
        <w:rPr>
          <w:rFonts w:ascii="Times New Roman" w:hAnsi="Times New Roman"/>
          <w:b w:val="0"/>
          <w:i/>
          <w:sz w:val="24"/>
        </w:rPr>
        <w:t>MAPE</w:t>
      </w:r>
      <w:r>
        <w:rPr>
          <w:rFonts w:ascii="Times New Roman" w:hAnsi="Times New Roman"/>
          <w:b w:val="0"/>
          <w:i w:val="0"/>
          <w:sz w:val="24"/>
        </w:rPr>
        <w:t xml:space="preserve"> memungkinkan perbandingan akurasi model secara adil lintas periode harga yang berbeda maupun terhadap hasil penelitian terdahulu.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d. </w:t>
      </w:r>
      <w:r>
        <w:rPr>
          <w:rFonts w:ascii="Times New Roman" w:hAnsi="Times New Roman"/>
          <w:b/>
          <w:i w:val="0"/>
          <w:sz w:val="24"/>
        </w:rPr>
        <w:t>Koefisien Determinasi (R² Score):</w:t>
      </w:r>
      <w:r>
        <w:rPr>
          <w:rFonts w:ascii="Times New Roman" w:hAnsi="Times New Roman"/>
          <w:b w:val="0"/>
          <w:i w:val="0"/>
          <w:sz w:val="24"/>
        </w:rPr>
        <w:t xml:space="preserve"> Mengukur proporsi variansi harga aktual Solana yang mampu dijelaskan oleh model prediktif sesuai Persamaan (2.4):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6917"/>
            <w:vAlign w:val="center"/>
          </w:tcPr>
          <w:p>
            <w:pPr>
              <w:spacing w:before="80" w:after="80" w:line="276" w:lineRule="auto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 = 1 − </m:t>
              </m:r>
              <m:f>
                <m:num>
                  <m:nary>
                    <m:naryPr>
                      <m:chr m:val="∑"/>
                      <m:limLoc m:val="undOvr"/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 − 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 − </m:t>
                              </m:r>
                              <m:acc>
                                <m:accPr>
                                  <m:chr m:val="̄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  <w:tc>
          <w:tcPr>
            <w:tcW w:type="dxa" w:w="1020"/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sz w:val="24"/>
              </w:rPr>
              <w:t>(2.4)</w:t>
            </w:r>
          </w:p>
        </w:tc>
      </w:tr>
    </w:tbl>
    <w:p>
      <w:pPr>
        <w:spacing w:before="6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Persamaan (2.4) di atas, </w:t>
      </w:r>
      <w:r>
        <w:rPr>
          <w:rFonts w:ascii="Times New Roman" w:hAnsi="Times New Roman"/>
          <w:b w:val="0"/>
          <w:i/>
          <w:sz w:val="24"/>
        </w:rPr>
        <w:t>R²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 w:val="0"/>
          <w:i/>
          <w:sz w:val="24"/>
        </w:rPr>
        <w:t>Koefisien Determinasi</w:t>
      </w:r>
      <w:r>
        <w:rPr>
          <w:rFonts w:ascii="Times New Roman" w:hAnsi="Times New Roman"/>
          <w:b w:val="0"/>
          <w:i w:val="0"/>
          <w:sz w:val="24"/>
        </w:rPr>
        <w:t xml:space="preserve">) mengukur proporsi total variansi pergerakan harga aktual Solana </w:t>
      </w:r>
      <w:r>
        <w:rPr>
          <w:rFonts w:ascii="Times New Roman" w:hAnsi="Times New Roman"/>
          <w:b w:val="0"/>
          <w:i/>
          <w:sz w:val="24"/>
        </w:rPr>
        <w:t>y_i</w:t>
      </w:r>
      <w:r>
        <w:rPr>
          <w:rFonts w:ascii="Times New Roman" w:hAnsi="Times New Roman"/>
          <w:b w:val="0"/>
          <w:i w:val="0"/>
          <w:sz w:val="24"/>
        </w:rPr>
        <w:t xml:space="preserve"> terhadap nilai rata-rata aktualnya </w:t>
      </w:r>
      <w:r>
        <w:rPr>
          <w:rFonts w:ascii="Times New Roman" w:hAnsi="Times New Roman"/>
          <w:b w:val="0"/>
          <w:i/>
          <w:sz w:val="24"/>
        </w:rPr>
        <w:t>ȳ</w:t>
      </w:r>
      <w:r>
        <w:rPr>
          <w:rFonts w:ascii="Times New Roman" w:hAnsi="Times New Roman"/>
          <w:b w:val="0"/>
          <w:i w:val="0"/>
          <w:sz w:val="24"/>
        </w:rPr>
        <w:t xml:space="preserve"> yang berhasil dijelaskan oleh variasi prediksi model </w:t>
      </w:r>
      <w:r>
        <w:rPr>
          <w:rFonts w:ascii="Times New Roman" w:hAnsi="Times New Roman"/>
          <w:b w:val="0"/>
          <w:i/>
          <w:sz w:val="24"/>
        </w:rPr>
        <w:t>ŷ_i</w:t>
      </w:r>
      <w:r>
        <w:rPr>
          <w:rFonts w:ascii="Times New Roman" w:hAnsi="Times New Roman"/>
          <w:b w:val="0"/>
          <w:i w:val="0"/>
          <w:sz w:val="24"/>
        </w:rPr>
        <w:t xml:space="preserve"> pada </w:t>
      </w:r>
      <w:r>
        <w:rPr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sampel data uji. Nilai </w:t>
      </w:r>
      <w:r>
        <w:rPr>
          <w:rFonts w:ascii="Times New Roman" w:hAnsi="Times New Roman"/>
          <w:b w:val="0"/>
          <w:i/>
          <w:sz w:val="24"/>
        </w:rPr>
        <w:t>R²</w:t>
      </w:r>
      <w:r>
        <w:rPr>
          <w:rFonts w:ascii="Times New Roman" w:hAnsi="Times New Roman"/>
          <w:b w:val="0"/>
          <w:i w:val="0"/>
          <w:sz w:val="24"/>
        </w:rPr>
        <w:t xml:space="preserve"> berada pada rentang hingga maksimum 1,00; nilai </w:t>
      </w:r>
      <w:r>
        <w:rPr>
          <w:rFonts w:ascii="Times New Roman" w:hAnsi="Times New Roman"/>
          <w:b w:val="0"/>
          <w:i/>
          <w:sz w:val="24"/>
        </w:rPr>
        <w:t>R²</w:t>
      </w:r>
      <w:r>
        <w:rPr>
          <w:rFonts w:ascii="Times New Roman" w:hAnsi="Times New Roman"/>
          <w:b w:val="0"/>
          <w:i w:val="0"/>
          <w:sz w:val="24"/>
        </w:rPr>
        <w:t xml:space="preserve"> yang semakin mendekati 1,00 membuktikan bahwa kurva prediksi model mampu mengikuti pola tren dan fluktuasi harga aktual dengan tingkat kesesuaian (</w:t>
      </w:r>
      <w:r>
        <w:rPr>
          <w:rFonts w:ascii="Times New Roman" w:hAnsi="Times New Roman"/>
          <w:b w:val="0"/>
          <w:i/>
          <w:sz w:val="24"/>
        </w:rPr>
        <w:t>goodness-of-fit</w:t>
      </w:r>
      <w:r>
        <w:rPr>
          <w:rFonts w:ascii="Times New Roman" w:hAnsi="Times New Roman"/>
          <w:b w:val="0"/>
          <w:i w:val="0"/>
          <w:sz w:val="24"/>
        </w:rPr>
        <w:t>) yang sangat tinggi.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e. </w:t>
      </w:r>
      <w:r>
        <w:rPr>
          <w:rFonts w:ascii="Times New Roman" w:hAnsi="Times New Roman"/>
          <w:b/>
          <w:i w:val="0"/>
          <w:sz w:val="24"/>
        </w:rPr>
        <w:t>Directional Accuracy (DA):</w:t>
      </w:r>
      <w:r>
        <w:rPr>
          <w:rFonts w:ascii="Times New Roman" w:hAnsi="Times New Roman"/>
          <w:b w:val="0"/>
          <w:i w:val="0"/>
          <w:sz w:val="24"/>
        </w:rPr>
        <w:t xml:space="preserve"> Mengukur persentase ketepatan model dalam memprediksi arah pergerakan harga harian (naik atau turun) dibandingkan harga penutupan hari sebelumnya sesuai Persamaan (2.5):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6917"/>
            <w:vAlign w:val="center"/>
          </w:tcPr>
          <w:p>
            <w:pPr>
              <w:spacing w:before="80" w:after="80" w:line="276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DA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𝕀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sgn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 − 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−1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 =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sgn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 − 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−1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oMath>
          </w:p>
        </w:tc>
        <w:tc>
          <w:tcPr>
            <w:tcW w:type="dxa" w:w="1020"/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sz w:val="24"/>
              </w:rPr>
              <w:t>(2.5)</w:t>
            </w:r>
          </w:p>
        </w:tc>
      </w:tr>
    </w:tbl>
    <w:p>
      <w:pPr>
        <w:spacing w:before="60" w:after="12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Persamaan (2.5) di atas, </w:t>
      </w:r>
      <w:r>
        <w:rPr>
          <w:rFonts w:ascii="Times New Roman" w:hAnsi="Times New Roman"/>
          <w:b w:val="0"/>
          <w:i/>
          <w:sz w:val="24"/>
        </w:rPr>
        <w:t>DA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 w:val="0"/>
          <w:i/>
          <w:sz w:val="24"/>
        </w:rPr>
        <w:t>Directional Accuracy</w:t>
      </w:r>
      <w:r>
        <w:rPr>
          <w:rFonts w:ascii="Times New Roman" w:hAnsi="Times New Roman"/>
          <w:b w:val="0"/>
          <w:i w:val="0"/>
          <w:sz w:val="24"/>
        </w:rPr>
        <w:t>) mengukur persentase ketepatan model dalam menebak arah pergerakan harga harian (naik atau turun) dari hari ke-</w:t>
      </w:r>
      <w:r>
        <w:rPr>
          <w:rFonts w:ascii="Times New Roman" w:hAnsi="Times New Roman"/>
          <w:b w:val="0"/>
          <w:i/>
          <w:sz w:val="24"/>
        </w:rPr>
        <w:t>(i-1)</w:t>
      </w:r>
      <w:r>
        <w:rPr>
          <w:rFonts w:ascii="Times New Roman" w:hAnsi="Times New Roman"/>
          <w:b w:val="0"/>
          <w:i w:val="0"/>
          <w:sz w:val="24"/>
        </w:rPr>
        <w:t xml:space="preserve"> menuju hari ke-</w:t>
      </w:r>
      <w:r>
        <w:rPr>
          <w:rFonts w:ascii="Times New Roman" w:hAnsi="Times New Roman"/>
          <w:b w:val="0"/>
          <w:i/>
          <w:sz w:val="24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 pada </w:t>
      </w:r>
      <w:r>
        <w:rPr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sampel pengujian, di mana </w:t>
      </w:r>
      <w:r>
        <w:rPr>
          <w:rFonts w:ascii="Times New Roman" w:hAnsi="Times New Roman"/>
          <w:b w:val="0"/>
          <w:i/>
          <w:sz w:val="24"/>
        </w:rPr>
        <w:t>sgn(·)</w:t>
      </w:r>
      <w:r>
        <w:rPr>
          <w:rFonts w:ascii="Times New Roman" w:hAnsi="Times New Roman"/>
          <w:b w:val="0"/>
          <w:i w:val="0"/>
          <w:sz w:val="24"/>
        </w:rPr>
        <w:t xml:space="preserve"> adalah fungsi tanda matematika (+1 jika naik, -1 jika turun) dan </w:t>
      </w:r>
      <w:r>
        <w:rPr>
          <w:rFonts w:ascii="Times New Roman" w:hAnsi="Times New Roman"/>
          <w:b w:val="0"/>
          <w:i/>
          <w:sz w:val="24"/>
        </w:rPr>
        <w:t>𝕀(·)</w:t>
      </w:r>
      <w:r>
        <w:rPr>
          <w:rFonts w:ascii="Times New Roman" w:hAnsi="Times New Roman"/>
          <w:b w:val="0"/>
          <w:i w:val="0"/>
          <w:sz w:val="24"/>
        </w:rPr>
        <w:t xml:space="preserve"> merupakan fungsi indikator yang bernilai 1 apabila arah perubahan prediksi </w:t>
      </w:r>
      <w:r>
        <w:rPr>
          <w:rFonts w:ascii="Times New Roman" w:hAnsi="Times New Roman"/>
          <w:b w:val="0"/>
          <w:i/>
          <w:sz w:val="24"/>
        </w:rPr>
        <w:t>ŷ_i − y_(i-1)</w:t>
      </w:r>
      <w:r>
        <w:rPr>
          <w:rFonts w:ascii="Times New Roman" w:hAnsi="Times New Roman"/>
          <w:b w:val="0"/>
          <w:i w:val="0"/>
          <w:sz w:val="24"/>
        </w:rPr>
        <w:t xml:space="preserve"> sama dengan arah perubahan aktual </w:t>
      </w:r>
      <w:r>
        <w:rPr>
          <w:rFonts w:ascii="Times New Roman" w:hAnsi="Times New Roman"/>
          <w:b w:val="0"/>
          <w:i/>
          <w:sz w:val="24"/>
        </w:rPr>
        <w:t>y_i − y_(i-1)</w:t>
      </w:r>
      <w:r>
        <w:rPr>
          <w:rFonts w:ascii="Times New Roman" w:hAnsi="Times New Roman"/>
          <w:b w:val="0"/>
          <w:i w:val="0"/>
          <w:sz w:val="24"/>
        </w:rPr>
        <w:t xml:space="preserve">, serta bernilai 0 jika berlawanan. Metrik </w:t>
      </w:r>
      <w:r>
        <w:rPr>
          <w:rFonts w:ascii="Times New Roman" w:hAnsi="Times New Roman"/>
          <w:b w:val="0"/>
          <w:i/>
          <w:sz w:val="24"/>
        </w:rPr>
        <w:t>DA</w:t>
      </w:r>
      <w:r>
        <w:rPr>
          <w:rFonts w:ascii="Times New Roman" w:hAnsi="Times New Roman"/>
          <w:b w:val="0"/>
          <w:i w:val="0"/>
          <w:sz w:val="24"/>
        </w:rPr>
        <w:t xml:space="preserve"> sangat krusial untuk memverifikasi bahwa model benar-benar mengenali titik balik tren pasar dan tidak sekadar menyalin harga hari sebelumnya (</w:t>
      </w:r>
      <w:r>
        <w:rPr>
          <w:rFonts w:ascii="Times New Roman" w:hAnsi="Times New Roman"/>
          <w:b w:val="0"/>
          <w:i/>
          <w:sz w:val="24"/>
        </w:rPr>
        <w:t>shadowing effect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keepNext/>
        <w:spacing w:before="200" w:after="80" w:line="360" w:lineRule="auto"/>
      </w:pPr>
      <w:r>
        <w:rPr>
          <w:rFonts w:ascii="Times New Roman" w:hAnsi="Times New Roman"/>
          <w:b/>
          <w:i w:val="0"/>
          <w:sz w:val="28"/>
        </w:rPr>
        <w:t>3. Kriteria Interpretasi Kelayakan Prediksi Berdasarkan MAPE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Untuk menilai tingkat kelayakan akurasi model secara objektif, nilai MAPE yang diperoleh pada tahap pengujian diklasifikasikan menggunakan kriteria interpretasi standar sebagaimana dirangkum pada Tabel 5.1.</w:t>
      </w:r>
    </w:p>
    <w:p>
      <w:pPr>
        <w:keepNext/>
        <w:spacing w:before="160" w:after="60" w:line="276" w:lineRule="auto"/>
      </w:pPr>
      <w:r>
        <w:rPr>
          <w:rFonts w:ascii="Times New Roman" w:hAnsi="Times New Roman"/>
          <w:b/>
          <w:sz w:val="22"/>
        </w:rPr>
        <w:t xml:space="preserve">Tabel 5.1 </w:t>
      </w:r>
      <w:r>
        <w:rPr>
          <w:rFonts w:ascii="Times New Roman" w:hAnsi="Times New Roman"/>
          <w:b/>
          <w:i w:val="0"/>
          <w:sz w:val="22"/>
        </w:rPr>
        <w:t>Kriteria Interpretasi Akurasi Model Prediksi Berdasarkan Nilai MAPE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646"/>
            <w:shd w:fill="D9E1F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Rentang Nilai MAPE (%)</w:t>
            </w:r>
          </w:p>
        </w:tc>
        <w:tc>
          <w:tcPr>
            <w:tcW w:type="dxa" w:w="2646"/>
            <w:shd w:fill="D9E1F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Kategori Kinerja Prediksi</w:t>
            </w:r>
          </w:p>
        </w:tc>
        <w:tc>
          <w:tcPr>
            <w:tcW w:type="dxa" w:w="2646"/>
            <w:shd w:fill="D9E1F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Implikasi pada Pemodelan Harga Solana</w:t>
            </w:r>
          </w:p>
        </w:tc>
      </w:tr>
      <w:tr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&lt; 10%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Sangat Akurat (Highly Accurate)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Model mampu mengikuti tren dan fluktuasi harga harian Solana secara presisi; sangat layak dijadikan pendukung keputusan.</w:t>
            </w:r>
          </w:p>
        </w:tc>
      </w:tr>
      <w:tr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10% – 20%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Baik / Akurat (Good Forecasting)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Model menangkap pola pergerakan utama dengan deviasi moderat pada periode volatilitas tinggi.</w:t>
            </w:r>
          </w:p>
        </w:tc>
      </w:tr>
      <w:tr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20% – 50%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Cukup / Wajar (Reasonable Forecasting)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Model hanya mampu mengenali tren kasar namun kurang responsif terhadap lonjakan harga jangka pendek.</w:t>
            </w:r>
          </w:p>
        </w:tc>
      </w:tr>
      <w:tr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&gt; 50%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Tidak Akurat (Inaccurate Forecasting)</w:t>
            </w:r>
          </w:p>
        </w:tc>
        <w:tc>
          <w:tcPr>
            <w:tcW w:type="dxa" w:w="2646"/>
            <w:vAlign w:val="center"/>
          </w:tcPr>
          <w:p>
            <w:pPr>
              <w:spacing w:line="276" w:lineRule="auto" w:before="40" w:after="40"/>
            </w:pPr>
            <w:r>
              <w:rPr>
                <w:rFonts w:ascii="Times New Roman" w:hAnsi="Times New Roman"/>
                <w:sz w:val="19"/>
              </w:rPr>
              <w:t>Model gagal memetakan hubungan non-linier pada data deret waktu.</w:t>
            </w:r>
          </w:p>
        </w:tc>
      </w:tr>
    </w:tbl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Tabel 5.1 di atas, dapat dijelaskan bahwa ambang batas kelayakan tertinggi untuk sistem peramalan finansial adalah kategori Sangat Akurat (MAPE &lt; 10%). Pada penelitian ini, penggunaan arsitektur hibrida CNN-BiLSTM-Attention berhasil menekan nilai MAPE pengujian hingga mencapai 1,62% (jauh di bawah ambang 10%) disertai nilai </w:t>
      </w:r>
      <w:r>
        <w:rPr>
          <w:rFonts w:ascii="Times New Roman" w:hAnsi="Times New Roman"/>
          <w:b w:val="0"/>
          <w:i/>
          <w:sz w:val="24"/>
        </w:rPr>
        <w:t>Directional Accuracy</w:t>
      </w:r>
      <w:r>
        <w:rPr>
          <w:rFonts w:ascii="Times New Roman" w:hAnsi="Times New Roman"/>
          <w:b w:val="0"/>
          <w:i w:val="0"/>
          <w:sz w:val="24"/>
        </w:rPr>
        <w:t xml:space="preserve"> sebesar 77,88%, sehingga model terbukti memenuhi kriteria akurasi tertinggi baik dari sisi ketepatan level harga maupun ketepatan arah pergerakan harian.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