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一种双数据源波形数据处理方法及系统</w:t>
      </w:r>
    </w:p>
    <w:p/>
    <w:p/>
    <w:p>
      <w:pPr>
        <w:jc w:val="center"/>
      </w:pPr>
      <w:r>
        <w:rPr>
          <w:rFonts w:ascii="宋体" w:hAnsi="宋体" w:eastAsia="宋体"/>
          <w:b/>
          <w:sz w:val="28"/>
        </w:rPr>
        <w:t>摘要</w:t>
      </w:r>
    </w:p>
    <w:p>
      <w:pPr>
        <w:spacing w:line="360" w:lineRule="auto"/>
      </w:pPr>
      <w:r>
        <w:rPr>
          <w:rFonts w:ascii="宋体" w:hAnsi="宋体" w:eastAsia="宋体"/>
          <w:sz w:val="24"/>
        </w:rPr>
        <w:t>本发明涉及工业波形数据采集与处理技术领域，提出一种面向工业波形数据的双数据源处理方案。该方案接收文件源与网络源数据，按照统一数据模型完成元数据、波形数据、操作日志及互锁日志的解析与标准化。经消息中间件主题（shot-metadata、wave-data、operation-log）进行异步传输与解耦处理。其中结构化数据写入关系型数据库，时序波形写入时序数据库。并通过接口提供按炮号查询、同步触发与状态查询能力。处理结果可实时推送至前端用于可视化展示。本方案提升了工业波形数据处理的实时性与可扩展性。</w:t>
      </w:r>
    </w:p>
    <w:p>
      <w:pPr>
        <w:spacing w:line="360" w:lineRule="auto"/>
      </w:pPr>
      <w:r>
        <w:rPr>
          <w:rFonts w:ascii="宋体" w:hAnsi="宋体" w:eastAsia="宋体"/>
          <w:sz w:val="24"/>
        </w:rPr>
        <w:t>（提示：请复核摘要≤300字，并删除任何可能构成宣传的表述。）</w:t>
      </w:r>
    </w:p>
    <w:p/>
    <w:p>
      <w:pPr>
        <w:jc w:val="center"/>
      </w:pPr>
      <w:r>
        <w:rPr>
          <w:rFonts w:ascii="宋体" w:hAnsi="宋体" w:eastAsia="宋体"/>
          <w:b/>
          <w:sz w:val="28"/>
        </w:rPr>
        <w:t>权利要求书</w:t>
      </w:r>
    </w:p>
    <w:p>
      <w:pPr>
        <w:spacing w:line="360" w:lineRule="auto"/>
      </w:pPr>
      <w:r>
        <w:rPr>
          <w:rFonts w:ascii="宋体" w:hAnsi="宋体" w:eastAsia="宋体"/>
          <w:sz w:val="24"/>
        </w:rPr>
        <w:t>1. 一种应用于工业波形数据采集与处理技术领域的双数据源波形数据处理方法，其特征在于，包括：</w:t>
      </w:r>
    </w:p>
    <w:p>
      <w:pPr>
        <w:spacing w:line="360" w:lineRule="auto"/>
      </w:pPr>
      <w:r>
        <w:rPr>
          <w:rFonts w:ascii="宋体" w:hAnsi="宋体" w:eastAsia="宋体"/>
          <w:sz w:val="24"/>
        </w:rPr>
        <w:t xml:space="preserve">   S101：接收来自文件数据源和网络数据源的工业数据，所述工业数据至少包括元数据、波形数据、操作日志和互锁日志；</w:t>
      </w:r>
    </w:p>
    <w:p>
      <w:pPr>
        <w:spacing w:line="360" w:lineRule="auto"/>
      </w:pPr>
      <w:r>
        <w:rPr>
          <w:rFonts w:ascii="宋体" w:hAnsi="宋体" w:eastAsia="宋体"/>
          <w:sz w:val="24"/>
        </w:rPr>
        <w:t xml:space="preserve">   S102：对所述工业数据进行格式解析与统一建模，形成按炮号组织的数据对象；</w:t>
      </w:r>
    </w:p>
    <w:p>
      <w:pPr>
        <w:spacing w:line="360" w:lineRule="auto"/>
      </w:pPr>
      <w:r>
        <w:rPr>
          <w:rFonts w:ascii="宋体" w:hAnsi="宋体" w:eastAsia="宋体"/>
          <w:sz w:val="24"/>
        </w:rPr>
        <w:t xml:space="preserve">   S103：将所述数据对象发送至消息中间件并由消费端按主题分别处理；</w:t>
      </w:r>
    </w:p>
    <w:p>
      <w:pPr>
        <w:spacing w:line="360" w:lineRule="auto"/>
      </w:pPr>
      <w:r>
        <w:rPr>
          <w:rFonts w:ascii="宋体" w:hAnsi="宋体" w:eastAsia="宋体"/>
          <w:sz w:val="24"/>
        </w:rPr>
        <w:t xml:space="preserve">   S104：将结构化数据写入关系型数据库，将波形时序数据写入时序数据库；</w:t>
      </w:r>
    </w:p>
    <w:p>
      <w:pPr>
        <w:spacing w:line="360" w:lineRule="auto"/>
      </w:pPr>
      <w:r>
        <w:rPr>
          <w:rFonts w:ascii="宋体" w:hAnsi="宋体" w:eastAsia="宋体"/>
          <w:sz w:val="24"/>
        </w:rPr>
        <w:t xml:space="preserve">   S105：通过接口提供按炮号查询、同步触发与结果返回。</w:t>
      </w:r>
    </w:p>
    <w:p>
      <w:pPr>
        <w:spacing w:line="360" w:lineRule="auto"/>
      </w:pPr>
      <w:r>
        <w:rPr>
          <w:rFonts w:ascii="宋体" w:hAnsi="宋体" w:eastAsia="宋体"/>
          <w:sz w:val="24"/>
        </w:rPr>
        <w:t>2. 根据权利要求1所述的方法，其特征在于，包括在主数据源不可用时切换至备用数据源并执行回退策略。</w:t>
      </w:r>
    </w:p>
    <w:p>
      <w:pPr>
        <w:spacing w:line="360" w:lineRule="auto"/>
      </w:pPr>
      <w:r>
        <w:rPr>
          <w:rFonts w:ascii="宋体" w:hAnsi="宋体" w:eastAsia="宋体"/>
          <w:sz w:val="24"/>
        </w:rPr>
        <w:t>3. 根据权利要求1所述的方法，其特征在于，所述消息中间件按主题区分元数据、波形数据、操作日志与互锁日志。</w:t>
      </w:r>
    </w:p>
    <w:p>
      <w:pPr>
        <w:spacing w:line="360" w:lineRule="auto"/>
      </w:pPr>
      <w:r>
        <w:rPr>
          <w:rFonts w:ascii="宋体" w:hAnsi="宋体" w:eastAsia="宋体"/>
          <w:sz w:val="24"/>
        </w:rPr>
        <w:t>4. 根据权利要求1所述的方法，其特征在于，所述同步触发包括定时触发与批量触发。</w:t>
      </w:r>
    </w:p>
    <w:p>
      <w:pPr>
        <w:spacing w:line="360" w:lineRule="auto"/>
      </w:pPr>
      <w:r>
        <w:rPr>
          <w:rFonts w:ascii="宋体" w:hAnsi="宋体" w:eastAsia="宋体"/>
          <w:sz w:val="24"/>
        </w:rPr>
        <w:t>5. 根据权利要求1所述的方法，其特征在于，所述接口至少包括数据查询接口、同步接口与健康状态接口。</w:t>
      </w:r>
    </w:p>
    <w:p>
      <w:pPr>
        <w:spacing w:line="360" w:lineRule="auto"/>
      </w:pPr>
      <w:r>
        <w:rPr>
          <w:rFonts w:ascii="宋体" w:hAnsi="宋体" w:eastAsia="宋体"/>
          <w:sz w:val="24"/>
        </w:rPr>
        <w:t>6. 根据权利要求1所述的方法，其特征在于，处理结果通过实时推送通道输出至前端可视化组件。</w:t>
      </w:r>
    </w:p>
    <w:p>
      <w:pPr>
        <w:spacing w:line="360" w:lineRule="auto"/>
      </w:pPr>
      <w:r>
        <w:rPr>
          <w:rFonts w:ascii="宋体" w:hAnsi="宋体" w:eastAsia="宋体"/>
          <w:sz w:val="24"/>
        </w:rPr>
        <w:t>7. 一种双数据源波形数据处理系统，其特征在于，包括：</w:t>
      </w:r>
    </w:p>
    <w:p>
      <w:pPr>
        <w:spacing w:line="360" w:lineRule="auto"/>
      </w:pPr>
      <w:r>
        <w:rPr>
          <w:rFonts w:ascii="宋体" w:hAnsi="宋体" w:eastAsia="宋体"/>
          <w:sz w:val="24"/>
        </w:rPr>
        <w:t xml:space="preserve">   数据接入模块，用于接收文件源与网络源数据；</w:t>
      </w:r>
    </w:p>
    <w:p>
      <w:pPr>
        <w:spacing w:line="360" w:lineRule="auto"/>
      </w:pPr>
      <w:r>
        <w:rPr>
          <w:rFonts w:ascii="宋体" w:hAnsi="宋体" w:eastAsia="宋体"/>
          <w:sz w:val="24"/>
        </w:rPr>
        <w:t xml:space="preserve">   数据标准化模块，用于执行统一建模；</w:t>
      </w:r>
    </w:p>
    <w:p>
      <w:pPr>
        <w:spacing w:line="360" w:lineRule="auto"/>
      </w:pPr>
      <w:r>
        <w:rPr>
          <w:rFonts w:ascii="宋体" w:hAnsi="宋体" w:eastAsia="宋体"/>
          <w:sz w:val="24"/>
        </w:rPr>
        <w:t xml:space="preserve">   消息处理模块，用于执行主题分发与消费；</w:t>
      </w:r>
    </w:p>
    <w:p>
      <w:pPr>
        <w:spacing w:line="360" w:lineRule="auto"/>
      </w:pPr>
      <w:r>
        <w:rPr>
          <w:rFonts w:ascii="宋体" w:hAnsi="宋体" w:eastAsia="宋体"/>
          <w:sz w:val="24"/>
        </w:rPr>
        <w:t xml:space="preserve">   存储模块，用于将结构化数据和时序数据分别写入不同数据库；</w:t>
      </w:r>
    </w:p>
    <w:p>
      <w:pPr>
        <w:spacing w:line="360" w:lineRule="auto"/>
      </w:pPr>
      <w:r>
        <w:rPr>
          <w:rFonts w:ascii="宋体" w:hAnsi="宋体" w:eastAsia="宋体"/>
          <w:sz w:val="24"/>
        </w:rPr>
        <w:t xml:space="preserve">   服务接口模块，用于对外提供查询与同步能力。</w:t>
      </w:r>
    </w:p>
    <w:p>
      <w:pPr>
        <w:spacing w:line="360" w:lineRule="auto"/>
      </w:pPr>
      <w:r>
        <w:rPr>
          <w:rFonts w:ascii="宋体" w:hAnsi="宋体" w:eastAsia="宋体"/>
          <w:sz w:val="24"/>
        </w:rPr>
        <w:t>8. 一种计算机设备，其特征在于，包括处理器和存储器，所述存储器存储有程序，所述程序在处理器执行时实现权利要求1-7任一项所述的方法。</w:t>
      </w:r>
    </w:p>
    <w:p>
      <w:pPr>
        <w:spacing w:line="360" w:lineRule="auto"/>
      </w:pPr>
      <w:r>
        <w:rPr>
          <w:rFonts w:ascii="宋体" w:hAnsi="宋体" w:eastAsia="宋体"/>
          <w:sz w:val="24"/>
        </w:rPr>
        <w:t>9. 一种计算机可读存储介质，其上存储有计算机程序，所述计算机程序被处理器执行时实现权利要求1-7任一项所述的方法。</w:t>
      </w:r>
    </w:p>
    <w:p/>
    <w:p>
      <w:pPr>
        <w:jc w:val="center"/>
      </w:pPr>
      <w:r>
        <w:rPr>
          <w:rFonts w:ascii="宋体" w:hAnsi="宋体" w:eastAsia="宋体"/>
          <w:b/>
          <w:sz w:val="28"/>
        </w:rPr>
        <w:t>说明书</w:t>
      </w:r>
    </w:p>
    <w:p>
      <w:pPr>
        <w:spacing w:line="360" w:lineRule="auto"/>
      </w:pPr>
      <w:r>
        <w:rPr>
          <w:rFonts w:ascii="宋体" w:hAnsi="宋体" w:eastAsia="宋体"/>
          <w:sz w:val="24"/>
        </w:rPr>
        <w:t>### 技术领域</w:t>
      </w:r>
    </w:p>
    <w:p>
      <w:pPr>
        <w:spacing w:line="360" w:lineRule="auto"/>
      </w:pPr>
      <w:r>
        <w:rPr>
          <w:rFonts w:ascii="宋体" w:hAnsi="宋体" w:eastAsia="宋体"/>
          <w:sz w:val="24"/>
        </w:rPr>
        <w:t>[0001] 本发明涉及工业波形数据采集与处理技术领域，尤其涉及一种面向工业波形数据的双数据源流式处理方法及系统。</w:t>
      </w:r>
    </w:p>
    <w:p/>
    <w:p>
      <w:pPr>
        <w:spacing w:line="360" w:lineRule="auto"/>
      </w:pPr>
      <w:r>
        <w:rPr>
          <w:rFonts w:ascii="宋体" w:hAnsi="宋体" w:eastAsia="宋体"/>
          <w:sz w:val="24"/>
        </w:rPr>
        <w:t>### 背景技术</w:t>
      </w:r>
    </w:p>
    <w:p>
      <w:pPr>
        <w:spacing w:line="360" w:lineRule="auto"/>
      </w:pPr>
      <w:r>
        <w:rPr>
          <w:rFonts w:ascii="宋体" w:hAnsi="宋体" w:eastAsia="宋体"/>
          <w:sz w:val="24"/>
        </w:rPr>
        <w:t>[0002] 现有工业波形系统通常存在文件数据与网络数据并存的场景，数据类型多且时效要求高。</w:t>
      </w:r>
    </w:p>
    <w:p>
      <w:pPr>
        <w:spacing w:line="360" w:lineRule="auto"/>
      </w:pPr>
      <w:r>
        <w:rPr>
          <w:rFonts w:ascii="宋体" w:hAnsi="宋体" w:eastAsia="宋体"/>
          <w:sz w:val="24"/>
        </w:rPr>
        <w:t>[0003] 在传统处理模式下，采集、传输、存储与查询链路耦合度高，难以兼顾实时性、可靠性和扩展性。</w:t>
      </w:r>
    </w:p>
    <w:p/>
    <w:p>
      <w:pPr>
        <w:spacing w:line="360" w:lineRule="auto"/>
      </w:pPr>
      <w:r>
        <w:rPr>
          <w:rFonts w:ascii="宋体" w:hAnsi="宋体" w:eastAsia="宋体"/>
          <w:sz w:val="24"/>
        </w:rPr>
        <w:t>### 发明内容</w:t>
      </w:r>
    </w:p>
    <w:p>
      <w:pPr>
        <w:spacing w:line="360" w:lineRule="auto"/>
      </w:pPr>
      <w:r>
        <w:rPr>
          <w:rFonts w:ascii="宋体" w:hAnsi="宋体" w:eastAsia="宋体"/>
          <w:sz w:val="24"/>
        </w:rPr>
        <w:t>[0004] 本发明要解决的技术问题是：提供一种支持双数据源接入、异步解耦传输和分层存储的工业波形数据处理方案。</w:t>
      </w:r>
    </w:p>
    <w:p>
      <w:pPr>
        <w:spacing w:line="360" w:lineRule="auto"/>
      </w:pPr>
      <w:r>
        <w:rPr>
          <w:rFonts w:ascii="宋体" w:hAnsi="宋体" w:eastAsia="宋体"/>
          <w:sz w:val="24"/>
        </w:rPr>
        <w:t>[0005] 为解决上述问题，本发明通过双数据源接入、主题化消息处理、分层持久化和统一接口服务构建端到端处理链路。</w:t>
      </w:r>
    </w:p>
    <w:p>
      <w:pPr>
        <w:spacing w:line="360" w:lineRule="auto"/>
      </w:pPr>
      <w:r>
        <w:rPr>
          <w:rFonts w:ascii="宋体" w:hAnsi="宋体" w:eastAsia="宋体"/>
          <w:sz w:val="24"/>
        </w:rPr>
        <w:t>[0006] 与现有技术相比，本发明可提升数据处理实时性、系统容错能力和横向扩展能力。</w:t>
      </w:r>
    </w:p>
    <w:p/>
    <w:p>
      <w:pPr>
        <w:spacing w:line="360" w:lineRule="auto"/>
      </w:pPr>
      <w:r>
        <w:rPr>
          <w:rFonts w:ascii="宋体" w:hAnsi="宋体" w:eastAsia="宋体"/>
          <w:sz w:val="24"/>
        </w:rPr>
        <w:t>### 附图说明</w:t>
      </w:r>
    </w:p>
    <w:p>
      <w:pPr>
        <w:spacing w:line="360" w:lineRule="auto"/>
      </w:pPr>
      <w:r>
        <w:rPr>
          <w:rFonts w:ascii="宋体" w:hAnsi="宋体" w:eastAsia="宋体"/>
          <w:sz w:val="24"/>
        </w:rPr>
        <w:t>[0007] 图1为双数据源接入与标准化处理流程图。</w:t>
      </w:r>
    </w:p>
    <w:p>
      <w:pPr>
        <w:spacing w:line="360" w:lineRule="auto"/>
      </w:pPr>
      <w:r>
        <w:rPr>
          <w:rFonts w:ascii="宋体" w:hAnsi="宋体" w:eastAsia="宋体"/>
          <w:sz w:val="24"/>
        </w:rPr>
        <w:t>[0008] 图2为消息中间件分发与消费处理流程图。</w:t>
      </w:r>
    </w:p>
    <w:p>
      <w:pPr>
        <w:spacing w:line="360" w:lineRule="auto"/>
      </w:pPr>
      <w:r>
        <w:rPr>
          <w:rFonts w:ascii="宋体" w:hAnsi="宋体" w:eastAsia="宋体"/>
          <w:sz w:val="24"/>
        </w:rPr>
        <w:t>[0009] 图3为分层存储与接口服务架构图。</w:t>
      </w:r>
    </w:p>
    <w:p/>
    <w:p>
      <w:pPr>
        <w:spacing w:line="360" w:lineRule="auto"/>
      </w:pPr>
      <w:r>
        <w:rPr>
          <w:rFonts w:ascii="宋体" w:hAnsi="宋体" w:eastAsia="宋体"/>
          <w:sz w:val="24"/>
        </w:rPr>
        <w:t>### 具体实施方式</w:t>
      </w:r>
    </w:p>
    <w:p>
      <w:pPr>
        <w:spacing w:line="360" w:lineRule="auto"/>
      </w:pPr>
      <w:r>
        <w:rPr>
          <w:rFonts w:ascii="宋体" w:hAnsi="宋体" w:eastAsia="宋体"/>
          <w:sz w:val="24"/>
        </w:rPr>
        <w:t>[0010] 在一个实施例中，数据接入模块接收文件源和网络源数据，并按炮号构建统一数据对象。</w:t>
      </w:r>
    </w:p>
    <w:p>
      <w:pPr>
        <w:spacing w:line="360" w:lineRule="auto"/>
      </w:pPr>
      <w:r>
        <w:rPr>
          <w:rFonts w:ascii="宋体" w:hAnsi="宋体" w:eastAsia="宋体"/>
          <w:sz w:val="24"/>
        </w:rPr>
        <w:t>[0011] 在一个实施例中，消息处理模块将不同类型数据发送到预设主题并由对应消费逻辑处理。</w:t>
      </w:r>
    </w:p>
    <w:p>
      <w:pPr>
        <w:spacing w:line="360" w:lineRule="auto"/>
      </w:pPr>
      <w:r>
        <w:rPr>
          <w:rFonts w:ascii="宋体" w:hAnsi="宋体" w:eastAsia="宋体"/>
          <w:sz w:val="24"/>
        </w:rPr>
        <w:t>[0012] 在一个实施例中，结构化数据写入关系型数据库，波形时序数据写入时序数据库，以提高查询与写入效率。</w:t>
      </w:r>
    </w:p>
    <w:p>
      <w:pPr>
        <w:spacing w:line="360" w:lineRule="auto"/>
      </w:pPr>
      <w:r>
        <w:rPr>
          <w:rFonts w:ascii="宋体" w:hAnsi="宋体" w:eastAsia="宋体"/>
          <w:sz w:val="24"/>
        </w:rPr>
        <w:t>[0013] 在一个实施例中，服务接口模块提供同步触发、查询与状态接口，并可结合实时推送输出处理结果。</w:t>
      </w:r>
    </w:p>
    <w:p>
      <w:r>
        <w:br w:type="page"/>
      </w:r>
    </w:p>
    <w:p>
      <w:pPr>
        <w:jc w:val="center"/>
      </w:pPr>
      <w:r>
        <w:rPr>
          <w:rFonts w:ascii="宋体" w:hAnsi="宋体" w:eastAsia="宋体"/>
          <w:b/>
          <w:sz w:val="28"/>
        </w:rPr>
        <w:t>附图</w:t>
      </w:r>
    </w:p>
    <w:p>
      <w:pPr>
        <w:jc w:val="center"/>
      </w:pPr>
      <w:r>
        <w:rPr>
          <w:rFonts w:ascii="宋体" w:hAnsi="宋体" w:eastAsia="宋体"/>
          <w:sz w:val="24"/>
        </w:rPr>
        <w:t>图1  双数据源工业波形处理系统总体架构图</w:t>
      </w:r>
    </w:p>
    <w:p>
      <w:pPr>
        <w:jc w:val="center"/>
      </w:pPr>
      <w:r>
        <w:drawing>
          <wp:inline xmlns:a="http://schemas.openxmlformats.org/drawingml/2006/main" xmlns:pic="http://schemas.openxmlformats.org/drawingml/2006/picture">
            <wp:extent cx="5760000" cy="3840000"/>
            <wp:docPr id="1" name="Picture 1"/>
            <wp:cNvGraphicFramePr>
              <a:graphicFrameLocks noChangeAspect="1"/>
            </wp:cNvGraphicFramePr>
            <a:graphic>
              <a:graphicData uri="http://schemas.openxmlformats.org/drawingml/2006/picture">
                <pic:pic>
                  <pic:nvPicPr>
                    <pic:cNvPr id="0" name="figure1_system_arch.png"/>
                    <pic:cNvPicPr/>
                  </pic:nvPicPr>
                  <pic:blipFill>
                    <a:blip r:embed="rId9"/>
                    <a:stretch>
                      <a:fillRect/>
                    </a:stretch>
                  </pic:blipFill>
                  <pic:spPr>
                    <a:xfrm>
                      <a:off x="0" y="0"/>
                      <a:ext cx="5760000" cy="3840000"/>
                    </a:xfrm>
                    <a:prstGeom prst="rect"/>
                  </pic:spPr>
                </pic:pic>
              </a:graphicData>
            </a:graphic>
          </wp:inline>
        </w:drawing>
      </w:r>
    </w:p>
    <w:p>
      <w:pPr>
        <w:jc w:val="center"/>
      </w:pPr>
      <w:r>
        <w:rPr>
          <w:rFonts w:ascii="宋体" w:hAnsi="宋体" w:eastAsia="宋体"/>
          <w:sz w:val="24"/>
        </w:rPr>
        <w:t>图2  数据处理方法流程图</w:t>
      </w:r>
    </w:p>
    <w:p>
      <w:pPr>
        <w:jc w:val="center"/>
      </w:pPr>
      <w:r>
        <w:drawing>
          <wp:inline xmlns:a="http://schemas.openxmlformats.org/drawingml/2006/main" xmlns:pic="http://schemas.openxmlformats.org/drawingml/2006/picture">
            <wp:extent cx="5760000" cy="3840000"/>
            <wp:docPr id="2" name="Picture 2"/>
            <wp:cNvGraphicFramePr>
              <a:graphicFrameLocks noChangeAspect="1"/>
            </wp:cNvGraphicFramePr>
            <a:graphic>
              <a:graphicData uri="http://schemas.openxmlformats.org/drawingml/2006/picture">
                <pic:pic>
                  <pic:nvPicPr>
                    <pic:cNvPr id="0" name="figure2_pipeline_flow.png"/>
                    <pic:cNvPicPr/>
                  </pic:nvPicPr>
                  <pic:blipFill>
                    <a:blip r:embed="rId10"/>
                    <a:stretch>
                      <a:fillRect/>
                    </a:stretch>
                  </pic:blipFill>
                  <pic:spPr>
                    <a:xfrm>
                      <a:off x="0" y="0"/>
                      <a:ext cx="5760000" cy="3840000"/>
                    </a:xfrm>
                    <a:prstGeom prst="rect"/>
                  </pic:spPr>
                </pic:pic>
              </a:graphicData>
            </a:graphic>
          </wp:inline>
        </w:drawing>
      </w:r>
    </w:p>
    <w:p>
      <w:pPr>
        <w:jc w:val="center"/>
      </w:pPr>
      <w:r>
        <w:rPr>
          <w:rFonts w:ascii="宋体" w:hAnsi="宋体" w:eastAsia="宋体"/>
          <w:sz w:val="24"/>
        </w:rPr>
        <w:t>图3  模块关系框图</w:t>
      </w:r>
    </w:p>
    <w:p>
      <w:pPr>
        <w:jc w:val="center"/>
      </w:pPr>
      <w:r>
        <w:drawing>
          <wp:inline xmlns:a="http://schemas.openxmlformats.org/drawingml/2006/main" xmlns:pic="http://schemas.openxmlformats.org/drawingml/2006/picture">
            <wp:extent cx="5760000" cy="3840000"/>
            <wp:docPr id="3" name="Picture 3"/>
            <wp:cNvGraphicFramePr>
              <a:graphicFrameLocks noChangeAspect="1"/>
            </wp:cNvGraphicFramePr>
            <a:graphic>
              <a:graphicData uri="http://schemas.openxmlformats.org/drawingml/2006/picture">
                <pic:pic>
                  <pic:nvPicPr>
                    <pic:cNvPr id="0" name="figure3_module_block.png"/>
                    <pic:cNvPicPr/>
                  </pic:nvPicPr>
                  <pic:blipFill>
                    <a:blip r:embed="rId11"/>
                    <a:stretch>
                      <a:fillRect/>
                    </a:stretch>
                  </pic:blipFill>
                  <pic:spPr>
                    <a:xfrm>
                      <a:off x="0" y="0"/>
                      <a:ext cx="5760000" cy="3840000"/>
                    </a:xfrm>
                    <a:prstGeom prst="rect"/>
                  </pic:spPr>
                </pic:pic>
              </a:graphicData>
            </a:graphic>
          </wp:inline>
        </w:drawing>
      </w:r>
    </w:p>
    <w:sectPr w:rsidR="00FC693F" w:rsidRPr="0006063C" w:rsidSect="00034616">
      <w:pgSz w:w="11906" w:h="16838"/>
      <w:pgMar w:top="1417"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