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一种双数据源波形数据处理方法及系统</w:t>
      </w:r>
    </w:p>
    <w:p/>
    <w:p/>
    <w:p>
      <w:pPr>
        <w:jc w:val="center"/>
      </w:pPr>
      <w:r>
        <w:rPr>
          <w:rFonts w:ascii="宋体" w:hAnsi="宋体" w:eastAsia="宋体"/>
          <w:b/>
          <w:sz w:val="28"/>
        </w:rPr>
        <w:t>摘要</w:t>
      </w:r>
    </w:p>
    <w:p>
      <w:pPr>
        <w:spacing w:line="360" w:lineRule="auto"/>
      </w:pPr>
      <w:r>
        <w:rPr>
          <w:rFonts w:ascii="宋体" w:hAnsi="宋体" w:eastAsia="宋体"/>
          <w:sz w:val="24"/>
        </w:rPr>
        <w:t>本发明涉及工业波形数据采集与处理技术领域，提出一种双数据源波形数据处理方案。该方案接收文件源与网络源数据，对元数据、波形数据、操作日志及互锁日志执行统一建模。经消息中间件主题（shot-metadata、wave-data、operation-log）进行异步传输与消费处理。结构化数据写入关系型数据库，时序波形写入时序数据库。并通过接口提供按炮号查询、同步触发及状态返回，处理结果支持实时推送展示。本方案提升了工业数据处理链路的实时性、容错能力和可扩展性。</w:t>
      </w:r>
    </w:p>
    <w:p/>
    <w:p>
      <w:pPr>
        <w:jc w:val="center"/>
      </w:pPr>
      <w:r>
        <w:rPr>
          <w:rFonts w:ascii="宋体" w:hAnsi="宋体" w:eastAsia="宋体"/>
          <w:b/>
          <w:sz w:val="28"/>
        </w:rPr>
        <w:t>权利要求书</w:t>
      </w:r>
    </w:p>
    <w:p>
      <w:pPr>
        <w:spacing w:line="360" w:lineRule="auto"/>
      </w:pPr>
      <w:r>
        <w:rPr>
          <w:rFonts w:ascii="宋体" w:hAnsi="宋体" w:eastAsia="宋体"/>
          <w:sz w:val="24"/>
        </w:rPr>
        <w:t>1. 一种应用于工业波形数据采集与处理技术领域的双数据源波形数据处理方法，其特征在于，包括如下步骤：</w:t>
      </w:r>
    </w:p>
    <w:p>
      <w:pPr>
        <w:spacing w:line="360" w:lineRule="auto"/>
      </w:pPr>
      <w:r>
        <w:rPr>
          <w:rFonts w:ascii="宋体" w:hAnsi="宋体" w:eastAsia="宋体"/>
          <w:sz w:val="24"/>
        </w:rPr>
        <w:t xml:space="preserve">   S101：接收来自文件数据源和网络数据源的工业数据，所述工业数据至少包括元数据、波形数据、操作日志和互锁日志；</w:t>
      </w:r>
    </w:p>
    <w:p>
      <w:pPr>
        <w:spacing w:line="360" w:lineRule="auto"/>
      </w:pPr>
      <w:r>
        <w:rPr>
          <w:rFonts w:ascii="宋体" w:hAnsi="宋体" w:eastAsia="宋体"/>
          <w:sz w:val="24"/>
        </w:rPr>
        <w:t xml:space="preserve">   S102：对所述工业数据执行解析、字段映射和统一建模，形成按炮号组织的数据对象；</w:t>
      </w:r>
    </w:p>
    <w:p>
      <w:pPr>
        <w:spacing w:line="360" w:lineRule="auto"/>
      </w:pPr>
      <w:r>
        <w:rPr>
          <w:rFonts w:ascii="宋体" w:hAnsi="宋体" w:eastAsia="宋体"/>
          <w:sz w:val="24"/>
        </w:rPr>
        <w:t xml:space="preserve">   S103：将所述数据对象发送至消息中间件，并依据主题 shot-metadata、wave-data、operation-log、plc-interlock 进行分类传输；</w:t>
      </w:r>
    </w:p>
    <w:p>
      <w:pPr>
        <w:spacing w:line="360" w:lineRule="auto"/>
      </w:pPr>
      <w:r>
        <w:rPr>
          <w:rFonts w:ascii="宋体" w:hAnsi="宋体" w:eastAsia="宋体"/>
          <w:sz w:val="24"/>
        </w:rPr>
        <w:t xml:space="preserve">   S104：由消费端针对不同主题执行消费处理，并将结构化数据写入关系型数据库，将时序波形写入时序数据库；</w:t>
      </w:r>
    </w:p>
    <w:p>
      <w:pPr>
        <w:spacing w:line="360" w:lineRule="auto"/>
      </w:pPr>
      <w:r>
        <w:rPr>
          <w:rFonts w:ascii="宋体" w:hAnsi="宋体" w:eastAsia="宋体"/>
          <w:sz w:val="24"/>
        </w:rPr>
        <w:t xml:space="preserve">   S105：通过服务接口提供按炮号查询、同步触发、状态查询和结果返回。</w:t>
      </w:r>
    </w:p>
    <w:p>
      <w:pPr>
        <w:spacing w:line="360" w:lineRule="auto"/>
      </w:pPr>
      <w:r>
        <w:rPr>
          <w:rFonts w:ascii="宋体" w:hAnsi="宋体" w:eastAsia="宋体"/>
          <w:sz w:val="24"/>
        </w:rPr>
        <w:t>2. 根据权利要求1所述的方法，其特征在于，所述文件数据源用于读取离线波形与日志文件，所述网络数据源用于接收实时流式数据。</w:t>
      </w:r>
    </w:p>
    <w:p>
      <w:pPr>
        <w:spacing w:line="360" w:lineRule="auto"/>
      </w:pPr>
      <w:r>
        <w:rPr>
          <w:rFonts w:ascii="宋体" w:hAnsi="宋体" w:eastAsia="宋体"/>
          <w:sz w:val="24"/>
        </w:rPr>
        <w:t>3. 根据权利要求1所述的方法，其特征在于，所述统一建模至少包括统一时间戳字段、统一炮号字段和统一通道字段。</w:t>
      </w:r>
    </w:p>
    <w:p>
      <w:pPr>
        <w:spacing w:line="360" w:lineRule="auto"/>
      </w:pPr>
      <w:r>
        <w:rPr>
          <w:rFonts w:ascii="宋体" w:hAnsi="宋体" w:eastAsia="宋体"/>
          <w:sz w:val="24"/>
        </w:rPr>
        <w:t>4. 根据权利要求1所述的方法，其特征在于，所述消息中间件按照数据类型将元数据、波形数据、操作日志和互锁日志分别路由至对应主题。</w:t>
      </w:r>
    </w:p>
    <w:p>
      <w:pPr>
        <w:spacing w:line="360" w:lineRule="auto"/>
      </w:pPr>
      <w:r>
        <w:rPr>
          <w:rFonts w:ascii="宋体" w:hAnsi="宋体" w:eastAsia="宋体"/>
          <w:sz w:val="24"/>
        </w:rPr>
        <w:t>5. 根据权利要求1所述的方法，其特征在于，所述消费处理包括幂等校验、异常记录和重试控制。</w:t>
      </w:r>
    </w:p>
    <w:p>
      <w:pPr>
        <w:spacing w:line="360" w:lineRule="auto"/>
      </w:pPr>
      <w:r>
        <w:rPr>
          <w:rFonts w:ascii="宋体" w:hAnsi="宋体" w:eastAsia="宋体"/>
          <w:sz w:val="24"/>
        </w:rPr>
        <w:t>6. 根据权利要求1所述的方法，其特征在于，所述关系型数据库用于保存元数据、操作日志和互锁日志，所述时序数据库用于保存波形采样序列。</w:t>
      </w:r>
    </w:p>
    <w:p>
      <w:pPr>
        <w:spacing w:line="360" w:lineRule="auto"/>
      </w:pPr>
      <w:r>
        <w:rPr>
          <w:rFonts w:ascii="宋体" w:hAnsi="宋体" w:eastAsia="宋体"/>
          <w:sz w:val="24"/>
        </w:rPr>
        <w:t>7. 根据权利要求1所述的方法，其特征在于，所述同步触发包括单炮号同步、批量同步和全量同步。</w:t>
      </w:r>
    </w:p>
    <w:p>
      <w:pPr>
        <w:spacing w:line="360" w:lineRule="auto"/>
      </w:pPr>
      <w:r>
        <w:rPr>
          <w:rFonts w:ascii="宋体" w:hAnsi="宋体" w:eastAsia="宋体"/>
          <w:sz w:val="24"/>
        </w:rPr>
        <w:t>8. 根据权利要求1所述的方法，其特征在于，所述状态查询至少返回任务状态、处理条数和错误计数。</w:t>
      </w:r>
    </w:p>
    <w:p>
      <w:pPr>
        <w:spacing w:line="360" w:lineRule="auto"/>
      </w:pPr>
      <w:r>
        <w:rPr>
          <w:rFonts w:ascii="宋体" w:hAnsi="宋体" w:eastAsia="宋体"/>
          <w:sz w:val="24"/>
        </w:rPr>
        <w:t>9. 根据权利要求1所述的方法，其特征在于，主数据源不可用时自动切换至备用数据源，并在主数据源恢复后执行回退切换。</w:t>
      </w:r>
    </w:p>
    <w:p>
      <w:pPr>
        <w:spacing w:line="360" w:lineRule="auto"/>
      </w:pPr>
      <w:r>
        <w:rPr>
          <w:rFonts w:ascii="宋体" w:hAnsi="宋体" w:eastAsia="宋体"/>
          <w:sz w:val="24"/>
        </w:rPr>
        <w:t>10. 根据权利要求1所述的方法，其特征在于，处理结果通过实时推送通道输出至前端可视化组件。</w:t>
      </w:r>
    </w:p>
    <w:p>
      <w:pPr>
        <w:spacing w:line="360" w:lineRule="auto"/>
      </w:pPr>
      <w:r>
        <w:rPr>
          <w:rFonts w:ascii="宋体" w:hAnsi="宋体" w:eastAsia="宋体"/>
          <w:sz w:val="24"/>
        </w:rPr>
        <w:t>11. 一种双数据源波形数据处理系统，其特征在于，包括：数据接入模块、数据标准化模块、消息处理模块、分层存储模块、服务接口模块以及主备切换模块。</w:t>
      </w:r>
    </w:p>
    <w:p>
      <w:pPr>
        <w:spacing w:line="360" w:lineRule="auto"/>
      </w:pPr>
      <w:r>
        <w:rPr>
          <w:rFonts w:ascii="宋体" w:hAnsi="宋体" w:eastAsia="宋体"/>
          <w:sz w:val="24"/>
        </w:rPr>
        <w:t>12. 根据权利要求11所述的系统，其特征在于，数据接入模块包括文件读取单元和网络接收单元。</w:t>
      </w:r>
    </w:p>
    <w:p>
      <w:pPr>
        <w:spacing w:line="360" w:lineRule="auto"/>
      </w:pPr>
      <w:r>
        <w:rPr>
          <w:rFonts w:ascii="宋体" w:hAnsi="宋体" w:eastAsia="宋体"/>
          <w:sz w:val="24"/>
        </w:rPr>
        <w:t>13. 根据权利要求11所述的系统，其特征在于，服务接口模块包括查询接口单元、同步接口单元和状态接口单元。</w:t>
      </w:r>
    </w:p>
    <w:p>
      <w:pPr>
        <w:spacing w:line="360" w:lineRule="auto"/>
      </w:pPr>
      <w:r>
        <w:rPr>
          <w:rFonts w:ascii="宋体" w:hAnsi="宋体" w:eastAsia="宋体"/>
          <w:sz w:val="24"/>
        </w:rPr>
        <w:t>14. 一种计算机设备，其特征在于，包括处理器和存储器，所述存储器存储有程序，所述程序被处理器执行时实现权利要求1-10任一项所述的方法。</w:t>
      </w:r>
    </w:p>
    <w:p>
      <w:pPr>
        <w:spacing w:line="360" w:lineRule="auto"/>
      </w:pPr>
      <w:r>
        <w:rPr>
          <w:rFonts w:ascii="宋体" w:hAnsi="宋体" w:eastAsia="宋体"/>
          <w:sz w:val="24"/>
        </w:rPr>
        <w:t>15. 一种计算机可读存储介质，其上存储有计算机程序，所述程序被处理器执行时实现权利要求1-10任一项所述的方法。</w:t>
      </w:r>
    </w:p>
    <w:p/>
    <w:p>
      <w:pPr>
        <w:jc w:val="center"/>
      </w:pPr>
      <w:r>
        <w:rPr>
          <w:rFonts w:ascii="宋体" w:hAnsi="宋体" w:eastAsia="宋体"/>
          <w:b/>
          <w:sz w:val="28"/>
        </w:rPr>
        <w:t>说明书</w:t>
      </w:r>
    </w:p>
    <w:p>
      <w:pPr>
        <w:spacing w:line="360" w:lineRule="auto"/>
        <w:jc w:val="left"/>
      </w:pPr>
      <w:r>
        <w:rPr>
          <w:rFonts w:ascii="宋体" w:hAnsi="宋体" w:eastAsia="宋体"/>
          <w:b/>
          <w:sz w:val="24"/>
        </w:rPr>
        <w:t>技术领域</w:t>
      </w:r>
    </w:p>
    <w:p>
      <w:pPr>
        <w:spacing w:line="360" w:lineRule="auto"/>
      </w:pPr>
      <w:r>
        <w:rPr>
          <w:rFonts w:ascii="宋体" w:hAnsi="宋体" w:eastAsia="宋体"/>
          <w:sz w:val="24"/>
        </w:rPr>
        <w:t>[0001] 本发明涉及工业波形数据采集与处理技术领域，尤其涉及一种面向工业波形数据的双数据源流式处理方法、系统、设备及存储介质。</w:t>
      </w:r>
    </w:p>
    <w:p/>
    <w:p>
      <w:pPr>
        <w:spacing w:line="360" w:lineRule="auto"/>
        <w:jc w:val="left"/>
      </w:pPr>
      <w:r>
        <w:rPr>
          <w:rFonts w:ascii="宋体" w:hAnsi="宋体" w:eastAsia="宋体"/>
          <w:b/>
          <w:sz w:val="24"/>
        </w:rPr>
        <w:t>背景技术</w:t>
      </w:r>
    </w:p>
    <w:p>
      <w:pPr>
        <w:spacing w:line="360" w:lineRule="auto"/>
      </w:pPr>
      <w:r>
        <w:rPr>
          <w:rFonts w:ascii="宋体" w:hAnsi="宋体" w:eastAsia="宋体"/>
          <w:sz w:val="24"/>
        </w:rPr>
        <w:t>[0002] 工业波形数据系统通常同时面临离线文件处理需求与在线数据接入需求。</w:t>
      </w:r>
    </w:p>
    <w:p>
      <w:pPr>
        <w:spacing w:line="360" w:lineRule="auto"/>
      </w:pPr>
      <w:r>
        <w:rPr>
          <w:rFonts w:ascii="宋体" w:hAnsi="宋体" w:eastAsia="宋体"/>
          <w:sz w:val="24"/>
        </w:rPr>
        <w:t>[0003] 现有方案中，离线导入链路和在线接入链路往往分离实现，导致字段口径不一致和处理流程重复。</w:t>
      </w:r>
    </w:p>
    <w:p>
      <w:pPr>
        <w:spacing w:line="360" w:lineRule="auto"/>
      </w:pPr>
      <w:r>
        <w:rPr>
          <w:rFonts w:ascii="宋体" w:hAnsi="宋体" w:eastAsia="宋体"/>
          <w:sz w:val="24"/>
        </w:rPr>
        <w:t>[0004] 现有方案中，采集层、消息层、存储层和服务层耦合度较高，系统在扩展数据类型与扩容处理链路时改动范围较大。</w:t>
      </w:r>
    </w:p>
    <w:p>
      <w:pPr>
        <w:spacing w:line="360" w:lineRule="auto"/>
      </w:pPr>
      <w:r>
        <w:rPr>
          <w:rFonts w:ascii="宋体" w:hAnsi="宋体" w:eastAsia="宋体"/>
          <w:sz w:val="24"/>
        </w:rPr>
        <w:t>[0005] 现有方案中，结构化数据与时序数据未进行分层存储时，查询性能和写入性能容易互相影响。</w:t>
      </w:r>
    </w:p>
    <w:p>
      <w:pPr>
        <w:spacing w:line="360" w:lineRule="auto"/>
      </w:pPr>
      <w:r>
        <w:rPr>
          <w:rFonts w:ascii="宋体" w:hAnsi="宋体" w:eastAsia="宋体"/>
          <w:sz w:val="24"/>
        </w:rPr>
        <w:t>[0006] 现有方案中，缺少主备数据源自动切换机制时，主链路异常会直接影响业务连续性。</w:t>
      </w:r>
    </w:p>
    <w:p/>
    <w:p>
      <w:pPr>
        <w:spacing w:line="360" w:lineRule="auto"/>
        <w:jc w:val="left"/>
      </w:pPr>
      <w:r>
        <w:rPr>
          <w:rFonts w:ascii="宋体" w:hAnsi="宋体" w:eastAsia="宋体"/>
          <w:b/>
          <w:sz w:val="24"/>
        </w:rPr>
        <w:t>发明内容</w:t>
      </w:r>
    </w:p>
    <w:p>
      <w:pPr>
        <w:spacing w:line="360" w:lineRule="auto"/>
      </w:pPr>
      <w:r>
        <w:rPr>
          <w:rFonts w:ascii="宋体" w:hAnsi="宋体" w:eastAsia="宋体"/>
          <w:sz w:val="24"/>
        </w:rPr>
        <w:t>[0007] 本发明要解决的技术问题是：提供一种能够统一处理离线与在线工业波形数据、并支持主备切换和分层存储的处理方案。</w:t>
      </w:r>
    </w:p>
    <w:p>
      <w:pPr>
        <w:spacing w:line="360" w:lineRule="auto"/>
      </w:pPr>
      <w:r>
        <w:rPr>
          <w:rFonts w:ascii="宋体" w:hAnsi="宋体" w:eastAsia="宋体"/>
          <w:sz w:val="24"/>
        </w:rPr>
        <w:t>[0008] 为解决上述问题，本发明提供一种双数据源波形数据处理方法，按照“接入、建模、消息传输、消费存储、接口服务”的链路执行。</w:t>
      </w:r>
    </w:p>
    <w:p>
      <w:pPr>
        <w:spacing w:line="360" w:lineRule="auto"/>
      </w:pPr>
      <w:r>
        <w:rPr>
          <w:rFonts w:ascii="宋体" w:hAnsi="宋体" w:eastAsia="宋体"/>
          <w:sz w:val="24"/>
        </w:rPr>
        <w:t>[0009] 在接入阶段，文件数据源与网络数据源统一接入到同一数据模型入口。</w:t>
      </w:r>
    </w:p>
    <w:p>
      <w:pPr>
        <w:spacing w:line="360" w:lineRule="auto"/>
      </w:pPr>
      <w:r>
        <w:rPr>
          <w:rFonts w:ascii="宋体" w:hAnsi="宋体" w:eastAsia="宋体"/>
          <w:sz w:val="24"/>
        </w:rPr>
        <w:t>[0010] 在建模阶段，针对元数据、波形数据、操作日志和互锁日志执行字段标准化，形成按炮号聚合的数据对象。</w:t>
      </w:r>
    </w:p>
    <w:p>
      <w:pPr>
        <w:spacing w:line="360" w:lineRule="auto"/>
      </w:pPr>
      <w:r>
        <w:rPr>
          <w:rFonts w:ascii="宋体" w:hAnsi="宋体" w:eastAsia="宋体"/>
          <w:sz w:val="24"/>
        </w:rPr>
        <w:t>[0011] 在消息传输阶段，通过主题化消息路由实现解耦，发送端与消费端支持独立伸缩。</w:t>
      </w:r>
    </w:p>
    <w:p>
      <w:pPr>
        <w:spacing w:line="360" w:lineRule="auto"/>
      </w:pPr>
      <w:r>
        <w:rPr>
          <w:rFonts w:ascii="宋体" w:hAnsi="宋体" w:eastAsia="宋体"/>
          <w:sz w:val="24"/>
        </w:rPr>
        <w:t>[0012] 在存储阶段，结构化数据落入关系型数据库，时序采样序列落入时序数据库。</w:t>
      </w:r>
    </w:p>
    <w:p>
      <w:pPr>
        <w:spacing w:line="360" w:lineRule="auto"/>
      </w:pPr>
      <w:r>
        <w:rPr>
          <w:rFonts w:ascii="宋体" w:hAnsi="宋体" w:eastAsia="宋体"/>
          <w:sz w:val="24"/>
        </w:rPr>
        <w:t>[0013] 在服务阶段，提供查询、同步、状态接口并支持实时推送。</w:t>
      </w:r>
    </w:p>
    <w:p>
      <w:pPr>
        <w:spacing w:line="360" w:lineRule="auto"/>
      </w:pPr>
      <w:r>
        <w:rPr>
          <w:rFonts w:ascii="宋体" w:hAnsi="宋体" w:eastAsia="宋体"/>
          <w:sz w:val="24"/>
        </w:rPr>
        <w:t>[0014] 在容错阶段，主数据源故障触发自动切换到备用数据源，恢复后执行回退。</w:t>
      </w:r>
    </w:p>
    <w:p>
      <w:pPr>
        <w:spacing w:line="360" w:lineRule="auto"/>
      </w:pPr>
      <w:r>
        <w:rPr>
          <w:rFonts w:ascii="宋体" w:hAnsi="宋体" w:eastAsia="宋体"/>
          <w:sz w:val="24"/>
        </w:rPr>
        <w:t>[0015] 与现有技术相比，本发明具有以下有益效果：</w:t>
      </w:r>
    </w:p>
    <w:p>
      <w:pPr>
        <w:spacing w:line="360" w:lineRule="auto"/>
      </w:pPr>
      <w:r>
        <w:rPr>
          <w:rFonts w:ascii="宋体" w:hAnsi="宋体" w:eastAsia="宋体"/>
          <w:sz w:val="24"/>
        </w:rPr>
        <w:t>[0016] 一是统一模型减少多链路重复开发和字段口径偏差。</w:t>
      </w:r>
    </w:p>
    <w:p>
      <w:pPr>
        <w:spacing w:line="360" w:lineRule="auto"/>
      </w:pPr>
      <w:r>
        <w:rPr>
          <w:rFonts w:ascii="宋体" w:hAnsi="宋体" w:eastAsia="宋体"/>
          <w:sz w:val="24"/>
        </w:rPr>
        <w:t>[0017] 二是主题化消息传输提升链路解耦程度。</w:t>
      </w:r>
    </w:p>
    <w:p>
      <w:pPr>
        <w:spacing w:line="360" w:lineRule="auto"/>
      </w:pPr>
      <w:r>
        <w:rPr>
          <w:rFonts w:ascii="宋体" w:hAnsi="宋体" w:eastAsia="宋体"/>
          <w:sz w:val="24"/>
        </w:rPr>
        <w:t>[0018] 三是分层存储提升查询和写入效率。</w:t>
      </w:r>
    </w:p>
    <w:p>
      <w:pPr>
        <w:spacing w:line="360" w:lineRule="auto"/>
      </w:pPr>
      <w:r>
        <w:rPr>
          <w:rFonts w:ascii="宋体" w:hAnsi="宋体" w:eastAsia="宋体"/>
          <w:sz w:val="24"/>
        </w:rPr>
        <w:t>[0019] 四是主备切换机制提升系统连续运行能力。</w:t>
      </w:r>
    </w:p>
    <w:p/>
    <w:p>
      <w:pPr>
        <w:spacing w:line="360" w:lineRule="auto"/>
        <w:jc w:val="left"/>
      </w:pPr>
      <w:r>
        <w:rPr>
          <w:rFonts w:ascii="宋体" w:hAnsi="宋体" w:eastAsia="宋体"/>
          <w:b/>
          <w:sz w:val="24"/>
        </w:rPr>
        <w:t>附图说明</w:t>
      </w:r>
    </w:p>
    <w:p>
      <w:pPr>
        <w:spacing w:line="360" w:lineRule="auto"/>
      </w:pPr>
      <w:r>
        <w:rPr>
          <w:rFonts w:ascii="宋体" w:hAnsi="宋体" w:eastAsia="宋体"/>
          <w:sz w:val="24"/>
        </w:rPr>
        <w:t>[0020] 图1为本发明实施例中的双数据源工业波形处理系统总体架构图。</w:t>
      </w:r>
    </w:p>
    <w:p>
      <w:pPr>
        <w:spacing w:line="360" w:lineRule="auto"/>
      </w:pPr>
      <w:r>
        <w:rPr>
          <w:rFonts w:ascii="宋体" w:hAnsi="宋体" w:eastAsia="宋体"/>
          <w:sz w:val="24"/>
        </w:rPr>
        <w:t>[0021] 图2为本发明实施例中的数据处理方法流程图。</w:t>
      </w:r>
    </w:p>
    <w:p>
      <w:pPr>
        <w:spacing w:line="360" w:lineRule="auto"/>
      </w:pPr>
      <w:r>
        <w:rPr>
          <w:rFonts w:ascii="宋体" w:hAnsi="宋体" w:eastAsia="宋体"/>
          <w:sz w:val="24"/>
        </w:rPr>
        <w:t>[0022] 图3为本发明实施例中的模块关系框图。</w:t>
      </w:r>
    </w:p>
    <w:p/>
    <w:p>
      <w:pPr>
        <w:spacing w:line="360" w:lineRule="auto"/>
        <w:jc w:val="left"/>
      </w:pPr>
      <w:r>
        <w:rPr>
          <w:rFonts w:ascii="宋体" w:hAnsi="宋体" w:eastAsia="宋体"/>
          <w:b/>
          <w:sz w:val="24"/>
        </w:rPr>
        <w:t>具体实施方式</w:t>
      </w:r>
    </w:p>
    <w:p>
      <w:pPr>
        <w:spacing w:line="360" w:lineRule="auto"/>
      </w:pPr>
      <w:r>
        <w:rPr>
          <w:rFonts w:ascii="宋体" w:hAnsi="宋体" w:eastAsia="宋体"/>
          <w:sz w:val="24"/>
        </w:rPr>
        <w:t>[0023] 以下结合附图对本发明实施方式进行详细说明。</w:t>
      </w:r>
    </w:p>
    <w:p/>
    <w:p>
      <w:pPr>
        <w:spacing w:line="360" w:lineRule="auto"/>
      </w:pPr>
      <w:r>
        <w:rPr>
          <w:rFonts w:ascii="宋体" w:hAnsi="宋体" w:eastAsia="宋体"/>
          <w:sz w:val="24"/>
        </w:rPr>
        <w:t>[0024] 一、术语定义</w:t>
      </w:r>
    </w:p>
    <w:p>
      <w:pPr>
        <w:spacing w:line="360" w:lineRule="auto"/>
      </w:pPr>
      <w:r>
        <w:rPr>
          <w:rFonts w:ascii="宋体" w:hAnsi="宋体" w:eastAsia="宋体"/>
          <w:sz w:val="24"/>
        </w:rPr>
        <w:t>[0025] 炮号：用于标识一次工业采样任务的业务主键。</w:t>
      </w:r>
    </w:p>
    <w:p>
      <w:pPr>
        <w:spacing w:line="360" w:lineRule="auto"/>
      </w:pPr>
      <w:r>
        <w:rPr>
          <w:rFonts w:ascii="宋体" w:hAnsi="宋体" w:eastAsia="宋体"/>
          <w:sz w:val="24"/>
        </w:rPr>
        <w:t>[0026] 元数据：描述采样文件、采样时段、通道信息的结构化信息。</w:t>
      </w:r>
    </w:p>
    <w:p>
      <w:pPr>
        <w:spacing w:line="360" w:lineRule="auto"/>
      </w:pPr>
      <w:r>
        <w:rPr>
          <w:rFonts w:ascii="宋体" w:hAnsi="宋体" w:eastAsia="宋体"/>
          <w:sz w:val="24"/>
        </w:rPr>
        <w:t>[0027] 波形数据：按采样时间序列组织的数值序列。</w:t>
      </w:r>
    </w:p>
    <w:p>
      <w:pPr>
        <w:spacing w:line="360" w:lineRule="auto"/>
      </w:pPr>
      <w:r>
        <w:rPr>
          <w:rFonts w:ascii="宋体" w:hAnsi="宋体" w:eastAsia="宋体"/>
          <w:sz w:val="24"/>
        </w:rPr>
        <w:t>[0028] 操作日志：记录系统操作事件的日志数据。</w:t>
      </w:r>
    </w:p>
    <w:p>
      <w:pPr>
        <w:spacing w:line="360" w:lineRule="auto"/>
      </w:pPr>
      <w:r>
        <w:rPr>
          <w:rFonts w:ascii="宋体" w:hAnsi="宋体" w:eastAsia="宋体"/>
          <w:sz w:val="24"/>
        </w:rPr>
        <w:t>[0029] 互锁日志：记录设备互锁状态变化的日志数据。</w:t>
      </w:r>
    </w:p>
    <w:p/>
    <w:p>
      <w:pPr>
        <w:spacing w:line="360" w:lineRule="auto"/>
      </w:pPr>
      <w:r>
        <w:rPr>
          <w:rFonts w:ascii="宋体" w:hAnsi="宋体" w:eastAsia="宋体"/>
          <w:sz w:val="24"/>
        </w:rPr>
        <w:t>[0030] 二、附图标记说明</w:t>
      </w:r>
    </w:p>
    <w:p>
      <w:pPr>
        <w:spacing w:line="360" w:lineRule="auto"/>
      </w:pPr>
      <w:r>
        <w:rPr>
          <w:rFonts w:ascii="宋体" w:hAnsi="宋体" w:eastAsia="宋体"/>
          <w:sz w:val="24"/>
        </w:rPr>
        <w:t>[0031] 101表示文件数据源。</w:t>
      </w:r>
    </w:p>
    <w:p>
      <w:pPr>
        <w:spacing w:line="360" w:lineRule="auto"/>
      </w:pPr>
      <w:r>
        <w:rPr>
          <w:rFonts w:ascii="宋体" w:hAnsi="宋体" w:eastAsia="宋体"/>
          <w:sz w:val="24"/>
        </w:rPr>
        <w:t>[0032] 102表示网络数据源。</w:t>
      </w:r>
    </w:p>
    <w:p>
      <w:pPr>
        <w:spacing w:line="360" w:lineRule="auto"/>
      </w:pPr>
      <w:r>
        <w:rPr>
          <w:rFonts w:ascii="宋体" w:hAnsi="宋体" w:eastAsia="宋体"/>
          <w:sz w:val="24"/>
        </w:rPr>
        <w:t>[0033] 110表示数据标准化处理模块。</w:t>
      </w:r>
    </w:p>
    <w:p>
      <w:pPr>
        <w:spacing w:line="360" w:lineRule="auto"/>
      </w:pPr>
      <w:r>
        <w:rPr>
          <w:rFonts w:ascii="宋体" w:hAnsi="宋体" w:eastAsia="宋体"/>
          <w:sz w:val="24"/>
        </w:rPr>
        <w:t>[0034] 120表示消息处理中间件模块。</w:t>
      </w:r>
    </w:p>
    <w:p>
      <w:pPr>
        <w:spacing w:line="360" w:lineRule="auto"/>
      </w:pPr>
      <w:r>
        <w:rPr>
          <w:rFonts w:ascii="宋体" w:hAnsi="宋体" w:eastAsia="宋体"/>
          <w:sz w:val="24"/>
        </w:rPr>
        <w:t>[0035] 130表示关系型数据库模块。</w:t>
      </w:r>
    </w:p>
    <w:p>
      <w:pPr>
        <w:spacing w:line="360" w:lineRule="auto"/>
      </w:pPr>
      <w:r>
        <w:rPr>
          <w:rFonts w:ascii="宋体" w:hAnsi="宋体" w:eastAsia="宋体"/>
          <w:sz w:val="24"/>
        </w:rPr>
        <w:t>[0036] 131表示时序数据库模块。</w:t>
      </w:r>
    </w:p>
    <w:p>
      <w:pPr>
        <w:spacing w:line="360" w:lineRule="auto"/>
      </w:pPr>
      <w:r>
        <w:rPr>
          <w:rFonts w:ascii="宋体" w:hAnsi="宋体" w:eastAsia="宋体"/>
          <w:sz w:val="24"/>
        </w:rPr>
        <w:t>[0037] 140表示服务接口模块。</w:t>
      </w:r>
    </w:p>
    <w:p>
      <w:pPr>
        <w:spacing w:line="360" w:lineRule="auto"/>
      </w:pPr>
      <w:r>
        <w:rPr>
          <w:rFonts w:ascii="宋体" w:hAnsi="宋体" w:eastAsia="宋体"/>
          <w:sz w:val="24"/>
        </w:rPr>
        <w:t>[0038] 141表示实时推送模块。</w:t>
      </w:r>
    </w:p>
    <w:p>
      <w:pPr>
        <w:spacing w:line="360" w:lineRule="auto"/>
      </w:pPr>
      <w:r>
        <w:rPr>
          <w:rFonts w:ascii="宋体" w:hAnsi="宋体" w:eastAsia="宋体"/>
          <w:sz w:val="24"/>
        </w:rPr>
        <w:t>[0039] 150表示可视化终端模块。</w:t>
      </w:r>
    </w:p>
    <w:p>
      <w:pPr>
        <w:spacing w:line="360" w:lineRule="auto"/>
      </w:pPr>
      <w:r>
        <w:rPr>
          <w:rFonts w:ascii="宋体" w:hAnsi="宋体" w:eastAsia="宋体"/>
          <w:sz w:val="24"/>
        </w:rPr>
        <w:t>[0040] 200表示系统主体模块。</w:t>
      </w:r>
    </w:p>
    <w:p/>
    <w:p>
      <w:pPr>
        <w:spacing w:line="360" w:lineRule="auto"/>
      </w:pPr>
      <w:r>
        <w:rPr>
          <w:rFonts w:ascii="宋体" w:hAnsi="宋体" w:eastAsia="宋体"/>
          <w:sz w:val="24"/>
        </w:rPr>
        <w:t>[0041] 三、实施例一：系统架构实施方式</w:t>
      </w:r>
    </w:p>
    <w:p>
      <w:pPr>
        <w:spacing w:line="360" w:lineRule="auto"/>
      </w:pPr>
      <w:r>
        <w:rPr>
          <w:rFonts w:ascii="宋体" w:hAnsi="宋体" w:eastAsia="宋体"/>
          <w:sz w:val="24"/>
        </w:rPr>
        <w:t>[0042] 如图1所示，系统由数据接入层、消息层、持久化层、服务与展示层构成。</w:t>
      </w:r>
    </w:p>
    <w:p>
      <w:pPr>
        <w:spacing w:line="360" w:lineRule="auto"/>
      </w:pPr>
      <w:r>
        <w:rPr>
          <w:rFonts w:ascii="宋体" w:hAnsi="宋体" w:eastAsia="宋体"/>
          <w:sz w:val="24"/>
        </w:rPr>
        <w:t>[0043] 数据接入层包括文件数据源101和网络数据源102，两者输出进入数据标准化处理模块110。</w:t>
      </w:r>
    </w:p>
    <w:p>
      <w:pPr>
        <w:spacing w:line="360" w:lineRule="auto"/>
      </w:pPr>
      <w:r>
        <w:rPr>
          <w:rFonts w:ascii="宋体" w:hAnsi="宋体" w:eastAsia="宋体"/>
          <w:sz w:val="24"/>
        </w:rPr>
        <w:t>[0044] 数据标准化处理模块110将异构输入统一为同一数据对象结构，至少包含炮号字段、时间字段和数据类型字段。</w:t>
      </w:r>
    </w:p>
    <w:p>
      <w:pPr>
        <w:spacing w:line="360" w:lineRule="auto"/>
      </w:pPr>
      <w:r>
        <w:rPr>
          <w:rFonts w:ascii="宋体" w:hAnsi="宋体" w:eastAsia="宋体"/>
          <w:sz w:val="24"/>
        </w:rPr>
        <w:t>[0045] 消息处理中间件模块120依据主题 shot-metadata、wave-data、operation-log、plc-interlock 路由消息。</w:t>
      </w:r>
    </w:p>
    <w:p>
      <w:pPr>
        <w:spacing w:line="360" w:lineRule="auto"/>
      </w:pPr>
      <w:r>
        <w:rPr>
          <w:rFonts w:ascii="宋体" w:hAnsi="宋体" w:eastAsia="宋体"/>
          <w:sz w:val="24"/>
        </w:rPr>
        <w:t>[0046] 持久化层包含关系型数据库模块130和时序数据库模块131。</w:t>
      </w:r>
    </w:p>
    <w:p>
      <w:pPr>
        <w:spacing w:line="360" w:lineRule="auto"/>
      </w:pPr>
      <w:r>
        <w:rPr>
          <w:rFonts w:ascii="宋体" w:hAnsi="宋体" w:eastAsia="宋体"/>
          <w:sz w:val="24"/>
        </w:rPr>
        <w:t>[0047] 服务层包含服务接口模块140和实时推送模块141，输出至可视化终端150。</w:t>
      </w:r>
    </w:p>
    <w:p/>
    <w:p>
      <w:pPr>
        <w:spacing w:line="360" w:lineRule="auto"/>
      </w:pPr>
      <w:r>
        <w:rPr>
          <w:rFonts w:ascii="宋体" w:hAnsi="宋体" w:eastAsia="宋体"/>
          <w:sz w:val="24"/>
        </w:rPr>
        <w:t>[0048] 四、实施例二：方法流程实施方式</w:t>
      </w:r>
    </w:p>
    <w:p>
      <w:pPr>
        <w:spacing w:line="360" w:lineRule="auto"/>
      </w:pPr>
      <w:r>
        <w:rPr>
          <w:rFonts w:ascii="宋体" w:hAnsi="宋体" w:eastAsia="宋体"/>
          <w:sz w:val="24"/>
        </w:rPr>
        <w:t>[0049] 如图2所示，方法步骤包括S101至S106。</w:t>
      </w:r>
    </w:p>
    <w:p>
      <w:pPr>
        <w:spacing w:line="360" w:lineRule="auto"/>
      </w:pPr>
      <w:r>
        <w:rPr>
          <w:rFonts w:ascii="宋体" w:hAnsi="宋体" w:eastAsia="宋体"/>
          <w:sz w:val="24"/>
        </w:rPr>
        <w:t>[0050] S101阶段接收文件源与网络源数据，文件源可来自历史采样文件，网络源可来自流式接入通道。</w:t>
      </w:r>
    </w:p>
    <w:p>
      <w:pPr>
        <w:spacing w:line="360" w:lineRule="auto"/>
      </w:pPr>
      <w:r>
        <w:rPr>
          <w:rFonts w:ascii="宋体" w:hAnsi="宋体" w:eastAsia="宋体"/>
          <w:sz w:val="24"/>
        </w:rPr>
        <w:t>[0051] S102阶段执行统一建模，字段映射表至少包含：炮号、通道、采样时间、采样值、日志类别。</w:t>
      </w:r>
    </w:p>
    <w:p>
      <w:pPr>
        <w:spacing w:line="360" w:lineRule="auto"/>
      </w:pPr>
      <w:r>
        <w:rPr>
          <w:rFonts w:ascii="宋体" w:hAnsi="宋体" w:eastAsia="宋体"/>
          <w:sz w:val="24"/>
        </w:rPr>
        <w:t>[0052] S103阶段按主题发送消息，发送端写入统一消息头，消息头至少包括炮号、数据类别、时间戳。</w:t>
      </w:r>
    </w:p>
    <w:p>
      <w:pPr>
        <w:spacing w:line="360" w:lineRule="auto"/>
      </w:pPr>
      <w:r>
        <w:rPr>
          <w:rFonts w:ascii="宋体" w:hAnsi="宋体" w:eastAsia="宋体"/>
          <w:sz w:val="24"/>
        </w:rPr>
        <w:t>[0053] S104阶段由消费端进行幂等处理并落库，结构化实体和时序实体采用不同存储路径。</w:t>
      </w:r>
    </w:p>
    <w:p>
      <w:pPr>
        <w:spacing w:line="360" w:lineRule="auto"/>
      </w:pPr>
      <w:r>
        <w:rPr>
          <w:rFonts w:ascii="宋体" w:hAnsi="宋体" w:eastAsia="宋体"/>
          <w:sz w:val="24"/>
        </w:rPr>
        <w:t>[0054] S105阶段接口层对外提供查询和同步能力，接口样例如下。</w:t>
      </w:r>
    </w:p>
    <w:p>
      <w:pPr>
        <w:spacing w:line="360" w:lineRule="auto"/>
      </w:pPr>
      <w:r>
        <w:rPr>
          <w:rFonts w:ascii="宋体" w:hAnsi="宋体" w:eastAsia="宋体"/>
          <w:sz w:val="24"/>
        </w:rPr>
        <w:t>[0055] 接口样例：GET /api/data/channels；GET /api/data/import/file/available；GET /api/data/receive/status；GET /api/data/shots；GET /api/data/shots/{shotNo}/channels；GET /api/data/shots/{shotNo}/complete。</w:t>
      </w:r>
    </w:p>
    <w:p>
      <w:pPr>
        <w:spacing w:line="360" w:lineRule="auto"/>
      </w:pPr>
      <w:r>
        <w:rPr>
          <w:rFonts w:ascii="宋体" w:hAnsi="宋体" w:eastAsia="宋体"/>
          <w:sz w:val="24"/>
        </w:rPr>
        <w:t>[0056] S106阶段通过实时推送通道向前端下发最新处理结果和处理状态。</w:t>
      </w:r>
    </w:p>
    <w:p/>
    <w:p>
      <w:pPr>
        <w:spacing w:line="360" w:lineRule="auto"/>
      </w:pPr>
      <w:r>
        <w:rPr>
          <w:rFonts w:ascii="宋体" w:hAnsi="宋体" w:eastAsia="宋体"/>
          <w:sz w:val="24"/>
        </w:rPr>
        <w:t>[0057] 五、实施例三：容错与回退实施方式</w:t>
      </w:r>
    </w:p>
    <w:p>
      <w:pPr>
        <w:spacing w:line="360" w:lineRule="auto"/>
      </w:pPr>
      <w:r>
        <w:rPr>
          <w:rFonts w:ascii="宋体" w:hAnsi="宋体" w:eastAsia="宋体"/>
          <w:sz w:val="24"/>
        </w:rPr>
        <w:t>[0058] 如图2中的分支步骤所示，系统在运行期间周期检测主数据源可用性。</w:t>
      </w:r>
    </w:p>
    <w:p>
      <w:pPr>
        <w:spacing w:line="360" w:lineRule="auto"/>
      </w:pPr>
      <w:r>
        <w:rPr>
          <w:rFonts w:ascii="宋体" w:hAnsi="宋体" w:eastAsia="宋体"/>
          <w:sz w:val="24"/>
        </w:rPr>
        <w:t>[0059] 当主数据源可用时，维持主链路处理。</w:t>
      </w:r>
    </w:p>
    <w:p>
      <w:pPr>
        <w:spacing w:line="360" w:lineRule="auto"/>
      </w:pPr>
      <w:r>
        <w:rPr>
          <w:rFonts w:ascii="宋体" w:hAnsi="宋体" w:eastAsia="宋体"/>
          <w:sz w:val="24"/>
        </w:rPr>
        <w:t>[0060] 当主数据源不可用时，切换至备用数据源并保持对外接口输出连续。</w:t>
      </w:r>
    </w:p>
    <w:p>
      <w:pPr>
        <w:spacing w:line="360" w:lineRule="auto"/>
      </w:pPr>
      <w:r>
        <w:rPr>
          <w:rFonts w:ascii="宋体" w:hAnsi="宋体" w:eastAsia="宋体"/>
          <w:sz w:val="24"/>
        </w:rPr>
        <w:t>[0061] 当主数据源恢复后，执行回退切换并记录切换日志。</w:t>
      </w:r>
    </w:p>
    <w:p>
      <w:pPr>
        <w:spacing w:line="360" w:lineRule="auto"/>
      </w:pPr>
      <w:r>
        <w:rPr>
          <w:rFonts w:ascii="宋体" w:hAnsi="宋体" w:eastAsia="宋体"/>
          <w:sz w:val="24"/>
        </w:rPr>
        <w:t>[0062] 切换动作采用状态机管理，状态至少包括主链路状态、备用链路状态和回退状态。</w:t>
      </w:r>
    </w:p>
    <w:p/>
    <w:p>
      <w:pPr>
        <w:spacing w:line="360" w:lineRule="auto"/>
      </w:pPr>
      <w:r>
        <w:rPr>
          <w:rFonts w:ascii="宋体" w:hAnsi="宋体" w:eastAsia="宋体"/>
          <w:sz w:val="24"/>
        </w:rPr>
        <w:t>[0063] 六、参数与数据结构实施方式</w:t>
      </w:r>
    </w:p>
    <w:p>
      <w:pPr>
        <w:spacing w:line="360" w:lineRule="auto"/>
      </w:pPr>
      <w:r>
        <w:rPr>
          <w:rFonts w:ascii="宋体" w:hAnsi="宋体" w:eastAsia="宋体"/>
          <w:sz w:val="24"/>
        </w:rPr>
        <w:t>[0064] 统一数据对象可采用JSON或二进制序列化结构。</w:t>
      </w:r>
    </w:p>
    <w:p>
      <w:pPr>
        <w:spacing w:line="360" w:lineRule="auto"/>
      </w:pPr>
      <w:r>
        <w:rPr>
          <w:rFonts w:ascii="宋体" w:hAnsi="宋体" w:eastAsia="宋体"/>
          <w:sz w:val="24"/>
        </w:rPr>
        <w:t>[0065] 时间字段采用统一时间标准，支持毫秒级时间戳。</w:t>
      </w:r>
    </w:p>
    <w:p>
      <w:pPr>
        <w:spacing w:line="360" w:lineRule="auto"/>
      </w:pPr>
      <w:r>
        <w:rPr>
          <w:rFonts w:ascii="宋体" w:hAnsi="宋体" w:eastAsia="宋体"/>
          <w:sz w:val="24"/>
        </w:rPr>
        <w:t>[0066] 关系型数据库表至少包括炮号元数据表、操作日志表、互锁日志表。</w:t>
      </w:r>
    </w:p>
    <w:p>
      <w:pPr>
        <w:spacing w:line="360" w:lineRule="auto"/>
      </w:pPr>
      <w:r>
        <w:rPr>
          <w:rFonts w:ascii="宋体" w:hAnsi="宋体" w:eastAsia="宋体"/>
          <w:sz w:val="24"/>
        </w:rPr>
        <w:t>[0067] 时序数据库记录至少包括炮号标签、通道标签、时间戳和采样值字段。</w:t>
      </w:r>
    </w:p>
    <w:p>
      <w:pPr>
        <w:spacing w:line="360" w:lineRule="auto"/>
      </w:pPr>
      <w:r>
        <w:rPr>
          <w:rFonts w:ascii="宋体" w:hAnsi="宋体" w:eastAsia="宋体"/>
          <w:sz w:val="24"/>
        </w:rPr>
        <w:t>[0068] 消费处理可配置批量写入条数和重试次数，以满足不同数据规模。</w:t>
      </w:r>
    </w:p>
    <w:p/>
    <w:p>
      <w:pPr>
        <w:spacing w:line="360" w:lineRule="auto"/>
      </w:pPr>
      <w:r>
        <w:rPr>
          <w:rFonts w:ascii="宋体" w:hAnsi="宋体" w:eastAsia="宋体"/>
          <w:sz w:val="24"/>
        </w:rPr>
        <w:t>[0069] 七、异常处理与并发控制实施方式</w:t>
      </w:r>
    </w:p>
    <w:p>
      <w:pPr>
        <w:spacing w:line="360" w:lineRule="auto"/>
      </w:pPr>
      <w:r>
        <w:rPr>
          <w:rFonts w:ascii="宋体" w:hAnsi="宋体" w:eastAsia="宋体"/>
          <w:sz w:val="24"/>
        </w:rPr>
        <w:t>[0070] 消费端处理异常时，记录错误类型、错误位置和重试计数。</w:t>
      </w:r>
    </w:p>
    <w:p>
      <w:pPr>
        <w:spacing w:line="360" w:lineRule="auto"/>
      </w:pPr>
      <w:r>
        <w:rPr>
          <w:rFonts w:ascii="宋体" w:hAnsi="宋体" w:eastAsia="宋体"/>
          <w:sz w:val="24"/>
        </w:rPr>
        <w:t>[0071] 对于临时性异常，执行有限次重试；超过阈值后写入异常队列。</w:t>
      </w:r>
    </w:p>
    <w:p>
      <w:pPr>
        <w:spacing w:line="360" w:lineRule="auto"/>
      </w:pPr>
      <w:r>
        <w:rPr>
          <w:rFonts w:ascii="宋体" w:hAnsi="宋体" w:eastAsia="宋体"/>
          <w:sz w:val="24"/>
        </w:rPr>
        <w:t>[0072] 对于重复消息，依据炮号与消息主键执行幂等校验。</w:t>
      </w:r>
    </w:p>
    <w:p>
      <w:pPr>
        <w:spacing w:line="360" w:lineRule="auto"/>
      </w:pPr>
      <w:r>
        <w:rPr>
          <w:rFonts w:ascii="宋体" w:hAnsi="宋体" w:eastAsia="宋体"/>
          <w:sz w:val="24"/>
        </w:rPr>
        <w:t>[0073] 系统可采用多线程消费和分区并行处理机制，以提升吞吐能力。</w:t>
      </w:r>
    </w:p>
    <w:p/>
    <w:p>
      <w:pPr>
        <w:spacing w:line="360" w:lineRule="auto"/>
      </w:pPr>
      <w:r>
        <w:rPr>
          <w:rFonts w:ascii="宋体" w:hAnsi="宋体" w:eastAsia="宋体"/>
          <w:sz w:val="24"/>
        </w:rPr>
        <w:t>[0074] 八、权利要求支持关系说明</w:t>
      </w:r>
    </w:p>
    <w:p>
      <w:pPr>
        <w:spacing w:line="360" w:lineRule="auto"/>
      </w:pPr>
      <w:r>
        <w:rPr>
          <w:rFonts w:ascii="宋体" w:hAnsi="宋体" w:eastAsia="宋体"/>
          <w:sz w:val="24"/>
        </w:rPr>
        <w:t>[0075] 权利要求1由段落[0049]-[0056]支持。</w:t>
      </w:r>
    </w:p>
    <w:p>
      <w:pPr>
        <w:spacing w:line="360" w:lineRule="auto"/>
      </w:pPr>
      <w:r>
        <w:rPr>
          <w:rFonts w:ascii="宋体" w:hAnsi="宋体" w:eastAsia="宋体"/>
          <w:sz w:val="24"/>
        </w:rPr>
        <w:t>[0076] 权利要求2和权利要求9由段落[0058]-[0062]支持。</w:t>
      </w:r>
    </w:p>
    <w:p>
      <w:pPr>
        <w:spacing w:line="360" w:lineRule="auto"/>
      </w:pPr>
      <w:r>
        <w:rPr>
          <w:rFonts w:ascii="宋体" w:hAnsi="宋体" w:eastAsia="宋体"/>
          <w:sz w:val="24"/>
        </w:rPr>
        <w:t>[0077] 权利要求3由段落[0051]支持。</w:t>
      </w:r>
    </w:p>
    <w:p>
      <w:pPr>
        <w:spacing w:line="360" w:lineRule="auto"/>
      </w:pPr>
      <w:r>
        <w:rPr>
          <w:rFonts w:ascii="宋体" w:hAnsi="宋体" w:eastAsia="宋体"/>
          <w:sz w:val="24"/>
        </w:rPr>
        <w:t>[0078] 权利要求4由段落[0045]支持。</w:t>
      </w:r>
    </w:p>
    <w:p>
      <w:pPr>
        <w:spacing w:line="360" w:lineRule="auto"/>
      </w:pPr>
      <w:r>
        <w:rPr>
          <w:rFonts w:ascii="宋体" w:hAnsi="宋体" w:eastAsia="宋体"/>
          <w:sz w:val="24"/>
        </w:rPr>
        <w:t>[0079] 权利要求5由段落[0070]-[0072]支持。</w:t>
      </w:r>
    </w:p>
    <w:p>
      <w:pPr>
        <w:spacing w:line="360" w:lineRule="auto"/>
      </w:pPr>
      <w:r>
        <w:rPr>
          <w:rFonts w:ascii="宋体" w:hAnsi="宋体" w:eastAsia="宋体"/>
          <w:sz w:val="24"/>
        </w:rPr>
        <w:t>[0080] 权利要求6由段落[0066]-[0067]支持。</w:t>
      </w:r>
    </w:p>
    <w:p>
      <w:pPr>
        <w:spacing w:line="360" w:lineRule="auto"/>
      </w:pPr>
      <w:r>
        <w:rPr>
          <w:rFonts w:ascii="宋体" w:hAnsi="宋体" w:eastAsia="宋体"/>
          <w:sz w:val="24"/>
        </w:rPr>
        <w:t>[0081] 权利要求7和权利要求8由段落[0054]-[0056]支持。</w:t>
      </w:r>
    </w:p>
    <w:p>
      <w:pPr>
        <w:spacing w:line="360" w:lineRule="auto"/>
      </w:pPr>
      <w:r>
        <w:rPr>
          <w:rFonts w:ascii="宋体" w:hAnsi="宋体" w:eastAsia="宋体"/>
          <w:sz w:val="24"/>
        </w:rPr>
        <w:t>[0082] 权利要求10由段落[0056]支持。</w:t>
      </w:r>
    </w:p>
    <w:p>
      <w:pPr>
        <w:spacing w:line="360" w:lineRule="auto"/>
      </w:pPr>
      <w:r>
        <w:rPr>
          <w:rFonts w:ascii="宋体" w:hAnsi="宋体" w:eastAsia="宋体"/>
          <w:sz w:val="24"/>
        </w:rPr>
        <w:t>[0083] 权利要求11-13由段落[0042]-[0047]支持。</w:t>
      </w:r>
    </w:p>
    <w:p>
      <w:pPr>
        <w:spacing w:line="360" w:lineRule="auto"/>
      </w:pPr>
      <w:r>
        <w:rPr>
          <w:rFonts w:ascii="宋体" w:hAnsi="宋体" w:eastAsia="宋体"/>
          <w:sz w:val="24"/>
        </w:rPr>
        <w:t>[0084] 权利要求14-15由系统整体实施方式支持。</w:t>
      </w:r>
    </w:p>
    <w:p/>
    <w:p>
      <w:pPr>
        <w:spacing w:line="360" w:lineRule="auto"/>
      </w:pPr>
      <w:r>
        <w:rPr>
          <w:rFonts w:ascii="宋体" w:hAnsi="宋体" w:eastAsia="宋体"/>
          <w:sz w:val="24"/>
        </w:rPr>
        <w:t>[0085] 九、可替代实施方式</w:t>
      </w:r>
    </w:p>
    <w:p>
      <w:pPr>
        <w:spacing w:line="360" w:lineRule="auto"/>
      </w:pPr>
      <w:r>
        <w:rPr>
          <w:rFonts w:ascii="宋体" w:hAnsi="宋体" w:eastAsia="宋体"/>
          <w:sz w:val="24"/>
        </w:rPr>
        <w:t>[0086] 消息中间件可替换为具备主题化路由能力的等效消息平台。</w:t>
      </w:r>
    </w:p>
    <w:p>
      <w:pPr>
        <w:spacing w:line="360" w:lineRule="auto"/>
      </w:pPr>
      <w:r>
        <w:rPr>
          <w:rFonts w:ascii="宋体" w:hAnsi="宋体" w:eastAsia="宋体"/>
          <w:sz w:val="24"/>
        </w:rPr>
        <w:t>[0087] 关系型数据库和时序数据库可替换为具备相同数据模型能力的等效数据库。</w:t>
      </w:r>
    </w:p>
    <w:p>
      <w:pPr>
        <w:spacing w:line="360" w:lineRule="auto"/>
      </w:pPr>
      <w:r>
        <w:rPr>
          <w:rFonts w:ascii="宋体" w:hAnsi="宋体" w:eastAsia="宋体"/>
          <w:sz w:val="24"/>
        </w:rPr>
        <w:t>[0088] 推送通道可替换为具备实时下行能力的等效通信通道。</w:t>
      </w:r>
    </w:p>
    <w:p>
      <w:pPr>
        <w:spacing w:line="360" w:lineRule="auto"/>
      </w:pPr>
      <w:r>
        <w:rPr>
          <w:rFonts w:ascii="宋体" w:hAnsi="宋体" w:eastAsia="宋体"/>
          <w:sz w:val="24"/>
        </w:rPr>
        <w:t>[0089] 在不偏离本发明构思前提下，以上替代方式均落入本发明保护范围。</w:t>
      </w:r>
    </w:p>
    <w:p/>
    <w:p>
      <w:pPr>
        <w:spacing w:line="360" w:lineRule="auto"/>
      </w:pPr>
      <w:r>
        <w:rPr>
          <w:rFonts w:ascii="宋体" w:hAnsi="宋体" w:eastAsia="宋体"/>
          <w:sz w:val="24"/>
        </w:rPr>
        <w:t>[0090] 十、系统实例对应关系</w:t>
      </w:r>
    </w:p>
    <w:p>
      <w:pPr>
        <w:spacing w:line="360" w:lineRule="auto"/>
      </w:pPr>
      <w:r>
        <w:rPr>
          <w:rFonts w:ascii="宋体" w:hAnsi="宋体" w:eastAsia="宋体"/>
          <w:sz w:val="24"/>
        </w:rPr>
        <w:t>[0091] 示例实现中的核心类包括：DataConsumer、DataPipelineService、DataProducer、FileDataSource、InfluxDBService、KafkaController、NetworkDataSource、WebSocketController。</w:t>
      </w:r>
    </w:p>
    <w:p>
      <w:pPr>
        <w:spacing w:line="360" w:lineRule="auto"/>
      </w:pPr>
      <w:r>
        <w:rPr>
          <w:rFonts w:ascii="宋体" w:hAnsi="宋体" w:eastAsia="宋体"/>
          <w:sz w:val="24"/>
        </w:rPr>
        <w:t>[0092] 所述核心类用于说明本发明可实施性，不构成对保护范围的额外限制。</w:t>
      </w:r>
    </w:p>
    <w:p>
      <w:r>
        <w:br w:type="page"/>
      </w:r>
    </w:p>
    <w:p>
      <w:pPr>
        <w:jc w:val="center"/>
      </w:pPr>
      <w:r>
        <w:rPr>
          <w:rFonts w:ascii="宋体" w:hAnsi="宋体" w:eastAsia="宋体"/>
          <w:b/>
          <w:sz w:val="28"/>
        </w:rPr>
        <w:t>附图</w:t>
      </w:r>
    </w:p>
    <w:p>
      <w:pPr>
        <w:jc w:val="center"/>
      </w:pPr>
      <w:r>
        <w:rPr>
          <w:rFonts w:ascii="宋体" w:hAnsi="宋体" w:eastAsia="宋体"/>
          <w:sz w:val="24"/>
        </w:rPr>
        <w:t>图1  双数据源工业波形处理系统总体架构图</w:t>
      </w:r>
    </w:p>
    <w:p>
      <w:pPr>
        <w:jc w:val="center"/>
      </w:pPr>
      <w:r>
        <w:drawing>
          <wp:inline xmlns:a="http://schemas.openxmlformats.org/drawingml/2006/main" xmlns:pic="http://schemas.openxmlformats.org/drawingml/2006/picture">
            <wp:extent cx="5760000" cy="3840000"/>
            <wp:docPr id="1" name="Picture 1"/>
            <wp:cNvGraphicFramePr>
              <a:graphicFrameLocks noChangeAspect="1"/>
            </wp:cNvGraphicFramePr>
            <a:graphic>
              <a:graphicData uri="http://schemas.openxmlformats.org/drawingml/2006/picture">
                <pic:pic>
                  <pic:nvPicPr>
                    <pic:cNvPr id="0" name="figure1_system_arch.png"/>
                    <pic:cNvPicPr/>
                  </pic:nvPicPr>
                  <pic:blipFill>
                    <a:blip r:embed="rId9"/>
                    <a:stretch>
                      <a:fillRect/>
                    </a:stretch>
                  </pic:blipFill>
                  <pic:spPr>
                    <a:xfrm>
                      <a:off x="0" y="0"/>
                      <a:ext cx="5760000" cy="3840000"/>
                    </a:xfrm>
                    <a:prstGeom prst="rect"/>
                  </pic:spPr>
                </pic:pic>
              </a:graphicData>
            </a:graphic>
          </wp:inline>
        </w:drawing>
      </w:r>
    </w:p>
    <w:p>
      <w:pPr>
        <w:jc w:val="center"/>
      </w:pPr>
      <w:r>
        <w:rPr>
          <w:rFonts w:ascii="宋体" w:hAnsi="宋体" w:eastAsia="宋体"/>
          <w:sz w:val="24"/>
        </w:rPr>
        <w:t>图2  数据处理方法流程图</w:t>
      </w:r>
    </w:p>
    <w:p>
      <w:pPr>
        <w:jc w:val="center"/>
      </w:pPr>
      <w:r>
        <w:drawing>
          <wp:inline xmlns:a="http://schemas.openxmlformats.org/drawingml/2006/main" xmlns:pic="http://schemas.openxmlformats.org/drawingml/2006/picture">
            <wp:extent cx="5760000" cy="3840000"/>
            <wp:docPr id="2" name="Picture 2"/>
            <wp:cNvGraphicFramePr>
              <a:graphicFrameLocks noChangeAspect="1"/>
            </wp:cNvGraphicFramePr>
            <a:graphic>
              <a:graphicData uri="http://schemas.openxmlformats.org/drawingml/2006/picture">
                <pic:pic>
                  <pic:nvPicPr>
                    <pic:cNvPr id="0" name="figure2_pipeline_flow.png"/>
                    <pic:cNvPicPr/>
                  </pic:nvPicPr>
                  <pic:blipFill>
                    <a:blip r:embed="rId10"/>
                    <a:stretch>
                      <a:fillRect/>
                    </a:stretch>
                  </pic:blipFill>
                  <pic:spPr>
                    <a:xfrm>
                      <a:off x="0" y="0"/>
                      <a:ext cx="5760000" cy="3840000"/>
                    </a:xfrm>
                    <a:prstGeom prst="rect"/>
                  </pic:spPr>
                </pic:pic>
              </a:graphicData>
            </a:graphic>
          </wp:inline>
        </w:drawing>
      </w:r>
    </w:p>
    <w:p>
      <w:pPr>
        <w:jc w:val="center"/>
      </w:pPr>
      <w:r>
        <w:rPr>
          <w:rFonts w:ascii="宋体" w:hAnsi="宋体" w:eastAsia="宋体"/>
          <w:sz w:val="24"/>
        </w:rPr>
        <w:t>图3  模块关系框图</w:t>
      </w:r>
    </w:p>
    <w:p>
      <w:pPr>
        <w:jc w:val="center"/>
      </w:pPr>
      <w:r>
        <w:drawing>
          <wp:inline xmlns:a="http://schemas.openxmlformats.org/drawingml/2006/main" xmlns:pic="http://schemas.openxmlformats.org/drawingml/2006/picture">
            <wp:extent cx="5760000" cy="3840000"/>
            <wp:docPr id="3" name="Picture 3"/>
            <wp:cNvGraphicFramePr>
              <a:graphicFrameLocks noChangeAspect="1"/>
            </wp:cNvGraphicFramePr>
            <a:graphic>
              <a:graphicData uri="http://schemas.openxmlformats.org/drawingml/2006/picture">
                <pic:pic>
                  <pic:nvPicPr>
                    <pic:cNvPr id="0" name="figure3_module_block.png"/>
                    <pic:cNvPicPr/>
                  </pic:nvPicPr>
                  <pic:blipFill>
                    <a:blip r:embed="rId11"/>
                    <a:stretch>
                      <a:fillRect/>
                    </a:stretch>
                  </pic:blipFill>
                  <pic:spPr>
                    <a:xfrm>
                      <a:off x="0" y="0"/>
                      <a:ext cx="5760000" cy="3840000"/>
                    </a:xfrm>
                    <a:prstGeom prst="rect"/>
                  </pic:spPr>
                </pic:pic>
              </a:graphicData>
            </a:graphic>
          </wp:inline>
        </w:drawing>
      </w:r>
    </w:p>
    <w:sectPr w:rsidR="00FC693F" w:rsidRPr="0006063C" w:rsidSect="00034616">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