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w:t>
      </w:r>
    </w:p>
    <w:p>
      <w:pPr>
        <w:spacing w:line="360" w:lineRule="auto"/>
      </w:pPr>
      <w:r>
        <w:rPr>
          <w:rFonts w:ascii="宋体" w:hAnsi="宋体" w:eastAsia="宋体"/>
          <w:sz w:val="24"/>
        </w:rPr>
        <w:t>[0012] 在任务触发阶段，系统提供单任务同步、批量同步和全量同步三种模式，三种模式共享统一建模和路由流程。</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w:t>
      </w:r>
    </w:p>
    <w:p>
      <w:pPr>
        <w:spacing w:line="360" w:lineRule="auto"/>
      </w:pPr>
      <w:r>
        <w:rPr>
          <w:rFonts w:ascii="宋体" w:hAnsi="宋体" w:eastAsia="宋体"/>
          <w:sz w:val="24"/>
        </w:rPr>
        <w:t>[0014] 在结果反馈阶段，系统通过REST接口返回同步结果和查询结果，并通过WebSocket通道周期推送任务状态事件。</w:t>
      </w:r>
    </w:p>
    <w:p>
      <w:pPr>
        <w:spacing w:line="360" w:lineRule="auto"/>
      </w:pPr>
      <w:r>
        <w:rPr>
          <w:rFonts w:ascii="宋体" w:hAnsi="宋体" w:eastAsia="宋体"/>
          <w:sz w:val="24"/>
        </w:rPr>
        <w:t>[0015] 在一个实施方式中，通道元数据查询优先读取数据库通道表，数据库无记录时读取通道元数据文件。</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w:t>
      </w:r>
    </w:p>
    <w:p>
      <w:pPr>
        <w:spacing w:line="360" w:lineRule="auto"/>
      </w:pPr>
      <w:r>
        <w:rPr>
          <w:rFonts w:ascii="宋体" w:hAnsi="宋体" w:eastAsia="宋体"/>
          <w:sz w:val="24"/>
        </w:rPr>
        <w:t>[0032] S102，执行字段建模。系统解析shotNo、fileName、filePath、expectedDuration、actualDuration和status，并形成标准化对象。</w:t>
      </w:r>
    </w:p>
    <w:p>
      <w:pPr>
        <w:spacing w:line="360" w:lineRule="auto"/>
      </w:pPr>
      <w:r>
        <w:rPr>
          <w:rFonts w:ascii="宋体" w:hAnsi="宋体" w:eastAsia="宋体"/>
          <w:sz w:val="24"/>
        </w:rPr>
        <w:t>[0033] S103，执行主题路由。标准化对象按照shot-metadata、wave-data、operation-log和plc-interlock主题分发到对应消息通道。</w:t>
      </w:r>
    </w:p>
    <w:p>
      <w:pPr>
        <w:spacing w:line="360" w:lineRule="auto"/>
      </w:pPr>
      <w:r>
        <w:rPr>
          <w:rFonts w:ascii="宋体" w:hAnsi="宋体" w:eastAsia="宋体"/>
          <w:sz w:val="24"/>
        </w:rPr>
        <w:t>[0034] S104，执行分主题消费。元数据、操作日志和PLC互锁日志由对应消费者处理后写入关系型数据库。</w:t>
      </w:r>
    </w:p>
    <w:p>
      <w:pPr>
        <w:spacing w:line="360" w:lineRule="auto"/>
      </w:pPr>
      <w:r>
        <w:rPr>
          <w:rFonts w:ascii="宋体" w:hAnsi="宋体" w:eastAsia="宋体"/>
          <w:sz w:val="24"/>
        </w:rPr>
        <w:t>[0035] S105，执行波形压缩存储。波形消费者将波形序列压缩编码后写入时序数据库。</w:t>
      </w:r>
    </w:p>
    <w:p>
      <w:pPr>
        <w:spacing w:line="360" w:lineRule="auto"/>
      </w:pPr>
      <w:r>
        <w:rPr>
          <w:rFonts w:ascii="宋体" w:hAnsi="宋体" w:eastAsia="宋体"/>
          <w:sz w:val="24"/>
        </w:rPr>
        <w:t>[0036] S106，执行查询解压。查询服务按炮号、通道和时间窗口读取波形数据并执行解压，返回波形序列。</w:t>
      </w:r>
    </w:p>
    <w:p>
      <w:pPr>
        <w:spacing w:line="360" w:lineRule="auto"/>
      </w:pPr>
      <w:r>
        <w:rPr>
          <w:rFonts w:ascii="宋体" w:hAnsi="宋体" w:eastAsia="宋体"/>
          <w:sz w:val="24"/>
        </w:rPr>
        <w:t>[0037] S107，执行同步触发。系统提供单任务同步、批量同步和全量同步三种触发模式。</w:t>
      </w:r>
    </w:p>
    <w:p>
      <w:pPr>
        <w:spacing w:line="360" w:lineRule="auto"/>
      </w:pPr>
      <w:r>
        <w:rPr>
          <w:rFonts w:ascii="宋体" w:hAnsi="宋体" w:eastAsia="宋体"/>
          <w:sz w:val="24"/>
        </w:rPr>
        <w:t>[0038] S108，执行主备切换。系统检测主数据源可用性，主数据源不可用时切换备用数据源，主数据源恢复后回退。</w:t>
      </w:r>
    </w:p>
    <w:p>
      <w:pPr>
        <w:spacing w:line="360" w:lineRule="auto"/>
      </w:pPr>
      <w:r>
        <w:rPr>
          <w:rFonts w:ascii="宋体" w:hAnsi="宋体" w:eastAsia="宋体"/>
          <w:sz w:val="24"/>
        </w:rPr>
        <w:t>[0039] S109，执行状态反馈。系统通过REST接口返回处理结果，通过WebSocket周期推送任务状态和事件。</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w:t>
      </w:r>
    </w:p>
    <w:p>
      <w:pPr>
        <w:spacing w:line="360" w:lineRule="auto"/>
      </w:pPr>
      <w:r>
        <w:rPr>
          <w:rFonts w:ascii="宋体" w:hAnsi="宋体" w:eastAsia="宋体"/>
          <w:sz w:val="24"/>
        </w:rPr>
        <w:t>[0044] 标准化建模模块，用于执行字段映射和统一对象构建；</w:t>
      </w:r>
    </w:p>
    <w:p>
      <w:pPr>
        <w:spacing w:line="360" w:lineRule="auto"/>
      </w:pPr>
      <w:r>
        <w:rPr>
          <w:rFonts w:ascii="宋体" w:hAnsi="宋体" w:eastAsia="宋体"/>
          <w:sz w:val="24"/>
        </w:rPr>
        <w:t>[0045] 消息路由模块，用于按主题进行分流投递；</w:t>
      </w:r>
    </w:p>
    <w:p>
      <w:pPr>
        <w:spacing w:line="360" w:lineRule="auto"/>
      </w:pPr>
      <w:r>
        <w:rPr>
          <w:rFonts w:ascii="宋体" w:hAnsi="宋体" w:eastAsia="宋体"/>
          <w:sz w:val="24"/>
        </w:rPr>
        <w:t>[0046] 消费存储模块，用于执行分主题消费和分层持久化；</w:t>
      </w:r>
    </w:p>
    <w:p>
      <w:pPr>
        <w:spacing w:line="360" w:lineRule="auto"/>
      </w:pPr>
      <w:r>
        <w:rPr>
          <w:rFonts w:ascii="宋体" w:hAnsi="宋体" w:eastAsia="宋体"/>
          <w:sz w:val="24"/>
        </w:rPr>
        <w:t>[0047] 查询服务模块，用于执行数据检索、波形解压和结果组装；</w:t>
      </w:r>
    </w:p>
    <w:p>
      <w:pPr>
        <w:spacing w:line="360" w:lineRule="auto"/>
      </w:pPr>
      <w:r>
        <w:rPr>
          <w:rFonts w:ascii="宋体" w:hAnsi="宋体" w:eastAsia="宋体"/>
          <w:sz w:val="24"/>
        </w:rPr>
        <w:t>[0048] 状态推送模块，用于执行接口结果返回和状态推送。</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