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S101，接收双源数据。系统在统一入口接收TDMS文件数据和网络消息数据，并生成任务标识；对于来自不同链路的输入，先写入统一任务上下文，确保后续处理共享同一任务状态。</w:t>
      </w:r>
    </w:p>
    <w:p>
      <w:pPr>
        <w:spacing w:line="360" w:lineRule="auto"/>
      </w:pPr>
      <w:r>
        <w:rPr>
          <w:rFonts w:ascii="宋体" w:hAnsi="宋体" w:eastAsia="宋体"/>
          <w:sz w:val="24"/>
        </w:rPr>
        <w:t>[0032]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[0033]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[0034]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[0035]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[0036]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[0037]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[0038]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[0039]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数据接入模块，用于接收双源输入并执行任务初始化，生成统一任务标识和输入来源标识；</w:t>
      </w:r>
    </w:p>
    <w:p>
      <w:pPr>
        <w:spacing w:line="360" w:lineRule="auto"/>
      </w:pPr>
      <w:r>
        <w:rPr>
          <w:rFonts w:ascii="宋体" w:hAnsi="宋体" w:eastAsia="宋体"/>
          <w:sz w:val="24"/>
        </w:rPr>
        <w:t>[0044] 标准化建模模块，用于执行字段映射和统一对象构建，输出可被下游模块直接消费的标准化数据结构；</w:t>
      </w:r>
    </w:p>
    <w:p>
      <w:pPr>
        <w:spacing w:line="360" w:lineRule="auto"/>
      </w:pPr>
      <w:r>
        <w:rPr>
          <w:rFonts w:ascii="宋体" w:hAnsi="宋体" w:eastAsia="宋体"/>
          <w:sz w:val="24"/>
        </w:rPr>
        <w:t>[0045] 消息路由模块，用于按主题进行分流投递，并为各主题设置独立队列和消费策略；</w:t>
      </w:r>
    </w:p>
    <w:p>
      <w:pPr>
        <w:spacing w:line="360" w:lineRule="auto"/>
      </w:pPr>
      <w:r>
        <w:rPr>
          <w:rFonts w:ascii="宋体" w:hAnsi="宋体" w:eastAsia="宋体"/>
          <w:sz w:val="24"/>
        </w:rPr>
        <w:t>[0046]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[0047] 查询服务模块，用于执行数据检索、波形解压和结果组装，向外部接口返回统一响应格式；</w:t>
      </w:r>
    </w:p>
    <w:p>
      <w:pPr>
        <w:spacing w:line="360" w:lineRule="auto"/>
      </w:pPr>
      <w:r>
        <w:rPr>
          <w:rFonts w:ascii="宋体" w:hAnsi="宋体" w:eastAsia="宋体"/>
          <w:sz w:val="24"/>
        </w:rPr>
        <w:t>[0048] 状态推送模块，用于执行接口结果返回和状态推送，保持前端实时状态与后端任务状态一致。</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8855894"/>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8855894"/>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11708555"/>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11708555"/>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5517186"/>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5517186"/>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