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各主题消费者采用分离部署和独立重试策略，在单一主题堆积或失败时不阻断其他主题处理路径。</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最终返回可直接用于曲线展示和分析计算的数据序列。</w:t>
      </w:r>
    </w:p>
    <w:p>
      <w:pPr>
        <w:spacing w:line="360" w:lineRule="auto"/>
      </w:pPr>
      <w:r>
        <w:rPr>
          <w:rFonts w:ascii="宋体" w:hAnsi="宋体" w:eastAsia="宋体"/>
          <w:sz w:val="24"/>
        </w:rPr>
        <w:t>[0012] 在任务触发阶段，系统提供单任务同步、批量同步和全量同步三种模式，三种模式共享统一建模和路由流程。单任务模式用于指定炮号快速补数，批量模式用于多炮号并发处理，全量模式用于时间区间或目录范围内的统一同步。</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在容错阶段，系统持续检测主数据源可用性。检测到主数据源不可用时切换到备用数据源，主数据源恢复后执行回退切换，并记录切换前后状态用于任务审计和故障追踪。</w:t>
      </w:r>
    </w:p>
    <w:p>
      <w:pPr>
        <w:spacing w:line="360" w:lineRule="auto"/>
      </w:pPr>
      <w:r>
        <w:rPr>
          <w:rFonts w:ascii="宋体" w:hAnsi="宋体" w:eastAsia="宋体"/>
          <w:sz w:val="24"/>
        </w:rPr>
        <w:t>[0014] 在结果反馈阶段，系统通过REST接口返回同步结果和查询结果，并通过WebSocket通道周期推送任务状态事件。状态事件至少包含任务开始、处理中、完成和失败，用于前端统一展示处理进度。</w:t>
      </w:r>
    </w:p>
    <w:p>
      <w:pPr>
        <w:spacing w:line="360" w:lineRule="auto"/>
      </w:pPr>
      <w:r>
        <w:rPr>
          <w:rFonts w:ascii="宋体" w:hAnsi="宋体" w:eastAsia="宋体"/>
          <w:sz w:val="24"/>
        </w:rPr>
        <w:t>[0015] 在一个实施方式中，通道元数据查询优先读取数据库通道表，数据库无记录时读取通道元数据文件；若文件数据仍缺失，则返回默认通道集合以维持查询接口可用。</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实施例一提供一种双数据源工业波形数据处理方法。参见图2，所述方法包括如下步骤。</w:t>
      </w:r>
    </w:p>
    <w:p>
      <w:pPr>
        <w:spacing w:line="360" w:lineRule="auto"/>
      </w:pPr>
      <w:r>
        <w:rPr>
          <w:rFonts w:ascii="宋体" w:hAnsi="宋体" w:eastAsia="宋体"/>
          <w:sz w:val="24"/>
        </w:rPr>
        <w:t>[0031] S101，接收双源数据。系统在统一入口接收TDMS文件数据和网络消息数据，并生成任务标识；对于来自不同链路的输入，先写入统一任务上下文，所述任务上下文至少包括任务编号、数据源类型、触发方式、接收时间和当前处理状态。</w:t>
      </w:r>
    </w:p>
    <w:p>
      <w:pPr>
        <w:spacing w:line="360" w:lineRule="auto"/>
      </w:pPr>
      <w:r>
        <w:rPr>
          <w:rFonts w:ascii="宋体" w:hAnsi="宋体" w:eastAsia="宋体"/>
          <w:sz w:val="24"/>
        </w:rPr>
        <w:t>[0032] 在一个实施方式中，所述接收入口支持文件导入触发与消息订阅触发两类输入路径，二者进入统一的任务调度队列，以保证后续处理流程一致。</w:t>
      </w:r>
    </w:p>
    <w:p>
      <w:pPr>
        <w:spacing w:line="360" w:lineRule="auto"/>
      </w:pPr>
      <w:r>
        <w:rPr>
          <w:rFonts w:ascii="宋体" w:hAnsi="宋体" w:eastAsia="宋体"/>
          <w:sz w:val="24"/>
        </w:rPr>
        <w:t>[0033] S102，执行字段建模。系统解析shotNo、fileName、filePath、expectedDuration、actualDuration和status，并形成标准化对象；当源数据字段缺失时，写入空值标记和错误码以支持后续异常处理。</w:t>
      </w:r>
    </w:p>
    <w:p>
      <w:pPr>
        <w:spacing w:line="360" w:lineRule="auto"/>
      </w:pPr>
      <w:r>
        <w:rPr>
          <w:rFonts w:ascii="宋体" w:hAnsi="宋体" w:eastAsia="宋体"/>
          <w:sz w:val="24"/>
        </w:rPr>
        <w:t>[0034] 在一个实施方式中，字段建模阶段进一步执行字段类型转换和状态值归一化处理，其中时长类字段统一采用秒级数值，状态字段统一映射为可检索的标准状态集合。</w:t>
      </w:r>
    </w:p>
    <w:p>
      <w:pPr>
        <w:spacing w:line="360" w:lineRule="auto"/>
      </w:pPr>
      <w:r>
        <w:rPr>
          <w:rFonts w:ascii="宋体" w:hAnsi="宋体" w:eastAsia="宋体"/>
          <w:sz w:val="24"/>
        </w:rPr>
        <w:t>[0035] S103，执行主题路由。标准化对象按照shot-metadata、wave-data、operation-log和plc-interlock主题分发到对应消息通道；路由阶段按主题类型设置消费优先级和重试次数。</w:t>
      </w:r>
    </w:p>
    <w:p>
      <w:pPr>
        <w:spacing w:line="360" w:lineRule="auto"/>
      </w:pPr>
      <w:r>
        <w:rPr>
          <w:rFonts w:ascii="宋体" w:hAnsi="宋体" w:eastAsia="宋体"/>
          <w:sz w:val="24"/>
        </w:rPr>
        <w:t>[0036] 在一个实施方式中，路由键至少包含炮号标识和主题标识，用于使同一炮号相关数据在消费侧可按业务顺序聚合处理。</w:t>
      </w:r>
    </w:p>
    <w:p>
      <w:pPr>
        <w:spacing w:line="360" w:lineRule="auto"/>
      </w:pPr>
      <w:r>
        <w:rPr>
          <w:rFonts w:ascii="宋体" w:hAnsi="宋体" w:eastAsia="宋体"/>
          <w:sz w:val="24"/>
        </w:rPr>
        <w:t>[0037] S104，执行分主题消费。元数据、操作日志和PLC互锁日志由对应消费者处理后写入关系型数据库；消费结果写入状态表以记录处理成功与失败信息。</w:t>
      </w:r>
    </w:p>
    <w:p>
      <w:pPr>
        <w:spacing w:line="360" w:lineRule="auto"/>
      </w:pPr>
      <w:r>
        <w:rPr>
          <w:rFonts w:ascii="宋体" w:hAnsi="宋体" w:eastAsia="宋体"/>
          <w:sz w:val="24"/>
        </w:rPr>
        <w:t>[0038] 在一个实施方式中，元数据对应写入炮号元数据表，操作日志写入操作日志表，PLC互锁日志写入互锁日志表；当写入失败时记录失败原因并保留任务重试标记。</w:t>
      </w:r>
    </w:p>
    <w:p>
      <w:pPr>
        <w:spacing w:line="360" w:lineRule="auto"/>
      </w:pPr>
      <w:r>
        <w:rPr>
          <w:rFonts w:ascii="宋体" w:hAnsi="宋体" w:eastAsia="宋体"/>
          <w:sz w:val="24"/>
        </w:rPr>
        <w:t>[0039] S105，执行波形压缩存储。波形消费者将波形序列压缩编码后写入时序数据库；写入前校验炮号与通道标识，写入后记录样本数量和时间范围索引。</w:t>
      </w:r>
    </w:p>
    <w:p>
      <w:pPr>
        <w:spacing w:line="360" w:lineRule="auto"/>
      </w:pPr>
      <w:r>
        <w:rPr>
          <w:rFonts w:ascii="宋体" w:hAnsi="宋体" w:eastAsia="宋体"/>
          <w:sz w:val="24"/>
        </w:rPr>
        <w:t>[0040] 在一个实施方式中，压缩编码采用可逆压缩方式，查询阶段可恢复与原始序列一致的数据点顺序；压缩后数据与通道名称、炮号和时间标签关联存储。</w:t>
      </w:r>
    </w:p>
    <w:p>
      <w:pPr>
        <w:spacing w:line="360" w:lineRule="auto"/>
      </w:pPr>
      <w:r>
        <w:rPr>
          <w:rFonts w:ascii="宋体" w:hAnsi="宋体" w:eastAsia="宋体"/>
          <w:sz w:val="24"/>
        </w:rPr>
        <w:t>[0041] S106，执行查询解压。查询服务按炮号、通道和时间窗口读取波形数据并执行解压，返回波形序列；当查询包含多通道条件时，按通道顺序组装输出结果。</w:t>
      </w:r>
    </w:p>
    <w:p>
      <w:pPr>
        <w:spacing w:line="360" w:lineRule="auto"/>
      </w:pPr>
      <w:r>
        <w:rPr>
          <w:rFonts w:ascii="宋体" w:hAnsi="宋体" w:eastAsia="宋体"/>
          <w:sz w:val="24"/>
        </w:rPr>
        <w:t>[0042] 在一个实施方式中，查询响应还包括对应通道名称、样本点数量和时间范围信息，以支持前端绘图与数据对比分析。</w:t>
      </w:r>
    </w:p>
    <w:p>
      <w:pPr>
        <w:spacing w:line="360" w:lineRule="auto"/>
      </w:pPr>
      <w:r>
        <w:rPr>
          <w:rFonts w:ascii="宋体" w:hAnsi="宋体" w:eastAsia="宋体"/>
          <w:sz w:val="24"/>
        </w:rPr>
        <w:t>[0043] S107，执行同步触发。系统提供单任务同步、批量同步和全量同步三种触发模式；三种模式复用同一处理管线，仅在任务装配方式和并发策略上存在差异。</w:t>
      </w:r>
    </w:p>
    <w:p>
      <w:pPr>
        <w:spacing w:line="360" w:lineRule="auto"/>
      </w:pPr>
      <w:r>
        <w:rPr>
          <w:rFonts w:ascii="宋体" w:hAnsi="宋体" w:eastAsia="宋体"/>
          <w:sz w:val="24"/>
        </w:rPr>
        <w:t>[0044] 在一个实施方式中，单任务同步用于指定炮号快速同步，批量同步用于指定炮号集合并行处理，全量同步用于扫描全部可用炮号并逐项处理。</w:t>
      </w:r>
    </w:p>
    <w:p>
      <w:pPr>
        <w:spacing w:line="360" w:lineRule="auto"/>
      </w:pPr>
      <w:r>
        <w:rPr>
          <w:rFonts w:ascii="宋体" w:hAnsi="宋体" w:eastAsia="宋体"/>
          <w:sz w:val="24"/>
        </w:rPr>
        <w:t>[0045] S108，执行主备切换。系统检测主数据源可用性，主数据源不可用时切换备用数据源，主数据源恢复后回退；切换过程中保留任务上下文与未完成队列，避免任务丢失。</w:t>
      </w:r>
    </w:p>
    <w:p>
      <w:pPr>
        <w:spacing w:line="360" w:lineRule="auto"/>
      </w:pPr>
      <w:r>
        <w:rPr>
          <w:rFonts w:ascii="宋体" w:hAnsi="宋体" w:eastAsia="宋体"/>
          <w:sz w:val="24"/>
        </w:rPr>
        <w:t>[0046] 在一个实施方式中，可用性检测至少包括连接可达性检测和读取能力检测；若主源连续检测失败达到阈值则触发切换，连续恢复达到阈值则触发回退。</w:t>
      </w:r>
    </w:p>
    <w:p>
      <w:pPr>
        <w:spacing w:line="360" w:lineRule="auto"/>
      </w:pPr>
      <w:r>
        <w:rPr>
          <w:rFonts w:ascii="宋体" w:hAnsi="宋体" w:eastAsia="宋体"/>
          <w:sz w:val="24"/>
        </w:rPr>
        <w:t>[0047] S109，执行状态反馈。系统通过REST接口返回处理结果，通过WebSocket周期推送任务状态和事件；当任务失败时，返回失败阶段与重试建议，便于运维快速定位。</w:t>
      </w:r>
    </w:p>
    <w:p>
      <w:pPr>
        <w:spacing w:line="360" w:lineRule="auto"/>
      </w:pPr>
      <w:r>
        <w:rPr>
          <w:rFonts w:ascii="宋体" w:hAnsi="宋体" w:eastAsia="宋体"/>
          <w:sz w:val="24"/>
        </w:rPr>
        <w:t>[0048] 在一个实施方式中，状态事件至少包括任务开始、处理中、完成和失败；推送消息中包括任务编号、炮号标识、当前步骤和更新时间。</w:t>
      </w:r>
    </w:p>
    <w:p>
      <w:pPr>
        <w:spacing w:line="360" w:lineRule="auto"/>
      </w:pPr>
      <w:r>
        <w:rPr>
          <w:rFonts w:ascii="宋体" w:hAnsi="宋体" w:eastAsia="宋体"/>
          <w:sz w:val="24"/>
        </w:rPr>
        <w:t>[0049] 实施例二提供一种双数据源工业波形数据处理系统，参见图1和图3，所述系统包括：</w:t>
      </w:r>
    </w:p>
    <w:p>
      <w:pPr>
        <w:spacing w:line="360" w:lineRule="auto"/>
      </w:pPr>
      <w:r>
        <w:rPr>
          <w:rFonts w:ascii="宋体" w:hAnsi="宋体" w:eastAsia="宋体"/>
          <w:sz w:val="24"/>
        </w:rPr>
        <w:t>[0050] 数据接入模块，用于接收双源输入并执行任务初始化，生成统一任务标识和输入来源标识；</w:t>
      </w:r>
    </w:p>
    <w:p>
      <w:pPr>
        <w:spacing w:line="360" w:lineRule="auto"/>
      </w:pPr>
      <w:r>
        <w:rPr>
          <w:rFonts w:ascii="宋体" w:hAnsi="宋体" w:eastAsia="宋体"/>
          <w:sz w:val="24"/>
        </w:rPr>
        <w:t>[0051] 标准化建模模块，用于执行字段映射和统一对象构建，输出可被下游模块直接消费的标准化数据结构；</w:t>
      </w:r>
    </w:p>
    <w:p>
      <w:pPr>
        <w:spacing w:line="360" w:lineRule="auto"/>
      </w:pPr>
      <w:r>
        <w:rPr>
          <w:rFonts w:ascii="宋体" w:hAnsi="宋体" w:eastAsia="宋体"/>
          <w:sz w:val="24"/>
        </w:rPr>
        <w:t>[0052] 消息路由模块，用于按主题进行分流投递，并为各主题设置独立队列和消费策略；</w:t>
      </w:r>
    </w:p>
    <w:p>
      <w:pPr>
        <w:spacing w:line="360" w:lineRule="auto"/>
      </w:pPr>
      <w:r>
        <w:rPr>
          <w:rFonts w:ascii="宋体" w:hAnsi="宋体" w:eastAsia="宋体"/>
          <w:sz w:val="24"/>
        </w:rPr>
        <w:t>[0053] 消费存储模块，用于执行分主题消费和分层持久化，其中结构化数据写入关系型数据库，波形数据压缩后写入时序数据库；</w:t>
      </w:r>
    </w:p>
    <w:p>
      <w:pPr>
        <w:spacing w:line="360" w:lineRule="auto"/>
      </w:pPr>
      <w:r>
        <w:rPr>
          <w:rFonts w:ascii="宋体" w:hAnsi="宋体" w:eastAsia="宋体"/>
          <w:sz w:val="24"/>
        </w:rPr>
        <w:t>[0054] 查询服务模块，用于执行数据检索、波形解压和结果组装，向外部接口返回统一响应格式；</w:t>
      </w:r>
    </w:p>
    <w:p>
      <w:pPr>
        <w:spacing w:line="360" w:lineRule="auto"/>
      </w:pPr>
      <w:r>
        <w:rPr>
          <w:rFonts w:ascii="宋体" w:hAnsi="宋体" w:eastAsia="宋体"/>
          <w:sz w:val="24"/>
        </w:rPr>
        <w:t>[0055] 状态推送模块，用于执行接口结果返回和状态推送，保持前端实时状态与后端任务状态一致。</w:t>
      </w:r>
    </w:p>
    <w:p>
      <w:pPr>
        <w:spacing w:line="360" w:lineRule="auto"/>
      </w:pPr>
      <w:r>
        <w:rPr>
          <w:rFonts w:ascii="宋体" w:hAnsi="宋体" w:eastAsia="宋体"/>
          <w:sz w:val="24"/>
        </w:rPr>
        <w:t>[0056] 在一个实施方式中，数据接入模块包括主数据源单元、备用数据源单元和切换控制单元，切换控制单元依据可用性检测结果切换数据源，并在恢复后执行回退切换。</w:t>
      </w:r>
    </w:p>
    <w:p>
      <w:pPr>
        <w:spacing w:line="360" w:lineRule="auto"/>
      </w:pPr>
      <w:r>
        <w:rPr>
          <w:rFonts w:ascii="宋体" w:hAnsi="宋体" w:eastAsia="宋体"/>
          <w:sz w:val="24"/>
        </w:rPr>
        <w:t>[0057] 在一个实施方式中，消息路由模块与状态推送模块协同工作，当某主题消费异常时，系统即时生成异常状态事件并对外推送。</w:t>
      </w:r>
    </w:p>
    <w:p>
      <w:pPr>
        <w:spacing w:line="360" w:lineRule="auto"/>
      </w:pPr>
      <w:r>
        <w:rPr>
          <w:rFonts w:ascii="宋体" w:hAnsi="宋体" w:eastAsia="宋体"/>
          <w:sz w:val="24"/>
        </w:rPr>
        <w:t>[0058] 在一个实施方式中，查询服务模块同时提供数据查询接口和同步触发接口，使数据访问与任务调度可通过统一服务入口调用。</w:t>
      </w:r>
    </w:p>
    <w:p>
      <w:pPr>
        <w:spacing w:line="360" w:lineRule="auto"/>
      </w:pPr>
      <w:r>
        <w:rPr>
          <w:rFonts w:ascii="宋体" w:hAnsi="宋体" w:eastAsia="宋体"/>
          <w:sz w:val="24"/>
        </w:rPr>
        <w:t>[0059] 实施例三提供一种计算机设备和一种计算机可读存储介质，处理器执行程序指令时实现实施例一的方法步骤。</w:t>
      </w:r>
    </w:p>
    <w:p>
      <w:pPr>
        <w:spacing w:line="360" w:lineRule="auto"/>
      </w:pPr>
      <w:r>
        <w:rPr>
          <w:rFonts w:ascii="宋体" w:hAnsi="宋体" w:eastAsia="宋体"/>
          <w:sz w:val="24"/>
        </w:rPr>
        <w:t>[0060] 所述计算机设备至少包括处理器、存储器和通信接口；存储器中保存用于执行数据接入、标准化建模、主题路由、分层存储、查询解压和状态推送的程序指令。</w:t>
      </w:r>
    </w:p>
    <w:p>
      <w:pPr>
        <w:spacing w:line="360" w:lineRule="auto"/>
      </w:pPr>
      <w:r>
        <w:rPr>
          <w:rFonts w:ascii="宋体" w:hAnsi="宋体" w:eastAsia="宋体"/>
          <w:sz w:val="24"/>
        </w:rPr>
        <w:t>[0061] 所述计算机可读存储介质可以为磁盘、固态存储器或其他非易失存储介质，其上存储的程序被处理器执行后完成上述步骤。</w:t>
      </w:r>
    </w:p>
    <w:p>
      <w:pPr>
        <w:spacing w:line="360" w:lineRule="auto"/>
      </w:pPr>
      <w:r>
        <w:rPr>
          <w:rFonts w:ascii="宋体" w:hAnsi="宋体" w:eastAsia="宋体"/>
          <w:sz w:val="24"/>
        </w:rPr>
        <w:t>[0062] 本领域技术人员在不偏离本发明构思的前提下，对消息中间件、存储引擎或推送通道进行等效替换，所得技术方案均应落入本发明保护范围。</w:t>
      </w:r>
    </w:p>
    <w:p>
      <w:r>
        <w:br w:type="page"/>
      </w:r>
    </w:p>
    <w:p>
      <w:pPr>
        <w:jc w:val="center"/>
      </w:pPr>
      <w:r>
        <w:drawing>
          <wp:inline xmlns:a="http://schemas.openxmlformats.org/drawingml/2006/main" xmlns:pic="http://schemas.openxmlformats.org/drawingml/2006/picture">
            <wp:extent cx="6120765" cy="3077862"/>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6120765" cy="3077862"/>
                    </a:xfrm>
                    <a:prstGeom prst="rect"/>
                  </pic:spPr>
                </pic:pic>
              </a:graphicData>
            </a:graphic>
          </wp:inline>
        </w:drawing>
      </w:r>
    </w:p>
    <w:p>
      <w:pPr>
        <w:jc w:val="center"/>
      </w:pPr>
      <w:r>
        <w:rPr>
          <w:rFonts w:ascii="宋体" w:hAnsi="宋体" w:eastAsia="宋体"/>
          <w:sz w:val="24"/>
        </w:rPr>
        <w:t>图1  双数据源工业波形处理系统总体架构图</w:t>
      </w:r>
    </w:p>
    <w:p>
      <w:r>
        <w:br w:type="page"/>
      </w:r>
    </w:p>
    <w:p>
      <w:pPr>
        <w:jc w:val="center"/>
      </w:pPr>
      <w:r>
        <w:drawing>
          <wp:inline xmlns:a="http://schemas.openxmlformats.org/drawingml/2006/main" xmlns:pic="http://schemas.openxmlformats.org/drawingml/2006/picture">
            <wp:extent cx="4984216" cy="8676585"/>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4984216" cy="8676585"/>
                    </a:xfrm>
                    <a:prstGeom prst="rect"/>
                  </pic:spPr>
                </pic:pic>
              </a:graphicData>
            </a:graphic>
          </wp:inline>
        </w:drawing>
      </w:r>
    </w:p>
    <w:p>
      <w:pPr>
        <w:jc w:val="center"/>
      </w:pPr>
      <w:r>
        <w:rPr>
          <w:rFonts w:ascii="宋体" w:hAnsi="宋体" w:eastAsia="宋体"/>
          <w:sz w:val="24"/>
        </w:rPr>
        <w:t>图2  数据处理方法流程图</w:t>
      </w:r>
    </w:p>
    <w:p>
      <w:r>
        <w:br w:type="page"/>
      </w:r>
    </w:p>
    <w:p>
      <w:pPr>
        <w:jc w:val="center"/>
      </w:pPr>
      <w:r>
        <w:drawing>
          <wp:inline xmlns:a="http://schemas.openxmlformats.org/drawingml/2006/main" xmlns:pic="http://schemas.openxmlformats.org/drawingml/2006/picture">
            <wp:extent cx="6120765" cy="6842335"/>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6120765" cy="6842335"/>
                    </a:xfrm>
                    <a:prstGeom prst="rect"/>
                  </pic:spPr>
                </pic:pic>
              </a:graphicData>
            </a:graphic>
          </wp:inline>
        </w:drawing>
      </w:r>
    </w:p>
    <w:p>
      <w:pPr>
        <w:jc w:val="center"/>
      </w:pPr>
      <w:r>
        <w:rPr>
          <w:rFonts w:ascii="宋体" w:hAnsi="宋体" w:eastAsia="宋体"/>
          <w:sz w:val="24"/>
        </w:rPr>
        <w:t>图3  模块关系框图</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