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Public Sector Performance Audit Readiness Framework (PSPARF)</w:t>
      </w:r>
    </w:p>
    <w:p>
      <w:pPr>
        <w:spacing w:after="240"/>
      </w:pPr>
      <w:r>
        <w:rPr>
          <w:b/>
          <w:color w:val="3C6E71"/>
          <w:sz w:val="24"/>
        </w:rPr>
        <w:t xml:space="preserve">Governance Manager™  ·  Framework 1  ·  Blue Zoo</w:t>
      </w:r>
    </w:p>
    <w:p>
      <w:pPr>
        <w:pStyle w:val="Heading1"/>
      </w:pPr>
      <w:r>
        <w:t xml:space="preserve">Framework overview</w:t>
      </w:r>
    </w:p>
    <w:p>
      <w:pPr>
        <w:pStyle w:val="Heading3"/>
      </w:pPr>
      <w:r>
        <w:t xml:space="preserve">Framework name</w:t>
      </w:r>
    </w:p>
    <w:p>
      <w:r>
        <w:t xml:space="preserve">Governance Manager™ Public Sector Performance Audit Readiness Framework (PSPARF).</w:t>
      </w:r>
    </w:p>
    <w:p>
      <w:pPr>
        <w:pStyle w:val="Heading3"/>
      </w:pPr>
      <w:r>
        <w:t xml:space="preserve">Purpose</w:t>
      </w:r>
    </w:p>
    <w:p>
      <w:r>
        <w:t xml:space="preserve">The Public Sector Performance Audit Readiness Framework (PSPARF) enables public sector organisations to evaluate and improve their preparedness for external performance audits. The framework measures the maturity of governance systems that support the effective, efficient and economical delivery of public services. It provides executives, Boards, Audit and Risk Committees and internal auditors with an evidence-based assessment of organisational capability, identifies governance strengths and gaps, and generates prioritised improvement actions.</w:t>
      </w:r>
    </w:p>
    <w:p>
      <w:r>
        <w:t xml:space="preserve">The framework focuses on organisational readiness rather than compliance. It assesses whether governance systems consistently produce reliable evidence that demonstrates sound stewardship, informed decision-making, accountability and continuous improvement.</w:t>
      </w:r>
    </w:p>
    <w:p>
      <w:pPr>
        <w:pStyle w:val="Heading3"/>
      </w:pPr>
      <w:r>
        <w:t xml:space="preserve">Objectives</w:t>
      </w:r>
    </w:p>
    <w:p>
      <w:r>
        <w:t xml:space="preserve">The framework assists organisations to:</w:t>
      </w:r>
    </w:p>
    <w:p>
      <w:pPr>
        <w:ind w:left="360" w:hanging="360"/>
        <w:spacing w:after="40"/>
      </w:pPr>
      <w:r>
        <w:t xml:space="preserve">•	Assess governance maturity using a structured five-level maturity model.</w:t>
      </w:r>
    </w:p>
    <w:p>
      <w:pPr>
        <w:ind w:left="360" w:hanging="360"/>
        <w:spacing w:after="40"/>
      </w:pPr>
      <w:r>
        <w:t xml:space="preserve">•	Evaluate the quality and availability of evidence supporting governance practices.</w:t>
      </w:r>
    </w:p>
    <w:p>
      <w:pPr>
        <w:ind w:left="360" w:hanging="360"/>
        <w:spacing w:after="40"/>
      </w:pPr>
      <w:r>
        <w:t xml:space="preserve">•	Identify governance risks that may affect performance audit outcomes.</w:t>
      </w:r>
    </w:p>
    <w:p>
      <w:pPr>
        <w:ind w:left="360" w:hanging="360"/>
        <w:spacing w:after="40"/>
      </w:pPr>
      <w:r>
        <w:t xml:space="preserve">•	Prioritise governance improvement initiatives.</w:t>
      </w:r>
    </w:p>
    <w:p>
      <w:pPr>
        <w:ind w:left="360" w:hanging="360"/>
        <w:spacing w:after="40"/>
      </w:pPr>
      <w:r>
        <w:t xml:space="preserve">•	Benchmark governance capability over time and against peer organisations.</w:t>
      </w:r>
    </w:p>
    <w:p>
      <w:pPr>
        <w:ind w:left="360" w:hanging="360"/>
        <w:spacing w:after="40"/>
      </w:pPr>
      <w:r>
        <w:t xml:space="preserve">•	Strengthen organisational readiness for independent performance audits.</w:t>
      </w:r>
    </w:p>
    <w:p>
      <w:pPr>
        <w:ind w:left="360" w:hanging="360"/>
        <w:spacing w:after="40"/>
      </w:pPr>
      <w:r>
        <w:t xml:space="preserve">•	Support Board, Executive and Audit Committee oversight.</w:t>
      </w:r>
    </w:p>
    <w:p>
      <w:pPr>
        <w:ind w:left="360" w:hanging="360"/>
        <w:spacing w:after="40"/>
      </w:pPr>
      <w:r>
        <w:t xml:space="preserve">•	Promote a culture of accountability, transparency and continuous improvement.</w:t>
      </w:r>
    </w:p>
    <w:p>
      <w:pPr>
        <w:pStyle w:val="Heading3"/>
      </w:pPr>
      <w:r>
        <w:t xml:space="preserve">Framework principles</w:t>
      </w:r>
    </w:p>
    <w:p>
      <w:r>
        <w:t xml:space="preserve">The PSPARF is founded on the following principles:</w:t>
      </w:r>
    </w:p>
    <w:p>
      <w:pPr>
        <w:ind w:left="360" w:hanging="360"/>
        <w:spacing w:after="40"/>
      </w:pPr>
      <w:r>
        <w:t xml:space="preserve">•	Governance should be demonstrable through objective evidence.</w:t>
      </w:r>
    </w:p>
    <w:p>
      <w:pPr>
        <w:ind w:left="360" w:hanging="360"/>
        <w:spacing w:after="40"/>
      </w:pPr>
      <w:r>
        <w:t xml:space="preserve">•	Performance should be measured against outcomes, not activities.</w:t>
      </w:r>
    </w:p>
    <w:p>
      <w:pPr>
        <w:ind w:left="360" w:hanging="360"/>
        <w:spacing w:after="40"/>
      </w:pPr>
      <w:r>
        <w:t xml:space="preserve">•	Decision-making should be transparent, documented and evidence-based.</w:t>
      </w:r>
    </w:p>
    <w:p>
      <w:pPr>
        <w:ind w:left="360" w:hanging="360"/>
        <w:spacing w:after="40"/>
      </w:pPr>
      <w:r>
        <w:t xml:space="preserve">•	Risk management should support organisational objectives.</w:t>
      </w:r>
    </w:p>
    <w:p>
      <w:pPr>
        <w:ind w:left="360" w:hanging="360"/>
        <w:spacing w:after="40"/>
      </w:pPr>
      <w:r>
        <w:t xml:space="preserve">•	Internal assurance should provide confidence in governance effectiveness.</w:t>
      </w:r>
    </w:p>
    <w:p>
      <w:pPr>
        <w:ind w:left="360" w:hanging="360"/>
        <w:spacing w:after="40"/>
      </w:pPr>
      <w:r>
        <w:t xml:space="preserve">•	Continuous improvement should be systematic and measurable.</w:t>
      </w:r>
    </w:p>
    <w:p>
      <w:pPr>
        <w:pStyle w:val="Heading1"/>
      </w:pPr>
      <w:r>
        <w:t xml:space="preserve">Maturity model</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Pr>
      <w:tblGrid>
        <w:gridCol w:w="2500"/>
        <w:gridCol w:w="7138"/>
      </w:tblGrid>
      <w:tr>
        <w:tc>
          <w:tcPr>
            <w:tcW w:w="2500" w:type="dxa"/>
            <w:shd w:val="clear" w:color="auto" w:fill="284B63"/>
          </w:tcPr>
          <w:p>
            <w:pPr>
              <w:spacing w:before="20" w:after="20"/>
            </w:pPr>
            <w:r>
              <w:rPr>
                <w:b/>
                <w:color w:val="FFFFFF"/>
              </w:rPr>
              <w:t xml:space="preserve">Level</w:t>
            </w:r>
          </w:p>
        </w:tc>
        <w:tc>
          <w:tcPr>
            <w:tcW w:w="7138" w:type="dxa"/>
            <w:shd w:val="clear" w:color="auto" w:fill="284B63"/>
          </w:tcPr>
          <w:p>
            <w:pPr>
              <w:spacing w:before="20" w:after="20"/>
            </w:pPr>
            <w:r>
              <w:rPr>
                <w:b/>
                <w:color w:val="FFFFFF"/>
              </w:rPr>
              <w:t xml:space="preserve">Description</w:t>
            </w:r>
          </w:p>
        </w:tc>
      </w:tr>
      <w:tr>
        <w:tc>
          <w:tcPr>
            <w:tcW w:w="2500" w:type="dxa"/>
          </w:tcPr>
          <w:p>
            <w:pPr>
              <w:spacing w:before="20" w:after="20"/>
            </w:pPr>
            <w:r>
              <w:t xml:space="preserve">Level 1 – Initial</w:t>
            </w:r>
          </w:p>
        </w:tc>
        <w:tc>
          <w:tcPr>
            <w:tcW w:w="7138" w:type="dxa"/>
          </w:tcPr>
          <w:p>
            <w:pPr>
              <w:spacing w:before="20" w:after="20"/>
            </w:pPr>
            <w:r>
              <w:t xml:space="preserve">Governance practices are informal, inconsistent and largely dependent on individuals. Limited documentation or evidence exists.</w:t>
            </w:r>
          </w:p>
        </w:tc>
      </w:tr>
      <w:tr>
        <w:tc>
          <w:tcPr>
            <w:tcW w:w="2500" w:type="dxa"/>
          </w:tcPr>
          <w:p>
            <w:pPr>
              <w:spacing w:before="20" w:after="20"/>
            </w:pPr>
            <w:r>
              <w:t xml:space="preserve">Level 2 – Developing</w:t>
            </w:r>
          </w:p>
        </w:tc>
        <w:tc>
          <w:tcPr>
            <w:tcW w:w="7138" w:type="dxa"/>
          </w:tcPr>
          <w:p>
            <w:pPr>
              <w:spacing w:before="20" w:after="20"/>
            </w:pPr>
            <w:r>
              <w:t xml:space="preserve">Basic governance processes have been established but are inconsistently applied. Evidence is incomplete and oversight is limited.</w:t>
            </w:r>
          </w:p>
        </w:tc>
      </w:tr>
      <w:tr>
        <w:tc>
          <w:tcPr>
            <w:tcW w:w="2500" w:type="dxa"/>
          </w:tcPr>
          <w:p>
            <w:pPr>
              <w:spacing w:before="20" w:after="20"/>
            </w:pPr>
            <w:r>
              <w:t xml:space="preserve">Level 3 – Established</w:t>
            </w:r>
          </w:p>
        </w:tc>
        <w:tc>
          <w:tcPr>
            <w:tcW w:w="7138" w:type="dxa"/>
          </w:tcPr>
          <w:p>
            <w:pPr>
              <w:spacing w:before="20" w:after="20"/>
            </w:pPr>
            <w:r>
              <w:t xml:space="preserve">Governance arrangements are documented, consistently implemented and supported by reliable evidence. Responsibilities are clearly understood.</w:t>
            </w:r>
          </w:p>
        </w:tc>
      </w:tr>
      <w:tr>
        <w:tc>
          <w:tcPr>
            <w:tcW w:w="2500" w:type="dxa"/>
          </w:tcPr>
          <w:p>
            <w:pPr>
              <w:spacing w:before="20" w:after="20"/>
            </w:pPr>
            <w:r>
              <w:t xml:space="preserve">Level 4 – Managed</w:t>
            </w:r>
          </w:p>
        </w:tc>
        <w:tc>
          <w:tcPr>
            <w:tcW w:w="7138" w:type="dxa"/>
          </w:tcPr>
          <w:p>
            <w:pPr>
              <w:spacing w:before="20" w:after="20"/>
            </w:pPr>
            <w:r>
              <w:t xml:space="preserve">Governance effectiveness is regularly monitored using performance measures. Continuous improvement activities are evident and supported by assurance processes.</w:t>
            </w:r>
          </w:p>
        </w:tc>
      </w:tr>
      <w:tr>
        <w:tc>
          <w:tcPr>
            <w:tcW w:w="2500" w:type="dxa"/>
          </w:tcPr>
          <w:p>
            <w:pPr>
              <w:spacing w:before="20" w:after="20"/>
            </w:pPr>
            <w:r>
              <w:t xml:space="preserve">Level 5 – Leading</w:t>
            </w:r>
          </w:p>
        </w:tc>
        <w:tc>
          <w:tcPr>
            <w:tcW w:w="7138" w:type="dxa"/>
          </w:tcPr>
          <w:p>
            <w:pPr>
              <w:spacing w:before="20" w:after="20"/>
            </w:pPr>
            <w:r>
              <w:t xml:space="preserve">Governance is fully integrated into organisational culture. Performance is benchmarked, innovation is encouraged and governance practices reflect recognised leading practice.</w:t>
            </w:r>
          </w:p>
        </w:tc>
      </w:tr>
    </w:tbl>
    <w:p/>
    <w:p>
      <w:pPr>
        <w:pStyle w:val="Heading1"/>
      </w:pPr>
      <w:r>
        <w:t xml:space="preserve">Assessment structure</w:t>
      </w:r>
    </w:p>
    <w:p>
      <w:r>
        <w:t xml:space="preserve">The framework contains six governance domains comprising thirty assessment elements.</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Pr>
      <w:tblGrid>
        <w:gridCol w:w="7000"/>
        <w:gridCol w:w="2638"/>
      </w:tblGrid>
      <w:tr>
        <w:tc>
          <w:tcPr>
            <w:tcW w:w="7000" w:type="dxa"/>
            <w:shd w:val="clear" w:color="auto" w:fill="284B63"/>
          </w:tcPr>
          <w:p>
            <w:pPr>
              <w:spacing w:before="20" w:after="20"/>
            </w:pPr>
            <w:r>
              <w:rPr>
                <w:b/>
                <w:color w:val="FFFFFF"/>
              </w:rPr>
              <w:t xml:space="preserve">Domain</w:t>
            </w:r>
          </w:p>
        </w:tc>
        <w:tc>
          <w:tcPr>
            <w:tcW w:w="2638" w:type="dxa"/>
            <w:shd w:val="clear" w:color="auto" w:fill="284B63"/>
          </w:tcPr>
          <w:p>
            <w:pPr>
              <w:spacing w:before="20" w:after="20"/>
            </w:pPr>
            <w:r>
              <w:rPr>
                <w:b/>
                <w:color w:val="FFFFFF"/>
              </w:rPr>
              <w:t xml:space="preserve">Assessment elements</w:t>
            </w:r>
          </w:p>
        </w:tc>
      </w:tr>
      <w:tr>
        <w:tc>
          <w:tcPr>
            <w:tcW w:w="7000" w:type="dxa"/>
          </w:tcPr>
          <w:p>
            <w:pPr>
              <w:spacing w:before="20" w:after="20"/>
            </w:pPr>
            <w:r>
              <w:t xml:space="preserve">Strategic Governance</w:t>
            </w:r>
          </w:p>
        </w:tc>
        <w:tc>
          <w:tcPr>
            <w:tcW w:w="2638" w:type="dxa"/>
          </w:tcPr>
          <w:p>
            <w:pPr>
              <w:spacing w:before="20" w:after="20"/>
            </w:pPr>
            <w:r>
              <w:t xml:space="preserve">5</w:t>
            </w:r>
          </w:p>
        </w:tc>
      </w:tr>
      <w:tr>
        <w:tc>
          <w:tcPr>
            <w:tcW w:w="7000" w:type="dxa"/>
          </w:tcPr>
          <w:p>
            <w:pPr>
              <w:spacing w:before="20" w:after="20"/>
            </w:pPr>
            <w:r>
              <w:t xml:space="preserve">Outcomes and Performance</w:t>
            </w:r>
          </w:p>
        </w:tc>
        <w:tc>
          <w:tcPr>
            <w:tcW w:w="2638" w:type="dxa"/>
          </w:tcPr>
          <w:p>
            <w:pPr>
              <w:spacing w:before="20" w:after="20"/>
            </w:pPr>
            <w:r>
              <w:t xml:space="preserve">5</w:t>
            </w:r>
          </w:p>
        </w:tc>
      </w:tr>
      <w:tr>
        <w:tc>
          <w:tcPr>
            <w:tcW w:w="7000" w:type="dxa"/>
          </w:tcPr>
          <w:p>
            <w:pPr>
              <w:spacing w:before="20" w:after="20"/>
            </w:pPr>
            <w:r>
              <w:t xml:space="preserve">Risk, Control and Assurance</w:t>
            </w:r>
          </w:p>
        </w:tc>
        <w:tc>
          <w:tcPr>
            <w:tcW w:w="2638" w:type="dxa"/>
          </w:tcPr>
          <w:p>
            <w:pPr>
              <w:spacing w:before="20" w:after="20"/>
            </w:pPr>
            <w:r>
              <w:t xml:space="preserve">5</w:t>
            </w:r>
          </w:p>
        </w:tc>
      </w:tr>
      <w:tr>
        <w:tc>
          <w:tcPr>
            <w:tcW w:w="7000" w:type="dxa"/>
          </w:tcPr>
          <w:p>
            <w:pPr>
              <w:spacing w:before="20" w:after="20"/>
            </w:pPr>
            <w:r>
              <w:t xml:space="preserve">Operational Governance</w:t>
            </w:r>
          </w:p>
        </w:tc>
        <w:tc>
          <w:tcPr>
            <w:tcW w:w="2638" w:type="dxa"/>
          </w:tcPr>
          <w:p>
            <w:pPr>
              <w:spacing w:before="20" w:after="20"/>
            </w:pPr>
            <w:r>
              <w:t xml:space="preserve">5</w:t>
            </w:r>
          </w:p>
        </w:tc>
      </w:tr>
      <w:tr>
        <w:tc>
          <w:tcPr>
            <w:tcW w:w="7000" w:type="dxa"/>
          </w:tcPr>
          <w:p>
            <w:pPr>
              <w:spacing w:before="20" w:after="20"/>
            </w:pPr>
            <w:r>
              <w:t xml:space="preserve">Evidence, Accountability and Transparency</w:t>
            </w:r>
          </w:p>
        </w:tc>
        <w:tc>
          <w:tcPr>
            <w:tcW w:w="2638" w:type="dxa"/>
          </w:tcPr>
          <w:p>
            <w:pPr>
              <w:spacing w:before="20" w:after="20"/>
            </w:pPr>
            <w:r>
              <w:t xml:space="preserve">5</w:t>
            </w:r>
          </w:p>
        </w:tc>
      </w:tr>
      <w:tr>
        <w:tc>
          <w:tcPr>
            <w:tcW w:w="7000" w:type="dxa"/>
          </w:tcPr>
          <w:p>
            <w:pPr>
              <w:spacing w:before="20" w:after="20"/>
            </w:pPr>
            <w:r>
              <w:t xml:space="preserve">Continuous Improvement and Organisational Learning</w:t>
            </w:r>
          </w:p>
        </w:tc>
        <w:tc>
          <w:tcPr>
            <w:tcW w:w="2638" w:type="dxa"/>
          </w:tcPr>
          <w:p>
            <w:pPr>
              <w:spacing w:before="20" w:after="20"/>
            </w:pPr>
            <w:r>
              <w:t xml:space="preserve">5</w:t>
            </w:r>
          </w:p>
        </w:tc>
      </w:tr>
      <w:tr>
        <w:tc>
          <w:tcPr>
            <w:tcW w:w="7000" w:type="dxa"/>
          </w:tcPr>
          <w:p>
            <w:pPr>
              <w:spacing w:before="20" w:after="20"/>
            </w:pPr>
            <w:r>
              <w:t xml:space="preserve">Total assessment elements</w:t>
            </w:r>
          </w:p>
        </w:tc>
        <w:tc>
          <w:tcPr>
            <w:tcW w:w="2638" w:type="dxa"/>
          </w:tcPr>
          <w:p>
            <w:pPr>
              <w:spacing w:before="20" w:after="20"/>
            </w:pPr>
            <w:r>
              <w:t xml:space="preserve">30</w:t>
            </w:r>
          </w:p>
        </w:tc>
      </w:tr>
    </w:tbl>
    <w:p/>
    <w:p>
      <w:pPr>
        <w:pStyle w:val="Heading1"/>
      </w:pPr>
      <w:r>
        <w:t xml:space="preserve">Governance domains</w:t>
      </w:r>
    </w:p>
    <w:p>
      <w:pPr>
        <w:pStyle w:val="Heading2"/>
      </w:pPr>
      <w:r>
        <w:t xml:space="preserve">Domain 1 – Strategic Governance</w:t>
      </w:r>
    </w:p>
    <w:p>
      <w:r>
        <w:t xml:space="preserve">Assesses whether governance arrangements provide clear direction, accountability and oversight.</w:t>
      </w:r>
    </w:p>
    <w:p>
      <w:r>
        <w:t xml:space="preserve">Assessment elements:</w:t>
      </w:r>
    </w:p>
    <w:p>
      <w:pPr>
        <w:ind w:left="360" w:hanging="360"/>
        <w:spacing w:after="40"/>
      </w:pPr>
      <w:r>
        <w:t xml:space="preserve">•	Strategic direction</w:t>
      </w:r>
    </w:p>
    <w:p>
      <w:pPr>
        <w:ind w:left="360" w:hanging="360"/>
        <w:spacing w:after="40"/>
      </w:pPr>
      <w:r>
        <w:t xml:space="preserve">•	Governance structure</w:t>
      </w:r>
    </w:p>
    <w:p>
      <w:pPr>
        <w:ind w:left="360" w:hanging="360"/>
        <w:spacing w:after="40"/>
      </w:pPr>
      <w:r>
        <w:t xml:space="preserve">•	Executive accountability</w:t>
      </w:r>
    </w:p>
    <w:p>
      <w:pPr>
        <w:ind w:left="360" w:hanging="360"/>
        <w:spacing w:after="40"/>
      </w:pPr>
      <w:r>
        <w:t xml:space="preserve">•	Decision-making</w:t>
      </w:r>
    </w:p>
    <w:p>
      <w:pPr>
        <w:ind w:left="360" w:hanging="360"/>
        <w:spacing w:after="40"/>
      </w:pPr>
      <w:r>
        <w:t xml:space="preserve">•	Governance oversight</w:t>
      </w:r>
    </w:p>
    <w:p>
      <w:pPr>
        <w:pStyle w:val="Heading2"/>
      </w:pPr>
      <w:r>
        <w:t xml:space="preserve">Domain 2 – Outcomes and Performance</w:t>
      </w:r>
    </w:p>
    <w:p>
      <w:r>
        <w:t xml:space="preserve">Assesses the organisation's ability to define, measure and report organisational performance.</w:t>
      </w:r>
    </w:p>
    <w:p>
      <w:r>
        <w:t xml:space="preserve">Assessment elements:</w:t>
      </w:r>
    </w:p>
    <w:p>
      <w:pPr>
        <w:ind w:left="360" w:hanging="360"/>
        <w:spacing w:after="40"/>
      </w:pPr>
      <w:r>
        <w:t xml:space="preserve">•	Strategic outcomes</w:t>
      </w:r>
    </w:p>
    <w:p>
      <w:pPr>
        <w:ind w:left="360" w:hanging="360"/>
        <w:spacing w:after="40"/>
      </w:pPr>
      <w:r>
        <w:t xml:space="preserve">•	Performance indicators</w:t>
      </w:r>
    </w:p>
    <w:p>
      <w:pPr>
        <w:ind w:left="360" w:hanging="360"/>
        <w:spacing w:after="40"/>
      </w:pPr>
      <w:r>
        <w:t xml:space="preserve">•	Performance monitoring</w:t>
      </w:r>
    </w:p>
    <w:p>
      <w:pPr>
        <w:ind w:left="360" w:hanging="360"/>
        <w:spacing w:after="40"/>
      </w:pPr>
      <w:r>
        <w:t xml:space="preserve">•	Performance reporting</w:t>
      </w:r>
    </w:p>
    <w:p>
      <w:pPr>
        <w:ind w:left="360" w:hanging="360"/>
        <w:spacing w:after="40"/>
      </w:pPr>
      <w:r>
        <w:t xml:space="preserve">•	Performance evaluation</w:t>
      </w:r>
    </w:p>
    <w:p>
      <w:pPr>
        <w:pStyle w:val="Heading2"/>
      </w:pPr>
      <w:r>
        <w:t xml:space="preserve">Domain 3 – Risk, Control and Assurance</w:t>
      </w:r>
    </w:p>
    <w:p>
      <w:r>
        <w:t xml:space="preserve">Assesses governance systems supporting risk management and organisational assurance.</w:t>
      </w:r>
    </w:p>
    <w:p>
      <w:r>
        <w:t xml:space="preserve">Assessment elements:</w:t>
      </w:r>
    </w:p>
    <w:p>
      <w:pPr>
        <w:ind w:left="360" w:hanging="360"/>
        <w:spacing w:after="40"/>
      </w:pPr>
      <w:r>
        <w:t xml:space="preserve">•	Enterprise risk management</w:t>
      </w:r>
    </w:p>
    <w:p>
      <w:pPr>
        <w:ind w:left="360" w:hanging="360"/>
        <w:spacing w:after="40"/>
      </w:pPr>
      <w:r>
        <w:t xml:space="preserve">•	Internal controls</w:t>
      </w:r>
    </w:p>
    <w:p>
      <w:pPr>
        <w:ind w:left="360" w:hanging="360"/>
        <w:spacing w:after="40"/>
      </w:pPr>
      <w:r>
        <w:t xml:space="preserve">•	Assurance activities</w:t>
      </w:r>
    </w:p>
    <w:p>
      <w:pPr>
        <w:ind w:left="360" w:hanging="360"/>
        <w:spacing w:after="40"/>
      </w:pPr>
      <w:r>
        <w:t xml:space="preserve">•	Internal audit</w:t>
      </w:r>
    </w:p>
    <w:p>
      <w:pPr>
        <w:ind w:left="360" w:hanging="360"/>
        <w:spacing w:after="40"/>
      </w:pPr>
      <w:r>
        <w:t xml:space="preserve">•	Audit recommendation management</w:t>
      </w:r>
    </w:p>
    <w:p>
      <w:pPr>
        <w:pStyle w:val="Heading2"/>
      </w:pPr>
      <w:r>
        <w:t xml:space="preserve">Domain 4 – Operational Governance</w:t>
      </w:r>
    </w:p>
    <w:p>
      <w:r>
        <w:t xml:space="preserve">Assesses operational management systems supporting effective service delivery.</w:t>
      </w:r>
    </w:p>
    <w:p>
      <w:r>
        <w:t xml:space="preserve">Assessment elements:</w:t>
      </w:r>
    </w:p>
    <w:p>
      <w:pPr>
        <w:ind w:left="360" w:hanging="360"/>
        <w:spacing w:after="40"/>
      </w:pPr>
      <w:r>
        <w:t xml:space="preserve">•	Service delivery governance</w:t>
      </w:r>
    </w:p>
    <w:p>
      <w:pPr>
        <w:ind w:left="360" w:hanging="360"/>
        <w:spacing w:after="40"/>
      </w:pPr>
      <w:r>
        <w:t xml:space="preserve">•	Programme and project governance</w:t>
      </w:r>
    </w:p>
    <w:p>
      <w:pPr>
        <w:ind w:left="360" w:hanging="360"/>
        <w:spacing w:after="40"/>
      </w:pPr>
      <w:r>
        <w:t xml:space="preserve">•	Resource management</w:t>
      </w:r>
    </w:p>
    <w:p>
      <w:pPr>
        <w:ind w:left="360" w:hanging="360"/>
        <w:spacing w:after="40"/>
      </w:pPr>
      <w:r>
        <w:t xml:space="preserve">•	Operational decision-making</w:t>
      </w:r>
    </w:p>
    <w:p>
      <w:pPr>
        <w:ind w:left="360" w:hanging="360"/>
        <w:spacing w:after="40"/>
      </w:pPr>
      <w:r>
        <w:t xml:space="preserve">•	Operational review</w:t>
      </w:r>
    </w:p>
    <w:p>
      <w:pPr>
        <w:pStyle w:val="Heading2"/>
      </w:pPr>
      <w:r>
        <w:t xml:space="preserve">Domain 5 – Evidence, Accountability and Transparency</w:t>
      </w:r>
    </w:p>
    <w:p>
      <w:r>
        <w:t xml:space="preserve">Assesses the organisation's ability to demonstrate accountability through reliable evidence.</w:t>
      </w:r>
    </w:p>
    <w:p>
      <w:r>
        <w:t xml:space="preserve">Assessment elements:</w:t>
      </w:r>
    </w:p>
    <w:p>
      <w:pPr>
        <w:ind w:left="360" w:hanging="360"/>
        <w:spacing w:after="40"/>
      </w:pPr>
      <w:r>
        <w:t xml:space="preserve">•	Records management</w:t>
      </w:r>
    </w:p>
    <w:p>
      <w:pPr>
        <w:ind w:left="360" w:hanging="360"/>
        <w:spacing w:after="40"/>
      </w:pPr>
      <w:r>
        <w:t xml:space="preserve">•	Governance documentation</w:t>
      </w:r>
    </w:p>
    <w:p>
      <w:pPr>
        <w:ind w:left="360" w:hanging="360"/>
        <w:spacing w:after="40"/>
      </w:pPr>
      <w:r>
        <w:t xml:space="preserve">•	Decision records</w:t>
      </w:r>
    </w:p>
    <w:p>
      <w:pPr>
        <w:ind w:left="360" w:hanging="360"/>
        <w:spacing w:after="40"/>
      </w:pPr>
      <w:r>
        <w:t xml:space="preserve">•	Public accountability</w:t>
      </w:r>
    </w:p>
    <w:p>
      <w:pPr>
        <w:ind w:left="360" w:hanging="360"/>
        <w:spacing w:after="40"/>
      </w:pPr>
      <w:r>
        <w:t xml:space="preserve">•	Evidence management</w:t>
      </w:r>
    </w:p>
    <w:p>
      <w:pPr>
        <w:pStyle w:val="Heading2"/>
      </w:pPr>
      <w:r>
        <w:t xml:space="preserve">Domain 6 – Continuous Improvement and Organisational Learning</w:t>
      </w:r>
    </w:p>
    <w:p>
      <w:r>
        <w:t xml:space="preserve">Assesses the organisation's capacity to improve governance capability over time.</w:t>
      </w:r>
    </w:p>
    <w:p>
      <w:r>
        <w:t xml:space="preserve">Assessment elements:</w:t>
      </w:r>
    </w:p>
    <w:p>
      <w:pPr>
        <w:ind w:left="360" w:hanging="360"/>
        <w:spacing w:after="40"/>
      </w:pPr>
      <w:r>
        <w:t xml:space="preserve">•	Continuous improvement</w:t>
      </w:r>
    </w:p>
    <w:p>
      <w:pPr>
        <w:ind w:left="360" w:hanging="360"/>
        <w:spacing w:after="40"/>
      </w:pPr>
      <w:r>
        <w:t xml:space="preserve">•	Lessons learned</w:t>
      </w:r>
    </w:p>
    <w:p>
      <w:pPr>
        <w:ind w:left="360" w:hanging="360"/>
        <w:spacing w:after="40"/>
      </w:pPr>
      <w:r>
        <w:t xml:space="preserve">•	Governance reviews</w:t>
      </w:r>
    </w:p>
    <w:p>
      <w:pPr>
        <w:ind w:left="360" w:hanging="360"/>
        <w:spacing w:after="40"/>
      </w:pPr>
      <w:r>
        <w:t xml:space="preserve">•	Capability development</w:t>
      </w:r>
    </w:p>
    <w:p>
      <w:pPr>
        <w:ind w:left="360" w:hanging="360"/>
        <w:spacing w:after="40"/>
      </w:pPr>
      <w:r>
        <w:t xml:space="preserve">•	Governance innovation</w:t>
      </w:r>
    </w:p>
    <w:p>
      <w:pPr>
        <w:pStyle w:val="Heading1"/>
      </w:pPr>
      <w:r>
        <w:t xml:space="preserve">Dual assessment model</w:t>
      </w:r>
    </w:p>
    <w:p>
      <w:r>
        <w:t xml:space="preserve">Every assessment element receives two independent ratings.</w:t>
      </w:r>
    </w:p>
    <w:p>
      <w:pPr>
        <w:pStyle w:val="Heading3"/>
      </w:pPr>
      <w:r>
        <w:t xml:space="preserve">Capability maturity</w:t>
      </w:r>
    </w:p>
    <w:p>
      <w:r>
        <w:t xml:space="preserve">Measures how effectively governance practices have been designed, implemented and embedded.</w:t>
      </w:r>
    </w:p>
    <w:p>
      <w:pPr>
        <w:pStyle w:val="Heading3"/>
      </w:pPr>
      <w:r>
        <w:t xml:space="preserve">Evidence confidence</w:t>
      </w:r>
    </w:p>
    <w:p>
      <w:r>
        <w:t xml:space="preserve">Measures the organisation's ability to produce reliable, current and sufficient evidence demonstrating that governance practices are operating effectively.</w:t>
      </w:r>
    </w:p>
    <w:p>
      <w:r>
        <w:t xml:space="preserve">This dual-scoring methodology enables organisations to distinguish between perceived governance capability and demonstrable governance capability, providing a more accurate indication of performance audit readiness.</w:t>
      </w:r>
    </w:p>
    <w:p>
      <w:pPr>
        <w:pStyle w:val="Heading1"/>
      </w:pPr>
      <w:r>
        <w:t xml:space="preserve">Governance Manager outputs</w:t>
      </w:r>
    </w:p>
    <w:p>
      <w:r>
        <w:t xml:space="preserve">Upon completion, Governance Manager generates:</w:t>
      </w:r>
    </w:p>
    <w:p>
      <w:pPr>
        <w:ind w:left="360" w:hanging="360"/>
        <w:spacing w:after="40"/>
      </w:pPr>
      <w:r>
        <w:t xml:space="preserve">•	Overall Performance Audit Readiness Index.</w:t>
      </w:r>
    </w:p>
    <w:p>
      <w:pPr>
        <w:ind w:left="360" w:hanging="360"/>
        <w:spacing w:after="40"/>
      </w:pPr>
      <w:r>
        <w:t xml:space="preserve">•	Overall Capability Maturity Score.</w:t>
      </w:r>
    </w:p>
    <w:p>
      <w:pPr>
        <w:ind w:left="360" w:hanging="360"/>
        <w:spacing w:after="40"/>
      </w:pPr>
      <w:r>
        <w:t xml:space="preserve">•	Overall Evidence Confidence Score.</w:t>
      </w:r>
    </w:p>
    <w:p>
      <w:pPr>
        <w:ind w:left="360" w:hanging="360"/>
        <w:spacing w:after="40"/>
      </w:pPr>
      <w:r>
        <w:t xml:space="preserve">•	Domain maturity scores.</w:t>
      </w:r>
    </w:p>
    <w:p>
      <w:pPr>
        <w:ind w:left="360" w:hanging="360"/>
        <w:spacing w:after="40"/>
      </w:pPr>
      <w:r>
        <w:t xml:space="preserve">•	Domain evidence scores.</w:t>
      </w:r>
    </w:p>
    <w:p>
      <w:pPr>
        <w:ind w:left="360" w:hanging="360"/>
        <w:spacing w:after="40"/>
      </w:pPr>
      <w:r>
        <w:t xml:space="preserve">•	Organisational maturity radar chart.</w:t>
      </w:r>
    </w:p>
    <w:p>
      <w:pPr>
        <w:ind w:left="360" w:hanging="360"/>
        <w:spacing w:after="40"/>
      </w:pPr>
      <w:r>
        <w:t xml:space="preserve">•	Evidence confidence heat map.</w:t>
      </w:r>
    </w:p>
    <w:p>
      <w:pPr>
        <w:ind w:left="360" w:hanging="360"/>
        <w:spacing w:after="40"/>
      </w:pPr>
      <w:r>
        <w:t xml:space="preserve">•	Performance Audit Readiness dashboard.</w:t>
      </w:r>
    </w:p>
    <w:p>
      <w:pPr>
        <w:ind w:left="360" w:hanging="360"/>
        <w:spacing w:after="40"/>
      </w:pPr>
      <w:r>
        <w:t xml:space="preserve">•	Governance strengths summary.</w:t>
      </w:r>
    </w:p>
    <w:p>
      <w:pPr>
        <w:ind w:left="360" w:hanging="360"/>
        <w:spacing w:after="40"/>
      </w:pPr>
      <w:r>
        <w:t xml:space="preserve">•	High-priority governance risks.</w:t>
      </w:r>
    </w:p>
    <w:p>
      <w:pPr>
        <w:ind w:left="360" w:hanging="360"/>
        <w:spacing w:after="40"/>
      </w:pPr>
      <w:r>
        <w:t xml:space="preserve">•	Recommended improvement actions.</w:t>
      </w:r>
    </w:p>
    <w:p>
      <w:pPr>
        <w:ind w:left="360" w:hanging="360"/>
        <w:spacing w:after="40"/>
      </w:pPr>
      <w:r>
        <w:t xml:space="preserve">•	Prioritised implementation roadmap.</w:t>
      </w:r>
    </w:p>
    <w:p>
      <w:pPr>
        <w:ind w:left="360" w:hanging="360"/>
        <w:spacing w:after="40"/>
      </w:pPr>
      <w:r>
        <w:t xml:space="preserve">•	Benchmark comparison against participating organisations.</w:t>
      </w:r>
    </w:p>
    <w:p>
      <w:pPr>
        <w:ind w:left="360" w:hanging="360"/>
        <w:spacing w:after="40"/>
      </w:pPr>
      <w:r>
        <w:t xml:space="preserve">•	Executive summary report.</w:t>
      </w:r>
    </w:p>
    <w:p>
      <w:pPr>
        <w:ind w:left="360" w:hanging="360"/>
        <w:spacing w:after="40"/>
      </w:pPr>
      <w:r>
        <w:t xml:space="preserve">•	Board reporting dashboard.</w:t>
      </w:r>
    </w:p>
    <w:p>
      <w:pPr>
        <w:ind w:left="360" w:hanging="360"/>
        <w:spacing w:after="40"/>
      </w:pPr>
      <w:r>
        <w:t xml:space="preserve">•	Audit and Risk Committee report.</w:t>
      </w:r>
    </w:p>
    <w:p>
      <w:pPr>
        <w:ind w:left="360" w:hanging="360"/>
        <w:spacing w:after="40"/>
      </w:pPr>
      <w:r>
        <w:t xml:space="preserve">•	Internal Audit planning recommendations.</w:t>
      </w:r>
    </w:p>
    <w:p>
      <w:pPr>
        <w:pStyle w:val="Heading1"/>
      </w:pPr>
      <w:r>
        <w:t xml:space="preserve">Recommended next stage</w:t>
      </w:r>
    </w:p>
    <w:p>
      <w:r>
        <w:t xml:space="preserve">This framework is treated as Framework 1. The next stage would be to develop the detailed assessment content, comprising:</w:t>
      </w:r>
    </w:p>
    <w:p>
      <w:pPr>
        <w:ind w:left="360" w:hanging="360"/>
        <w:spacing w:after="40"/>
      </w:pPr>
      <w:r>
        <w:t xml:space="preserve">•	30 assessment questions.</w:t>
      </w:r>
    </w:p>
    <w:p>
      <w:pPr>
        <w:ind w:left="360" w:hanging="360"/>
        <w:spacing w:after="40"/>
      </w:pPr>
      <w:r>
        <w:t xml:space="preserve">•	150 maturity descriptors (five levels for each question).</w:t>
      </w:r>
    </w:p>
    <w:p>
      <w:pPr>
        <w:ind w:left="360" w:hanging="360"/>
        <w:spacing w:after="40"/>
      </w:pPr>
      <w:r>
        <w:t xml:space="preserve">•	150 evidence confidence descriptors.</w:t>
      </w:r>
    </w:p>
    <w:p>
      <w:pPr>
        <w:ind w:left="360" w:hanging="360"/>
        <w:spacing w:after="40"/>
      </w:pPr>
      <w:r>
        <w:t xml:space="preserve">•	Recommended evidence sources for each assessment element.</w:t>
      </w:r>
    </w:p>
    <w:p>
      <w:pPr>
        <w:ind w:left="360" w:hanging="360"/>
        <w:spacing w:after="40"/>
      </w:pPr>
      <w:r>
        <w:t xml:space="preserve">•	Improvement actions for progressing between maturity levels.</w:t>
      </w:r>
    </w:p>
    <w:p>
      <w:pPr>
        <w:ind w:left="360" w:hanging="360"/>
        <w:spacing w:after="40"/>
      </w:pPr>
      <w:r>
        <w:t xml:space="preserve">•	Governance Manager scoring rules and weighting methodology.</w:t>
      </w:r>
    </w:p>
    <w:p>
      <w:r>
        <w:t xml:space="preserve">That level of detail would make PSPARF a comprehensive, proprietary governance framework suitable for commercial deployment through Governance Manager.</w:t>
      </w:r>
    </w:p>
    <w:sectPr>
      <w:pgSz w:w="11906" w:h="16838"/>
      <w:pgMar w:top="1134" w:right="1134" w:bottom="1134" w:left="1134" w:header="720" w:footer="720" w:gutter="0"/>
    </w:sectPr>
  </w:body>
</w:document>
</file>

<file path=word/styles.xml><?xml version="1.0" encoding="utf-8"?>
<w:styles xmlns:w="http://schemas.openxmlformats.org/wordprocessingml/2006/main">
  <w:docDefaults>
    <w:rPrDefault>
      <w:rPr>
        <w:rFonts w:ascii="Calibri" w:hAnsi="Calibri" w:cs="Calibri"/>
        <w:sz w:val="22"/>
        <w:szCs w:val="22"/>
        <w:color w:val="353535"/>
      </w:rPr>
    </w:rPrDefault>
  </w:docDefaults>
  <w:style w:type="paragraph" w:default="1" w:styleId="Normal">
    <w:name w:val="Normal"/>
    <w:pPr>
      <w:spacing w:after="120" w:line="264" w:lineRule="auto"/>
    </w:pPr>
  </w:style>
  <w:style w:type="paragraph" w:styleId="Title">
    <w:name w:val="Title"/>
    <w:pPr>
      <w:spacing w:after="60"/>
    </w:pPr>
    <w:rPr>
      <w:b/>
      <w:color w:val="284B63"/>
      <w:sz w:val="44"/>
    </w:rPr>
  </w:style>
  <w:style w:type="paragraph" w:styleId="Heading1">
    <w:name w:val="heading 1"/>
    <w:basedOn w:val="Normal"/>
    <w:next w:val="Normal"/>
    <w:pPr>
      <w:keepNext/>
      <w:spacing w:before="300" w:after="100"/>
    </w:pPr>
    <w:rPr>
      <w:b/>
      <w:color w:val="284B63"/>
      <w:sz w:val="30"/>
    </w:rPr>
  </w:style>
  <w:style w:type="paragraph" w:styleId="Heading2">
    <w:name w:val="heading 2"/>
    <w:basedOn w:val="Normal"/>
    <w:next w:val="Normal"/>
    <w:pPr>
      <w:keepNext/>
      <w:spacing w:before="220" w:after="60"/>
    </w:pPr>
    <w:rPr>
      <w:b/>
      <w:color w:val="3C6E71"/>
      <w:sz w:val="26"/>
    </w:rPr>
  </w:style>
  <w:style w:type="paragraph" w:styleId="Heading3">
    <w:name w:val="heading 3"/>
    <w:basedOn w:val="Normal"/>
    <w:next w:val="Normal"/>
    <w:pPr>
      <w:keepNext/>
      <w:spacing w:before="140" w:after="40"/>
    </w:pPr>
    <w:rPr>
      <w:b/>
      <w:color w:val="353535"/>
      <w:sz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