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Light" w:hAnsi="Calibri Light"/>
          <w:color w:val="000000"/>
        </w:rPr>
        <w:t>Public Sector Performance Audit Readiness Framework</w:t>
      </w:r>
    </w:p>
    <w:p>
      <w:pPr>
        <w:pStyle w:val="Subtitle"/>
        <w:jc w:val="center"/>
      </w:pPr>
      <w:r>
        <w:rPr>
          <w:rFonts w:ascii="Calibri Light" w:hAnsi="Calibri Light"/>
          <w:b w:val="0"/>
          <w:color w:val="000000"/>
          <w:sz w:val="20"/>
        </w:rPr>
        <w:t>Five-Level Maturity Model, Organisational Indicators and Improvement Actions</w:t>
      </w:r>
    </w:p>
    <w:p>
      <w:pPr>
        <w:jc w:val="center"/>
      </w:pPr>
      <w:r>
        <w:rPr>
          <w:rFonts w:ascii="Calibri Light" w:hAnsi="Calibri Light"/>
          <w:i/>
          <w:color w:val="000000"/>
          <w:sz w:val="20"/>
        </w:rPr>
        <w:t>Australian public sector agencies</w:t>
      </w:r>
    </w:p>
    <w:p>
      <w:pPr>
        <w:spacing w:before="0" w:after="120" w:line="240" w:lineRule="auto"/>
      </w:pPr>
      <w:r>
        <w:rPr>
          <w:rFonts w:ascii="Calibri Light" w:hAnsi="Calibri Light"/>
          <w:b w:val="0"/>
          <w:color w:val="000000"/>
          <w:sz w:val="20"/>
        </w:rPr>
        <w:t>This assessment instrument contains a specific five-level maturity model for each of the 30 framework Elements. Each maturity description is supported by four observable organisational indicators. The document also provides improvement actions for each transition from Initial to Leading.</w:t>
      </w:r>
    </w:p>
    <w:p>
      <w:pPr>
        <w:pStyle w:val="Heading1"/>
      </w:pPr>
      <w:r>
        <w:rPr>
          <w:rFonts w:ascii="Calibri Light" w:hAnsi="Calibri Light"/>
          <w:color w:val="000000"/>
        </w:rPr>
        <w:t>Assessment method</w:t>
      </w:r>
    </w:p>
    <w:p>
      <w:pPr>
        <w:spacing w:before="0" w:after="120" w:line="240" w:lineRule="auto"/>
      </w:pPr>
      <w:r>
        <w:rPr>
          <w:rFonts w:ascii="Calibri Light" w:hAnsi="Calibri Light"/>
          <w:color w:val="000000"/>
          <w:sz w:val="20"/>
        </w:rPr>
        <w:t>Assessors should rate the operating maturity of each Element using evidence from documents, systems, data, interviews, observation and testing. A policy or procedure does not establish maturity unless the agency can demonstrate that the practice operated consistently during the assessment period.</w:t>
      </w:r>
    </w:p>
    <w:p>
      <w:pPr>
        <w:spacing w:before="0" w:after="120" w:line="240" w:lineRule="auto"/>
      </w:pPr>
      <w:r>
        <w:rPr>
          <w:rFonts w:ascii="Calibri Light" w:hAnsi="Calibri Light"/>
          <w:color w:val="000000"/>
          <w:sz w:val="20"/>
        </w:rPr>
        <w:t>Each maturity rating should be accompanied by an Evidence Confidence rating: High where evidence is complete, reliable and independently verifiable; Moderate where evidence is credible but contains limited gaps; Low where the rating relies heavily on assertion, incomplete records or untested practice.</w:t>
      </w:r>
    </w:p>
    <w:p>
      <w:pPr>
        <w:keepNext w:val="0"/>
        <w:keepLines/>
        <w:spacing w:before="0" w:after="120"/>
      </w:pPr>
      <w:r>
        <w:rPr>
          <w:rFonts w:ascii="Calibri Light" w:hAnsi="Calibri Light"/>
          <w:b w:val="0"/>
          <w:color w:val="000000"/>
          <w:sz w:val="20"/>
        </w:rPr>
        <w:t>Organisational indicators are observable signs that support a maturity judgement. They are diagnostic examples rather than mandatory criteria. Assessors should confirm that the indicators are sustained in practice and supported by contemporaneous evidence before assigning a rating.</w:t>
      </w:r>
    </w:p>
    <w:p>
      <w:pPr>
        <w:pStyle w:val="Heading1"/>
      </w:pPr>
      <w:r>
        <w:rPr>
          <w:rFonts w:ascii="Calibri Light" w:hAnsi="Calibri Light"/>
          <w:color w:val="000000"/>
        </w:rPr>
        <w:t>Common maturity scale</w:t>
      </w:r>
    </w:p>
    <w:p>
      <w:pPr>
        <w:spacing w:before="0" w:after="120" w:line="240" w:lineRule="auto"/>
      </w:pPr>
      <w:r>
        <w:rPr>
          <w:rFonts w:ascii="Calibri Light" w:hAnsi="Calibri Light"/>
          <w:b/>
          <w:color w:val="000000"/>
          <w:sz w:val="20"/>
        </w:rPr>
        <w:t xml:space="preserve">Level 1 - Initial: </w:t>
      </w:r>
      <w:r>
        <w:rPr>
          <w:rFonts w:ascii="Calibri Light" w:hAnsi="Calibri Light"/>
          <w:color w:val="000000"/>
          <w:sz w:val="20"/>
        </w:rPr>
        <w:t>Practices are informal, reactive, inconsistent or dependent on individuals. Evidence is often incomplete or difficult to retrieve.</w:t>
      </w:r>
    </w:p>
    <w:p>
      <w:pPr>
        <w:spacing w:before="0" w:after="120" w:line="240" w:lineRule="auto"/>
      </w:pPr>
      <w:r>
        <w:rPr>
          <w:rFonts w:ascii="Calibri Light" w:hAnsi="Calibri Light"/>
          <w:b/>
          <w:color w:val="000000"/>
          <w:sz w:val="20"/>
        </w:rPr>
        <w:t xml:space="preserve">Level 2 - Developing: </w:t>
      </w:r>
      <w:r>
        <w:rPr>
          <w:rFonts w:ascii="Calibri Light" w:hAnsi="Calibri Light"/>
          <w:color w:val="000000"/>
          <w:sz w:val="20"/>
        </w:rPr>
        <w:t>Basic practices exist but are incomplete, inconsistently applied or weakly documented.</w:t>
      </w:r>
    </w:p>
    <w:p>
      <w:pPr>
        <w:spacing w:before="0" w:after="120" w:line="240" w:lineRule="auto"/>
      </w:pPr>
      <w:r>
        <w:rPr>
          <w:rFonts w:ascii="Calibri Light" w:hAnsi="Calibri Light"/>
          <w:b/>
          <w:color w:val="000000"/>
          <w:sz w:val="20"/>
        </w:rPr>
        <w:t xml:space="preserve">Level 3 - Established: </w:t>
      </w:r>
      <w:r>
        <w:rPr>
          <w:rFonts w:ascii="Calibri Light" w:hAnsi="Calibri Light"/>
          <w:color w:val="000000"/>
          <w:sz w:val="20"/>
        </w:rPr>
        <w:t>Defined responsibilities, processes, controls and evidence requirements operate across the relevant parts of the agency.</w:t>
      </w:r>
    </w:p>
    <w:p>
      <w:pPr>
        <w:spacing w:before="0" w:after="120" w:line="240" w:lineRule="auto"/>
      </w:pPr>
      <w:r>
        <w:rPr>
          <w:rFonts w:ascii="Calibri Light" w:hAnsi="Calibri Light"/>
          <w:b/>
          <w:color w:val="000000"/>
          <w:sz w:val="20"/>
        </w:rPr>
        <w:t xml:space="preserve">Level 4 - Managed: </w:t>
      </w:r>
      <w:r>
        <w:rPr>
          <w:rFonts w:ascii="Calibri Light" w:hAnsi="Calibri Light"/>
          <w:color w:val="000000"/>
          <w:sz w:val="20"/>
        </w:rPr>
        <w:t>The agency monitors effectiveness, uses reliable information, tests operation and actively manages deficiencies.</w:t>
      </w:r>
    </w:p>
    <w:p>
      <w:pPr>
        <w:spacing w:before="0" w:after="120" w:line="240" w:lineRule="auto"/>
      </w:pPr>
      <w:r>
        <w:rPr>
          <w:rFonts w:ascii="Calibri Light" w:hAnsi="Calibri Light"/>
          <w:b/>
          <w:color w:val="000000"/>
          <w:sz w:val="20"/>
        </w:rPr>
        <w:t xml:space="preserve">Level 5 - Leading: </w:t>
      </w:r>
      <w:r>
        <w:rPr>
          <w:rFonts w:ascii="Calibri Light" w:hAnsi="Calibri Light"/>
          <w:color w:val="000000"/>
          <w:sz w:val="20"/>
        </w:rPr>
        <w:t>Practices are integrated, independently tested, adaptive and continuously improved. The agency can readily demonstrate sustained effectiveness.</w:t>
      </w:r>
    </w:p>
    <w:p>
      <w:pPr>
        <w:pStyle w:val="Heading1"/>
      </w:pPr>
      <w:r>
        <w:rPr>
          <w:rFonts w:ascii="Calibri Light" w:hAnsi="Calibri Light"/>
          <w:color w:val="000000"/>
        </w:rPr>
        <w:t>Framework overview</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794"/>
            <w:shd w:fill="D9E2F3"/>
            <w:tcMar>
              <w:top w:w="80" w:type="dxa"/>
              <w:start w:w="100" w:type="dxa"/>
              <w:bottom w:w="80" w:type="dxa"/>
              <w:end w:w="100" w:type="dxa"/>
            </w:tcMar>
          </w:tcPr>
          <w:p>
            <w:r>
              <w:rPr>
                <w:b/>
              </w:rPr>
              <w:t>No.</w:t>
            </w:r>
          </w:p>
        </w:tc>
        <w:tc>
          <w:tcPr>
            <w:tcW w:type="dxa" w:w="3061"/>
            <w:shd w:fill="D9E2F3"/>
            <w:tcMar>
              <w:top w:w="80" w:type="dxa"/>
              <w:start w:w="100" w:type="dxa"/>
              <w:bottom w:w="80" w:type="dxa"/>
              <w:end w:w="100" w:type="dxa"/>
            </w:tcMar>
          </w:tcPr>
          <w:p>
            <w:r>
              <w:rPr>
                <w:b/>
              </w:rPr>
              <w:t>Topic</w:t>
            </w:r>
          </w:p>
        </w:tc>
        <w:tc>
          <w:tcPr>
            <w:tcW w:type="dxa" w:w="5669"/>
            <w:shd w:fill="D9E2F3"/>
            <w:tcMar>
              <w:top w:w="80" w:type="dxa"/>
              <w:start w:w="100" w:type="dxa"/>
              <w:bottom w:w="80" w:type="dxa"/>
              <w:end w:w="100" w:type="dxa"/>
            </w:tcMar>
          </w:tcPr>
          <w:p>
            <w:r>
              <w:rPr>
                <w:b/>
              </w:rPr>
              <w:t>Element</w:t>
            </w:r>
          </w:p>
        </w:tc>
      </w:tr>
      <w:tr>
        <w:tc>
          <w:tcPr>
            <w:tcW w:type="dxa" w:w="794"/>
            <w:tcMar>
              <w:top w:w="80" w:type="dxa"/>
              <w:start w:w="100" w:type="dxa"/>
              <w:bottom w:w="80" w:type="dxa"/>
              <w:end w:w="100" w:type="dxa"/>
            </w:tcMar>
            <w:vAlign w:val="top"/>
          </w:tcPr>
          <w:p>
            <w:r>
              <w:t>1</w:t>
            </w:r>
          </w:p>
        </w:tc>
        <w:tc>
          <w:tcPr>
            <w:tcW w:type="dxa" w:w="3061"/>
            <w:tcMar>
              <w:top w:w="80" w:type="dxa"/>
              <w:start w:w="100" w:type="dxa"/>
              <w:bottom w:w="80" w:type="dxa"/>
              <w:end w:w="100" w:type="dxa"/>
            </w:tcMar>
            <w:vAlign w:val="top"/>
          </w:tcPr>
          <w:p>
            <w:r>
              <w:t>Strategic Governance</w:t>
            </w:r>
          </w:p>
        </w:tc>
        <w:tc>
          <w:tcPr>
            <w:tcW w:type="dxa" w:w="5669"/>
            <w:tcMar>
              <w:top w:w="80" w:type="dxa"/>
              <w:start w:w="100" w:type="dxa"/>
              <w:bottom w:w="80" w:type="dxa"/>
              <w:end w:w="100" w:type="dxa"/>
            </w:tcMar>
            <w:vAlign w:val="top"/>
          </w:tcPr>
          <w:p>
            <w:r>
              <w:t>Mandate, Purpose and Authority</w:t>
            </w:r>
          </w:p>
        </w:tc>
      </w:tr>
      <w:tr>
        <w:tc>
          <w:tcPr>
            <w:tcW w:type="dxa" w:w="794"/>
            <w:tcMar>
              <w:top w:w="80" w:type="dxa"/>
              <w:start w:w="100" w:type="dxa"/>
              <w:bottom w:w="80" w:type="dxa"/>
              <w:end w:w="100" w:type="dxa"/>
            </w:tcMar>
            <w:vAlign w:val="top"/>
          </w:tcPr>
          <w:p>
            <w:r>
              <w:t>2</w:t>
            </w:r>
          </w:p>
        </w:tc>
        <w:tc>
          <w:tcPr>
            <w:tcW w:type="dxa" w:w="3061"/>
            <w:tcMar>
              <w:top w:w="80" w:type="dxa"/>
              <w:start w:w="100" w:type="dxa"/>
              <w:bottom w:w="80" w:type="dxa"/>
              <w:end w:w="100" w:type="dxa"/>
            </w:tcMar>
            <w:vAlign w:val="top"/>
          </w:tcPr>
          <w:p>
            <w:r>
              <w:t>Strategic Governance</w:t>
            </w:r>
          </w:p>
        </w:tc>
        <w:tc>
          <w:tcPr>
            <w:tcW w:type="dxa" w:w="5669"/>
            <w:tcMar>
              <w:top w:w="80" w:type="dxa"/>
              <w:start w:w="100" w:type="dxa"/>
              <w:bottom w:w="80" w:type="dxa"/>
              <w:end w:w="100" w:type="dxa"/>
            </w:tcMar>
            <w:vAlign w:val="top"/>
          </w:tcPr>
          <w:p>
            <w:r>
              <w:t>Strategic Alignment</w:t>
            </w:r>
          </w:p>
        </w:tc>
      </w:tr>
      <w:tr>
        <w:tc>
          <w:tcPr>
            <w:tcW w:type="dxa" w:w="794"/>
            <w:tcMar>
              <w:top w:w="80" w:type="dxa"/>
              <w:start w:w="100" w:type="dxa"/>
              <w:bottom w:w="80" w:type="dxa"/>
              <w:end w:w="100" w:type="dxa"/>
            </w:tcMar>
            <w:vAlign w:val="top"/>
          </w:tcPr>
          <w:p>
            <w:r>
              <w:t>3</w:t>
            </w:r>
          </w:p>
        </w:tc>
        <w:tc>
          <w:tcPr>
            <w:tcW w:type="dxa" w:w="3061"/>
            <w:tcMar>
              <w:top w:w="80" w:type="dxa"/>
              <w:start w:w="100" w:type="dxa"/>
              <w:bottom w:w="80" w:type="dxa"/>
              <w:end w:w="100" w:type="dxa"/>
            </w:tcMar>
            <w:vAlign w:val="top"/>
          </w:tcPr>
          <w:p>
            <w:r>
              <w:t>Strategic Governance</w:t>
            </w:r>
          </w:p>
        </w:tc>
        <w:tc>
          <w:tcPr>
            <w:tcW w:type="dxa" w:w="5669"/>
            <w:tcMar>
              <w:top w:w="80" w:type="dxa"/>
              <w:start w:w="100" w:type="dxa"/>
              <w:bottom w:w="80" w:type="dxa"/>
              <w:end w:w="100" w:type="dxa"/>
            </w:tcMar>
            <w:vAlign w:val="top"/>
          </w:tcPr>
          <w:p>
            <w:r>
              <w:t>Governance Structures and Decision Rights</w:t>
            </w:r>
          </w:p>
        </w:tc>
      </w:tr>
      <w:tr>
        <w:tc>
          <w:tcPr>
            <w:tcW w:type="dxa" w:w="794"/>
            <w:tcMar>
              <w:top w:w="80" w:type="dxa"/>
              <w:start w:w="100" w:type="dxa"/>
              <w:bottom w:w="80" w:type="dxa"/>
              <w:end w:w="100" w:type="dxa"/>
            </w:tcMar>
            <w:vAlign w:val="top"/>
          </w:tcPr>
          <w:p>
            <w:r>
              <w:t>4</w:t>
            </w:r>
          </w:p>
        </w:tc>
        <w:tc>
          <w:tcPr>
            <w:tcW w:type="dxa" w:w="3061"/>
            <w:tcMar>
              <w:top w:w="80" w:type="dxa"/>
              <w:start w:w="100" w:type="dxa"/>
              <w:bottom w:w="80" w:type="dxa"/>
              <w:end w:w="100" w:type="dxa"/>
            </w:tcMar>
            <w:vAlign w:val="top"/>
          </w:tcPr>
          <w:p>
            <w:r>
              <w:t>Strategic Governance</w:t>
            </w:r>
          </w:p>
        </w:tc>
        <w:tc>
          <w:tcPr>
            <w:tcW w:type="dxa" w:w="5669"/>
            <w:tcMar>
              <w:top w:w="80" w:type="dxa"/>
              <w:start w:w="100" w:type="dxa"/>
              <w:bottom w:w="80" w:type="dxa"/>
              <w:end w:w="100" w:type="dxa"/>
            </w:tcMar>
            <w:vAlign w:val="top"/>
          </w:tcPr>
          <w:p>
            <w:r>
              <w:t>Executive Oversight and Challenge</w:t>
            </w:r>
          </w:p>
        </w:tc>
      </w:tr>
      <w:tr>
        <w:tc>
          <w:tcPr>
            <w:tcW w:type="dxa" w:w="794"/>
            <w:tcMar>
              <w:top w:w="80" w:type="dxa"/>
              <w:start w:w="100" w:type="dxa"/>
              <w:bottom w:w="80" w:type="dxa"/>
              <w:end w:w="100" w:type="dxa"/>
            </w:tcMar>
            <w:vAlign w:val="top"/>
          </w:tcPr>
          <w:p>
            <w:r>
              <w:t>5</w:t>
            </w:r>
          </w:p>
        </w:tc>
        <w:tc>
          <w:tcPr>
            <w:tcW w:type="dxa" w:w="3061"/>
            <w:tcMar>
              <w:top w:w="80" w:type="dxa"/>
              <w:start w:w="100" w:type="dxa"/>
              <w:bottom w:w="80" w:type="dxa"/>
              <w:end w:w="100" w:type="dxa"/>
            </w:tcMar>
            <w:vAlign w:val="top"/>
          </w:tcPr>
          <w:p>
            <w:r>
              <w:t>Strategic Governance</w:t>
            </w:r>
          </w:p>
        </w:tc>
        <w:tc>
          <w:tcPr>
            <w:tcW w:type="dxa" w:w="5669"/>
            <w:tcMar>
              <w:top w:w="80" w:type="dxa"/>
              <w:start w:w="100" w:type="dxa"/>
              <w:bottom w:w="80" w:type="dxa"/>
              <w:end w:w="100" w:type="dxa"/>
            </w:tcMar>
            <w:vAlign w:val="top"/>
          </w:tcPr>
          <w:p>
            <w:r>
              <w:t>Performance Audit Readiness Governance</w:t>
            </w:r>
          </w:p>
        </w:tc>
      </w:tr>
      <w:tr>
        <w:tc>
          <w:tcPr>
            <w:tcW w:type="dxa" w:w="794"/>
            <w:tcMar>
              <w:top w:w="80" w:type="dxa"/>
              <w:start w:w="100" w:type="dxa"/>
              <w:bottom w:w="80" w:type="dxa"/>
              <w:end w:w="100" w:type="dxa"/>
            </w:tcMar>
            <w:vAlign w:val="top"/>
          </w:tcPr>
          <w:p>
            <w:r>
              <w:t>6</w:t>
            </w:r>
          </w:p>
        </w:tc>
        <w:tc>
          <w:tcPr>
            <w:tcW w:type="dxa" w:w="3061"/>
            <w:tcMar>
              <w:top w:w="80" w:type="dxa"/>
              <w:start w:w="100" w:type="dxa"/>
              <w:bottom w:w="80" w:type="dxa"/>
              <w:end w:w="100" w:type="dxa"/>
            </w:tcMar>
            <w:vAlign w:val="top"/>
          </w:tcPr>
          <w:p>
            <w:r>
              <w:t>Outcomes and Performance</w:t>
            </w:r>
          </w:p>
        </w:tc>
        <w:tc>
          <w:tcPr>
            <w:tcW w:type="dxa" w:w="5669"/>
            <w:tcMar>
              <w:top w:w="80" w:type="dxa"/>
              <w:start w:w="100" w:type="dxa"/>
              <w:bottom w:w="80" w:type="dxa"/>
              <w:end w:w="100" w:type="dxa"/>
            </w:tcMar>
            <w:vAlign w:val="top"/>
          </w:tcPr>
          <w:p>
            <w:r>
              <w:t>Program Logic and Outcome Definition</w:t>
            </w:r>
          </w:p>
        </w:tc>
      </w:tr>
      <w:tr>
        <w:tc>
          <w:tcPr>
            <w:tcW w:type="dxa" w:w="794"/>
            <w:tcMar>
              <w:top w:w="80" w:type="dxa"/>
              <w:start w:w="100" w:type="dxa"/>
              <w:bottom w:w="80" w:type="dxa"/>
              <w:end w:w="100" w:type="dxa"/>
            </w:tcMar>
            <w:vAlign w:val="top"/>
          </w:tcPr>
          <w:p>
            <w:r>
              <w:t>7</w:t>
            </w:r>
          </w:p>
        </w:tc>
        <w:tc>
          <w:tcPr>
            <w:tcW w:type="dxa" w:w="3061"/>
            <w:tcMar>
              <w:top w:w="80" w:type="dxa"/>
              <w:start w:w="100" w:type="dxa"/>
              <w:bottom w:w="80" w:type="dxa"/>
              <w:end w:w="100" w:type="dxa"/>
            </w:tcMar>
            <w:vAlign w:val="top"/>
          </w:tcPr>
          <w:p>
            <w:r>
              <w:t>Outcomes and Performance</w:t>
            </w:r>
          </w:p>
        </w:tc>
        <w:tc>
          <w:tcPr>
            <w:tcW w:type="dxa" w:w="5669"/>
            <w:tcMar>
              <w:top w:w="80" w:type="dxa"/>
              <w:start w:w="100" w:type="dxa"/>
              <w:bottom w:w="80" w:type="dxa"/>
              <w:end w:w="100" w:type="dxa"/>
            </w:tcMar>
            <w:vAlign w:val="top"/>
          </w:tcPr>
          <w:p>
            <w:r>
              <w:t>Performance Measure Design</w:t>
            </w:r>
          </w:p>
        </w:tc>
      </w:tr>
      <w:tr>
        <w:tc>
          <w:tcPr>
            <w:tcW w:type="dxa" w:w="794"/>
            <w:tcMar>
              <w:top w:w="80" w:type="dxa"/>
              <w:start w:w="100" w:type="dxa"/>
              <w:bottom w:w="80" w:type="dxa"/>
              <w:end w:w="100" w:type="dxa"/>
            </w:tcMar>
            <w:vAlign w:val="top"/>
          </w:tcPr>
          <w:p>
            <w:r>
              <w:t>8</w:t>
            </w:r>
          </w:p>
        </w:tc>
        <w:tc>
          <w:tcPr>
            <w:tcW w:type="dxa" w:w="3061"/>
            <w:tcMar>
              <w:top w:w="80" w:type="dxa"/>
              <w:start w:w="100" w:type="dxa"/>
              <w:bottom w:w="80" w:type="dxa"/>
              <w:end w:w="100" w:type="dxa"/>
            </w:tcMar>
            <w:vAlign w:val="top"/>
          </w:tcPr>
          <w:p>
            <w:r>
              <w:t>Outcomes and Performance</w:t>
            </w:r>
          </w:p>
        </w:tc>
        <w:tc>
          <w:tcPr>
            <w:tcW w:type="dxa" w:w="5669"/>
            <w:tcMar>
              <w:top w:w="80" w:type="dxa"/>
              <w:start w:w="100" w:type="dxa"/>
              <w:bottom w:w="80" w:type="dxa"/>
              <w:end w:w="100" w:type="dxa"/>
            </w:tcMar>
            <w:vAlign w:val="top"/>
          </w:tcPr>
          <w:p>
            <w:r>
              <w:t>Targets, Baselines and Benchmarks</w:t>
            </w:r>
          </w:p>
        </w:tc>
      </w:tr>
      <w:tr>
        <w:tc>
          <w:tcPr>
            <w:tcW w:type="dxa" w:w="794"/>
            <w:tcMar>
              <w:top w:w="80" w:type="dxa"/>
              <w:start w:w="100" w:type="dxa"/>
              <w:bottom w:w="80" w:type="dxa"/>
              <w:end w:w="100" w:type="dxa"/>
            </w:tcMar>
            <w:vAlign w:val="top"/>
          </w:tcPr>
          <w:p>
            <w:r>
              <w:t>9</w:t>
            </w:r>
          </w:p>
        </w:tc>
        <w:tc>
          <w:tcPr>
            <w:tcW w:type="dxa" w:w="3061"/>
            <w:tcMar>
              <w:top w:w="80" w:type="dxa"/>
              <w:start w:w="100" w:type="dxa"/>
              <w:bottom w:w="80" w:type="dxa"/>
              <w:end w:w="100" w:type="dxa"/>
            </w:tcMar>
            <w:vAlign w:val="top"/>
          </w:tcPr>
          <w:p>
            <w:r>
              <w:t>Outcomes and Performance</w:t>
            </w:r>
          </w:p>
        </w:tc>
        <w:tc>
          <w:tcPr>
            <w:tcW w:type="dxa" w:w="5669"/>
            <w:tcMar>
              <w:top w:w="80" w:type="dxa"/>
              <w:start w:w="100" w:type="dxa"/>
              <w:bottom w:w="80" w:type="dxa"/>
              <w:end w:w="100" w:type="dxa"/>
            </w:tcMar>
            <w:vAlign w:val="top"/>
          </w:tcPr>
          <w:p>
            <w:r>
              <w:t>Performance Data Collection and Validation</w:t>
            </w:r>
          </w:p>
        </w:tc>
      </w:tr>
      <w:tr>
        <w:tc>
          <w:tcPr>
            <w:tcW w:type="dxa" w:w="794"/>
            <w:tcMar>
              <w:top w:w="80" w:type="dxa"/>
              <w:start w:w="100" w:type="dxa"/>
              <w:bottom w:w="80" w:type="dxa"/>
              <w:end w:w="100" w:type="dxa"/>
            </w:tcMar>
            <w:vAlign w:val="top"/>
          </w:tcPr>
          <w:p>
            <w:r>
              <w:t>10</w:t>
            </w:r>
          </w:p>
        </w:tc>
        <w:tc>
          <w:tcPr>
            <w:tcW w:type="dxa" w:w="3061"/>
            <w:tcMar>
              <w:top w:w="80" w:type="dxa"/>
              <w:start w:w="100" w:type="dxa"/>
              <w:bottom w:w="80" w:type="dxa"/>
              <w:end w:w="100" w:type="dxa"/>
            </w:tcMar>
            <w:vAlign w:val="top"/>
          </w:tcPr>
          <w:p>
            <w:r>
              <w:t>Outcomes and Performance</w:t>
            </w:r>
          </w:p>
        </w:tc>
        <w:tc>
          <w:tcPr>
            <w:tcW w:type="dxa" w:w="5669"/>
            <w:tcMar>
              <w:top w:w="80" w:type="dxa"/>
              <w:start w:w="100" w:type="dxa"/>
              <w:bottom w:w="80" w:type="dxa"/>
              <w:end w:w="100" w:type="dxa"/>
            </w:tcMar>
            <w:vAlign w:val="top"/>
          </w:tcPr>
          <w:p>
            <w:r>
              <w:t>Performance Analysis and Reporting</w:t>
            </w:r>
          </w:p>
        </w:tc>
      </w:tr>
      <w:tr>
        <w:tc>
          <w:tcPr>
            <w:tcW w:type="dxa" w:w="794"/>
            <w:tcMar>
              <w:top w:w="80" w:type="dxa"/>
              <w:start w:w="100" w:type="dxa"/>
              <w:bottom w:w="80" w:type="dxa"/>
              <w:end w:w="100" w:type="dxa"/>
            </w:tcMar>
            <w:vAlign w:val="top"/>
          </w:tcPr>
          <w:p>
            <w:r>
              <w:t>11</w:t>
            </w:r>
          </w:p>
        </w:tc>
        <w:tc>
          <w:tcPr>
            <w:tcW w:type="dxa" w:w="3061"/>
            <w:tcMar>
              <w:top w:w="80" w:type="dxa"/>
              <w:start w:w="100" w:type="dxa"/>
              <w:bottom w:w="80" w:type="dxa"/>
              <w:end w:w="100" w:type="dxa"/>
            </w:tcMar>
            <w:vAlign w:val="top"/>
          </w:tcPr>
          <w:p>
            <w:r>
              <w:t>Risk, Control and Assurance</w:t>
            </w:r>
          </w:p>
        </w:tc>
        <w:tc>
          <w:tcPr>
            <w:tcW w:type="dxa" w:w="5669"/>
            <w:tcMar>
              <w:top w:w="80" w:type="dxa"/>
              <w:start w:w="100" w:type="dxa"/>
              <w:bottom w:w="80" w:type="dxa"/>
              <w:end w:w="100" w:type="dxa"/>
            </w:tcMar>
            <w:vAlign w:val="top"/>
          </w:tcPr>
          <w:p>
            <w:r>
              <w:t>Enterprise and Program Risk Management</w:t>
            </w:r>
          </w:p>
        </w:tc>
      </w:tr>
      <w:tr>
        <w:tc>
          <w:tcPr>
            <w:tcW w:type="dxa" w:w="794"/>
            <w:tcMar>
              <w:top w:w="80" w:type="dxa"/>
              <w:start w:w="100" w:type="dxa"/>
              <w:bottom w:w="80" w:type="dxa"/>
              <w:end w:w="100" w:type="dxa"/>
            </w:tcMar>
            <w:vAlign w:val="top"/>
          </w:tcPr>
          <w:p>
            <w:r>
              <w:t>12</w:t>
            </w:r>
          </w:p>
        </w:tc>
        <w:tc>
          <w:tcPr>
            <w:tcW w:type="dxa" w:w="3061"/>
            <w:tcMar>
              <w:top w:w="80" w:type="dxa"/>
              <w:start w:w="100" w:type="dxa"/>
              <w:bottom w:w="80" w:type="dxa"/>
              <w:end w:w="100" w:type="dxa"/>
            </w:tcMar>
            <w:vAlign w:val="top"/>
          </w:tcPr>
          <w:p>
            <w:r>
              <w:t>Risk, Control and Assurance</w:t>
            </w:r>
          </w:p>
        </w:tc>
        <w:tc>
          <w:tcPr>
            <w:tcW w:type="dxa" w:w="5669"/>
            <w:tcMar>
              <w:top w:w="80" w:type="dxa"/>
              <w:start w:w="100" w:type="dxa"/>
              <w:bottom w:w="80" w:type="dxa"/>
              <w:end w:w="100" w:type="dxa"/>
            </w:tcMar>
            <w:vAlign w:val="top"/>
          </w:tcPr>
          <w:p>
            <w:r>
              <w:t>Internal Control Design and Operation</w:t>
            </w:r>
          </w:p>
        </w:tc>
      </w:tr>
      <w:tr>
        <w:tc>
          <w:tcPr>
            <w:tcW w:type="dxa" w:w="794"/>
            <w:tcMar>
              <w:top w:w="80" w:type="dxa"/>
              <w:start w:w="100" w:type="dxa"/>
              <w:bottom w:w="80" w:type="dxa"/>
              <w:end w:w="100" w:type="dxa"/>
            </w:tcMar>
            <w:vAlign w:val="top"/>
          </w:tcPr>
          <w:p>
            <w:r>
              <w:t>13</w:t>
            </w:r>
          </w:p>
        </w:tc>
        <w:tc>
          <w:tcPr>
            <w:tcW w:type="dxa" w:w="3061"/>
            <w:tcMar>
              <w:top w:w="80" w:type="dxa"/>
              <w:start w:w="100" w:type="dxa"/>
              <w:bottom w:w="80" w:type="dxa"/>
              <w:end w:w="100" w:type="dxa"/>
            </w:tcMar>
            <w:vAlign w:val="top"/>
          </w:tcPr>
          <w:p>
            <w:r>
              <w:t>Risk, Control and Assurance</w:t>
            </w:r>
          </w:p>
        </w:tc>
        <w:tc>
          <w:tcPr>
            <w:tcW w:type="dxa" w:w="5669"/>
            <w:tcMar>
              <w:top w:w="80" w:type="dxa"/>
              <w:start w:w="100" w:type="dxa"/>
              <w:bottom w:w="80" w:type="dxa"/>
              <w:end w:w="100" w:type="dxa"/>
            </w:tcMar>
            <w:vAlign w:val="top"/>
          </w:tcPr>
          <w:p>
            <w:r>
              <w:t>Legislative and Policy Compliance</w:t>
            </w:r>
          </w:p>
        </w:tc>
      </w:tr>
      <w:tr>
        <w:tc>
          <w:tcPr>
            <w:tcW w:type="dxa" w:w="794"/>
            <w:tcMar>
              <w:top w:w="80" w:type="dxa"/>
              <w:start w:w="100" w:type="dxa"/>
              <w:bottom w:w="80" w:type="dxa"/>
              <w:end w:w="100" w:type="dxa"/>
            </w:tcMar>
            <w:vAlign w:val="top"/>
          </w:tcPr>
          <w:p>
            <w:r>
              <w:t>14</w:t>
            </w:r>
          </w:p>
        </w:tc>
        <w:tc>
          <w:tcPr>
            <w:tcW w:type="dxa" w:w="3061"/>
            <w:tcMar>
              <w:top w:w="80" w:type="dxa"/>
              <w:start w:w="100" w:type="dxa"/>
              <w:bottom w:w="80" w:type="dxa"/>
              <w:end w:w="100" w:type="dxa"/>
            </w:tcMar>
            <w:vAlign w:val="top"/>
          </w:tcPr>
          <w:p>
            <w:r>
              <w:t>Risk, Control and Assurance</w:t>
            </w:r>
          </w:p>
        </w:tc>
        <w:tc>
          <w:tcPr>
            <w:tcW w:type="dxa" w:w="5669"/>
            <w:tcMar>
              <w:top w:w="80" w:type="dxa"/>
              <w:start w:w="100" w:type="dxa"/>
              <w:bottom w:w="80" w:type="dxa"/>
              <w:end w:w="100" w:type="dxa"/>
            </w:tcMar>
            <w:vAlign w:val="top"/>
          </w:tcPr>
          <w:p>
            <w:r>
              <w:t>Internal Audit and Assurance Coordination</w:t>
            </w:r>
          </w:p>
        </w:tc>
      </w:tr>
      <w:tr>
        <w:tc>
          <w:tcPr>
            <w:tcW w:type="dxa" w:w="794"/>
            <w:tcMar>
              <w:top w:w="80" w:type="dxa"/>
              <w:start w:w="100" w:type="dxa"/>
              <w:bottom w:w="80" w:type="dxa"/>
              <w:end w:w="100" w:type="dxa"/>
            </w:tcMar>
            <w:vAlign w:val="top"/>
          </w:tcPr>
          <w:p>
            <w:r>
              <w:t>15</w:t>
            </w:r>
          </w:p>
        </w:tc>
        <w:tc>
          <w:tcPr>
            <w:tcW w:type="dxa" w:w="3061"/>
            <w:tcMar>
              <w:top w:w="80" w:type="dxa"/>
              <w:start w:w="100" w:type="dxa"/>
              <w:bottom w:w="80" w:type="dxa"/>
              <w:end w:w="100" w:type="dxa"/>
            </w:tcMar>
            <w:vAlign w:val="top"/>
          </w:tcPr>
          <w:p>
            <w:r>
              <w:t>Risk, Control and Assurance</w:t>
            </w:r>
          </w:p>
        </w:tc>
        <w:tc>
          <w:tcPr>
            <w:tcW w:type="dxa" w:w="5669"/>
            <w:tcMar>
              <w:top w:w="80" w:type="dxa"/>
              <w:start w:w="100" w:type="dxa"/>
              <w:bottom w:w="80" w:type="dxa"/>
              <w:end w:w="100" w:type="dxa"/>
            </w:tcMar>
            <w:vAlign w:val="top"/>
          </w:tcPr>
          <w:p>
            <w:r>
              <w:t>Integrity, Fraud and Ethical Conduct</w:t>
            </w:r>
          </w:p>
        </w:tc>
      </w:tr>
      <w:tr>
        <w:tc>
          <w:tcPr>
            <w:tcW w:type="dxa" w:w="794"/>
            <w:tcMar>
              <w:top w:w="80" w:type="dxa"/>
              <w:start w:w="100" w:type="dxa"/>
              <w:bottom w:w="80" w:type="dxa"/>
              <w:end w:w="100" w:type="dxa"/>
            </w:tcMar>
            <w:vAlign w:val="top"/>
          </w:tcPr>
          <w:p>
            <w:r>
              <w:t>16</w:t>
            </w:r>
          </w:p>
        </w:tc>
        <w:tc>
          <w:tcPr>
            <w:tcW w:type="dxa" w:w="3061"/>
            <w:tcMar>
              <w:top w:w="80" w:type="dxa"/>
              <w:start w:w="100" w:type="dxa"/>
              <w:bottom w:w="80" w:type="dxa"/>
              <w:end w:w="100" w:type="dxa"/>
            </w:tcMar>
            <w:vAlign w:val="top"/>
          </w:tcPr>
          <w:p>
            <w:r>
              <w:t>Operational Governance</w:t>
            </w:r>
          </w:p>
        </w:tc>
        <w:tc>
          <w:tcPr>
            <w:tcW w:type="dxa" w:w="5669"/>
            <w:tcMar>
              <w:top w:w="80" w:type="dxa"/>
              <w:start w:w="100" w:type="dxa"/>
              <w:bottom w:w="80" w:type="dxa"/>
              <w:end w:w="100" w:type="dxa"/>
            </w:tcMar>
            <w:vAlign w:val="top"/>
          </w:tcPr>
          <w:p>
            <w:r>
              <w:t>Program and Service Design</w:t>
            </w:r>
          </w:p>
        </w:tc>
      </w:tr>
      <w:tr>
        <w:tc>
          <w:tcPr>
            <w:tcW w:type="dxa" w:w="794"/>
            <w:tcMar>
              <w:top w:w="80" w:type="dxa"/>
              <w:start w:w="100" w:type="dxa"/>
              <w:bottom w:w="80" w:type="dxa"/>
              <w:end w:w="100" w:type="dxa"/>
            </w:tcMar>
            <w:vAlign w:val="top"/>
          </w:tcPr>
          <w:p>
            <w:r>
              <w:t>17</w:t>
            </w:r>
          </w:p>
        </w:tc>
        <w:tc>
          <w:tcPr>
            <w:tcW w:type="dxa" w:w="3061"/>
            <w:tcMar>
              <w:top w:w="80" w:type="dxa"/>
              <w:start w:w="100" w:type="dxa"/>
              <w:bottom w:w="80" w:type="dxa"/>
              <w:end w:w="100" w:type="dxa"/>
            </w:tcMar>
            <w:vAlign w:val="top"/>
          </w:tcPr>
          <w:p>
            <w:r>
              <w:t>Operational Governance</w:t>
            </w:r>
          </w:p>
        </w:tc>
        <w:tc>
          <w:tcPr>
            <w:tcW w:type="dxa" w:w="5669"/>
            <w:tcMar>
              <w:top w:w="80" w:type="dxa"/>
              <w:start w:w="100" w:type="dxa"/>
              <w:bottom w:w="80" w:type="dxa"/>
              <w:end w:w="100" w:type="dxa"/>
            </w:tcMar>
            <w:vAlign w:val="top"/>
          </w:tcPr>
          <w:p>
            <w:r>
              <w:t>Resource Allocation and Efficiency</w:t>
            </w:r>
          </w:p>
        </w:tc>
      </w:tr>
      <w:tr>
        <w:tc>
          <w:tcPr>
            <w:tcW w:type="dxa" w:w="794"/>
            <w:tcMar>
              <w:top w:w="80" w:type="dxa"/>
              <w:start w:w="100" w:type="dxa"/>
              <w:bottom w:w="80" w:type="dxa"/>
              <w:end w:w="100" w:type="dxa"/>
            </w:tcMar>
            <w:vAlign w:val="top"/>
          </w:tcPr>
          <w:p>
            <w:r>
              <w:t>18</w:t>
            </w:r>
          </w:p>
        </w:tc>
        <w:tc>
          <w:tcPr>
            <w:tcW w:type="dxa" w:w="3061"/>
            <w:tcMar>
              <w:top w:w="80" w:type="dxa"/>
              <w:start w:w="100" w:type="dxa"/>
              <w:bottom w:w="80" w:type="dxa"/>
              <w:end w:w="100" w:type="dxa"/>
            </w:tcMar>
            <w:vAlign w:val="top"/>
          </w:tcPr>
          <w:p>
            <w:r>
              <w:t>Operational Governance</w:t>
            </w:r>
          </w:p>
        </w:tc>
        <w:tc>
          <w:tcPr>
            <w:tcW w:type="dxa" w:w="5669"/>
            <w:tcMar>
              <w:top w:w="80" w:type="dxa"/>
              <w:start w:w="100" w:type="dxa"/>
              <w:bottom w:w="80" w:type="dxa"/>
              <w:end w:w="100" w:type="dxa"/>
            </w:tcMar>
            <w:vAlign w:val="top"/>
          </w:tcPr>
          <w:p>
            <w:r>
              <w:t>Procurement and Contract Management</w:t>
            </w:r>
          </w:p>
        </w:tc>
      </w:tr>
      <w:tr>
        <w:tc>
          <w:tcPr>
            <w:tcW w:type="dxa" w:w="794"/>
            <w:tcMar>
              <w:top w:w="80" w:type="dxa"/>
              <w:start w:w="100" w:type="dxa"/>
              <w:bottom w:w="80" w:type="dxa"/>
              <w:end w:w="100" w:type="dxa"/>
            </w:tcMar>
            <w:vAlign w:val="top"/>
          </w:tcPr>
          <w:p>
            <w:r>
              <w:t>19</w:t>
            </w:r>
          </w:p>
        </w:tc>
        <w:tc>
          <w:tcPr>
            <w:tcW w:type="dxa" w:w="3061"/>
            <w:tcMar>
              <w:top w:w="80" w:type="dxa"/>
              <w:start w:w="100" w:type="dxa"/>
              <w:bottom w:w="80" w:type="dxa"/>
              <w:end w:w="100" w:type="dxa"/>
            </w:tcMar>
            <w:vAlign w:val="top"/>
          </w:tcPr>
          <w:p>
            <w:r>
              <w:t>Operational Governance</w:t>
            </w:r>
          </w:p>
        </w:tc>
        <w:tc>
          <w:tcPr>
            <w:tcW w:type="dxa" w:w="5669"/>
            <w:tcMar>
              <w:top w:w="80" w:type="dxa"/>
              <w:start w:w="100" w:type="dxa"/>
              <w:bottom w:w="80" w:type="dxa"/>
              <w:end w:w="100" w:type="dxa"/>
            </w:tcMar>
            <w:vAlign w:val="top"/>
          </w:tcPr>
          <w:p>
            <w:r>
              <w:t>Workforce Capability and Role Clarity</w:t>
            </w:r>
          </w:p>
        </w:tc>
      </w:tr>
      <w:tr>
        <w:tc>
          <w:tcPr>
            <w:tcW w:type="dxa" w:w="794"/>
            <w:tcMar>
              <w:top w:w="80" w:type="dxa"/>
              <w:start w:w="100" w:type="dxa"/>
              <w:bottom w:w="80" w:type="dxa"/>
              <w:end w:w="100" w:type="dxa"/>
            </w:tcMar>
            <w:vAlign w:val="top"/>
          </w:tcPr>
          <w:p>
            <w:r>
              <w:t>20</w:t>
            </w:r>
          </w:p>
        </w:tc>
        <w:tc>
          <w:tcPr>
            <w:tcW w:type="dxa" w:w="3061"/>
            <w:tcMar>
              <w:top w:w="80" w:type="dxa"/>
              <w:start w:w="100" w:type="dxa"/>
              <w:bottom w:w="80" w:type="dxa"/>
              <w:end w:w="100" w:type="dxa"/>
            </w:tcMar>
            <w:vAlign w:val="top"/>
          </w:tcPr>
          <w:p>
            <w:r>
              <w:t>Operational Governance</w:t>
            </w:r>
          </w:p>
        </w:tc>
        <w:tc>
          <w:tcPr>
            <w:tcW w:type="dxa" w:w="5669"/>
            <w:tcMar>
              <w:top w:w="80" w:type="dxa"/>
              <w:start w:w="100" w:type="dxa"/>
              <w:bottom w:w="80" w:type="dxa"/>
              <w:end w:w="100" w:type="dxa"/>
            </w:tcMar>
            <w:vAlign w:val="top"/>
          </w:tcPr>
          <w:p>
            <w:r>
              <w:t>Project, Change and Benefits Management</w:t>
            </w:r>
          </w:p>
        </w:tc>
      </w:tr>
      <w:tr>
        <w:tc>
          <w:tcPr>
            <w:tcW w:type="dxa" w:w="794"/>
            <w:tcMar>
              <w:top w:w="80" w:type="dxa"/>
              <w:start w:w="100" w:type="dxa"/>
              <w:bottom w:w="80" w:type="dxa"/>
              <w:end w:w="100" w:type="dxa"/>
            </w:tcMar>
            <w:vAlign w:val="top"/>
          </w:tcPr>
          <w:p>
            <w:r>
              <w:t>21</w:t>
            </w:r>
          </w:p>
        </w:tc>
        <w:tc>
          <w:tcPr>
            <w:tcW w:type="dxa" w:w="3061"/>
            <w:tcMar>
              <w:top w:w="80" w:type="dxa"/>
              <w:start w:w="100" w:type="dxa"/>
              <w:bottom w:w="80" w:type="dxa"/>
              <w:end w:w="100" w:type="dxa"/>
            </w:tcMar>
            <w:vAlign w:val="top"/>
          </w:tcPr>
          <w:p>
            <w:r>
              <w:t>Evidence, Accountability and Transparency</w:t>
            </w:r>
          </w:p>
        </w:tc>
        <w:tc>
          <w:tcPr>
            <w:tcW w:type="dxa" w:w="5669"/>
            <w:tcMar>
              <w:top w:w="80" w:type="dxa"/>
              <w:start w:w="100" w:type="dxa"/>
              <w:bottom w:w="80" w:type="dxa"/>
              <w:end w:w="100" w:type="dxa"/>
            </w:tcMar>
            <w:vAlign w:val="top"/>
          </w:tcPr>
          <w:p>
            <w:r>
              <w:t>Records and Evidence Management</w:t>
            </w:r>
          </w:p>
        </w:tc>
      </w:tr>
      <w:tr>
        <w:tc>
          <w:tcPr>
            <w:tcW w:type="dxa" w:w="794"/>
            <w:tcMar>
              <w:top w:w="80" w:type="dxa"/>
              <w:start w:w="100" w:type="dxa"/>
              <w:bottom w:w="80" w:type="dxa"/>
              <w:end w:w="100" w:type="dxa"/>
            </w:tcMar>
            <w:vAlign w:val="top"/>
          </w:tcPr>
          <w:p>
            <w:r>
              <w:t>22</w:t>
            </w:r>
          </w:p>
        </w:tc>
        <w:tc>
          <w:tcPr>
            <w:tcW w:type="dxa" w:w="3061"/>
            <w:tcMar>
              <w:top w:w="80" w:type="dxa"/>
              <w:start w:w="100" w:type="dxa"/>
              <w:bottom w:w="80" w:type="dxa"/>
              <w:end w:w="100" w:type="dxa"/>
            </w:tcMar>
            <w:vAlign w:val="top"/>
          </w:tcPr>
          <w:p>
            <w:r>
              <w:t>Evidence, Accountability and Transparency</w:t>
            </w:r>
          </w:p>
        </w:tc>
        <w:tc>
          <w:tcPr>
            <w:tcW w:type="dxa" w:w="5669"/>
            <w:tcMar>
              <w:top w:w="80" w:type="dxa"/>
              <w:start w:w="100" w:type="dxa"/>
              <w:bottom w:w="80" w:type="dxa"/>
              <w:end w:w="100" w:type="dxa"/>
            </w:tcMar>
            <w:vAlign w:val="top"/>
          </w:tcPr>
          <w:p>
            <w:r>
              <w:t>Decision Documentation and Traceability</w:t>
            </w:r>
          </w:p>
        </w:tc>
      </w:tr>
      <w:tr>
        <w:tc>
          <w:tcPr>
            <w:tcW w:type="dxa" w:w="794"/>
            <w:tcMar>
              <w:top w:w="80" w:type="dxa"/>
              <w:start w:w="100" w:type="dxa"/>
              <w:bottom w:w="80" w:type="dxa"/>
              <w:end w:w="100" w:type="dxa"/>
            </w:tcMar>
            <w:vAlign w:val="top"/>
          </w:tcPr>
          <w:p>
            <w:r>
              <w:t>23</w:t>
            </w:r>
          </w:p>
        </w:tc>
        <w:tc>
          <w:tcPr>
            <w:tcW w:type="dxa" w:w="3061"/>
            <w:tcMar>
              <w:top w:w="80" w:type="dxa"/>
              <w:start w:w="100" w:type="dxa"/>
              <w:bottom w:w="80" w:type="dxa"/>
              <w:end w:w="100" w:type="dxa"/>
            </w:tcMar>
            <w:vAlign w:val="top"/>
          </w:tcPr>
          <w:p>
            <w:r>
              <w:t>Evidence, Accountability and Transparency</w:t>
            </w:r>
          </w:p>
        </w:tc>
        <w:tc>
          <w:tcPr>
            <w:tcW w:type="dxa" w:w="5669"/>
            <w:tcMar>
              <w:top w:w="80" w:type="dxa"/>
              <w:start w:w="100" w:type="dxa"/>
              <w:bottom w:w="80" w:type="dxa"/>
              <w:end w:w="100" w:type="dxa"/>
            </w:tcMar>
            <w:vAlign w:val="top"/>
          </w:tcPr>
          <w:p>
            <w:r>
              <w:t>Data Governance and Information Integrity</w:t>
            </w:r>
          </w:p>
        </w:tc>
      </w:tr>
      <w:tr>
        <w:tc>
          <w:tcPr>
            <w:tcW w:type="dxa" w:w="794"/>
            <w:tcMar>
              <w:top w:w="80" w:type="dxa"/>
              <w:start w:w="100" w:type="dxa"/>
              <w:bottom w:w="80" w:type="dxa"/>
              <w:end w:w="100" w:type="dxa"/>
            </w:tcMar>
            <w:vAlign w:val="top"/>
          </w:tcPr>
          <w:p>
            <w:r>
              <w:t>24</w:t>
            </w:r>
          </w:p>
        </w:tc>
        <w:tc>
          <w:tcPr>
            <w:tcW w:type="dxa" w:w="3061"/>
            <w:tcMar>
              <w:top w:w="80" w:type="dxa"/>
              <w:start w:w="100" w:type="dxa"/>
              <w:bottom w:w="80" w:type="dxa"/>
              <w:end w:w="100" w:type="dxa"/>
            </w:tcMar>
            <w:vAlign w:val="top"/>
          </w:tcPr>
          <w:p>
            <w:r>
              <w:t>Evidence, Accountability and Transparency</w:t>
            </w:r>
          </w:p>
        </w:tc>
        <w:tc>
          <w:tcPr>
            <w:tcW w:type="dxa" w:w="5669"/>
            <w:tcMar>
              <w:top w:w="80" w:type="dxa"/>
              <w:start w:w="100" w:type="dxa"/>
              <w:bottom w:w="80" w:type="dxa"/>
              <w:end w:w="100" w:type="dxa"/>
            </w:tcMar>
            <w:vAlign w:val="top"/>
          </w:tcPr>
          <w:p>
            <w:r>
              <w:t>Stakeholder Engagement and Procedural Fairness</w:t>
            </w:r>
          </w:p>
        </w:tc>
      </w:tr>
      <w:tr>
        <w:tc>
          <w:tcPr>
            <w:tcW w:type="dxa" w:w="794"/>
            <w:tcMar>
              <w:top w:w="80" w:type="dxa"/>
              <w:start w:w="100" w:type="dxa"/>
              <w:bottom w:w="80" w:type="dxa"/>
              <w:end w:w="100" w:type="dxa"/>
            </w:tcMar>
            <w:vAlign w:val="top"/>
          </w:tcPr>
          <w:p>
            <w:r>
              <w:t>25</w:t>
            </w:r>
          </w:p>
        </w:tc>
        <w:tc>
          <w:tcPr>
            <w:tcW w:type="dxa" w:w="3061"/>
            <w:tcMar>
              <w:top w:w="80" w:type="dxa"/>
              <w:start w:w="100" w:type="dxa"/>
              <w:bottom w:w="80" w:type="dxa"/>
              <w:end w:w="100" w:type="dxa"/>
            </w:tcMar>
            <w:vAlign w:val="top"/>
          </w:tcPr>
          <w:p>
            <w:r>
              <w:t>Evidence, Accountability and Transparency</w:t>
            </w:r>
          </w:p>
        </w:tc>
        <w:tc>
          <w:tcPr>
            <w:tcW w:type="dxa" w:w="5669"/>
            <w:tcMar>
              <w:top w:w="80" w:type="dxa"/>
              <w:start w:w="100" w:type="dxa"/>
              <w:bottom w:w="80" w:type="dxa"/>
              <w:end w:w="100" w:type="dxa"/>
            </w:tcMar>
            <w:vAlign w:val="top"/>
          </w:tcPr>
          <w:p>
            <w:r>
              <w:t>External Reporting and Parliamentary Accountability</w:t>
            </w:r>
          </w:p>
        </w:tc>
      </w:tr>
      <w:tr>
        <w:tc>
          <w:tcPr>
            <w:tcW w:type="dxa" w:w="794"/>
            <w:tcMar>
              <w:top w:w="80" w:type="dxa"/>
              <w:start w:w="100" w:type="dxa"/>
              <w:bottom w:w="80" w:type="dxa"/>
              <w:end w:w="100" w:type="dxa"/>
            </w:tcMar>
            <w:vAlign w:val="top"/>
          </w:tcPr>
          <w:p>
            <w:r>
              <w:t>26</w:t>
            </w:r>
          </w:p>
        </w:tc>
        <w:tc>
          <w:tcPr>
            <w:tcW w:type="dxa" w:w="3061"/>
            <w:tcMar>
              <w:top w:w="80" w:type="dxa"/>
              <w:start w:w="100" w:type="dxa"/>
              <w:bottom w:w="80" w:type="dxa"/>
              <w:end w:w="100" w:type="dxa"/>
            </w:tcMar>
            <w:vAlign w:val="top"/>
          </w:tcPr>
          <w:p>
            <w:r>
              <w:t>Continuous Improvement and Organisational Learning</w:t>
            </w:r>
          </w:p>
        </w:tc>
        <w:tc>
          <w:tcPr>
            <w:tcW w:type="dxa" w:w="5669"/>
            <w:tcMar>
              <w:top w:w="80" w:type="dxa"/>
              <w:start w:w="100" w:type="dxa"/>
              <w:bottom w:w="80" w:type="dxa"/>
              <w:end w:w="100" w:type="dxa"/>
            </w:tcMar>
            <w:vAlign w:val="top"/>
          </w:tcPr>
          <w:p>
            <w:r>
              <w:t>Audit and Review Recommendation Management</w:t>
            </w:r>
          </w:p>
        </w:tc>
      </w:tr>
      <w:tr>
        <w:tc>
          <w:tcPr>
            <w:tcW w:type="dxa" w:w="794"/>
            <w:tcMar>
              <w:top w:w="80" w:type="dxa"/>
              <w:start w:w="100" w:type="dxa"/>
              <w:bottom w:w="80" w:type="dxa"/>
              <w:end w:w="100" w:type="dxa"/>
            </w:tcMar>
            <w:vAlign w:val="top"/>
          </w:tcPr>
          <w:p>
            <w:r>
              <w:t>27</w:t>
            </w:r>
          </w:p>
        </w:tc>
        <w:tc>
          <w:tcPr>
            <w:tcW w:type="dxa" w:w="3061"/>
            <w:tcMar>
              <w:top w:w="80" w:type="dxa"/>
              <w:start w:w="100" w:type="dxa"/>
              <w:bottom w:w="80" w:type="dxa"/>
              <w:end w:w="100" w:type="dxa"/>
            </w:tcMar>
            <w:vAlign w:val="top"/>
          </w:tcPr>
          <w:p>
            <w:r>
              <w:t>Continuous Improvement and Organisational Learning</w:t>
            </w:r>
          </w:p>
        </w:tc>
        <w:tc>
          <w:tcPr>
            <w:tcW w:type="dxa" w:w="5669"/>
            <w:tcMar>
              <w:top w:w="80" w:type="dxa"/>
              <w:start w:w="100" w:type="dxa"/>
              <w:bottom w:w="80" w:type="dxa"/>
              <w:end w:w="100" w:type="dxa"/>
            </w:tcMar>
            <w:vAlign w:val="top"/>
          </w:tcPr>
          <w:p>
            <w:r>
              <w:t>Evaluation and Periodic Review</w:t>
            </w:r>
          </w:p>
        </w:tc>
      </w:tr>
      <w:tr>
        <w:tc>
          <w:tcPr>
            <w:tcW w:type="dxa" w:w="794"/>
            <w:tcMar>
              <w:top w:w="80" w:type="dxa"/>
              <w:start w:w="100" w:type="dxa"/>
              <w:bottom w:w="80" w:type="dxa"/>
              <w:end w:w="100" w:type="dxa"/>
            </w:tcMar>
            <w:vAlign w:val="top"/>
          </w:tcPr>
          <w:p>
            <w:r>
              <w:t>28</w:t>
            </w:r>
          </w:p>
        </w:tc>
        <w:tc>
          <w:tcPr>
            <w:tcW w:type="dxa" w:w="3061"/>
            <w:tcMar>
              <w:top w:w="80" w:type="dxa"/>
              <w:start w:w="100" w:type="dxa"/>
              <w:bottom w:w="80" w:type="dxa"/>
              <w:end w:w="100" w:type="dxa"/>
            </w:tcMar>
            <w:vAlign w:val="top"/>
          </w:tcPr>
          <w:p>
            <w:r>
              <w:t>Continuous Improvement and Organisational Learning</w:t>
            </w:r>
          </w:p>
        </w:tc>
        <w:tc>
          <w:tcPr>
            <w:tcW w:type="dxa" w:w="5669"/>
            <w:tcMar>
              <w:top w:w="80" w:type="dxa"/>
              <w:start w:w="100" w:type="dxa"/>
              <w:bottom w:w="80" w:type="dxa"/>
              <w:end w:w="100" w:type="dxa"/>
            </w:tcMar>
            <w:vAlign w:val="top"/>
          </w:tcPr>
          <w:p>
            <w:r>
              <w:t>Lessons Learned and Knowledge Transfer</w:t>
            </w:r>
          </w:p>
        </w:tc>
      </w:tr>
      <w:tr>
        <w:tc>
          <w:tcPr>
            <w:tcW w:type="dxa" w:w="794"/>
            <w:tcMar>
              <w:top w:w="80" w:type="dxa"/>
              <w:start w:w="100" w:type="dxa"/>
              <w:bottom w:w="80" w:type="dxa"/>
              <w:end w:w="100" w:type="dxa"/>
            </w:tcMar>
            <w:vAlign w:val="top"/>
          </w:tcPr>
          <w:p>
            <w:r>
              <w:t>29</w:t>
            </w:r>
          </w:p>
        </w:tc>
        <w:tc>
          <w:tcPr>
            <w:tcW w:type="dxa" w:w="3061"/>
            <w:tcMar>
              <w:top w:w="80" w:type="dxa"/>
              <w:start w:w="100" w:type="dxa"/>
              <w:bottom w:w="80" w:type="dxa"/>
              <w:end w:w="100" w:type="dxa"/>
            </w:tcMar>
            <w:vAlign w:val="top"/>
          </w:tcPr>
          <w:p>
            <w:r>
              <w:t>Continuous Improvement and Organisational Learning</w:t>
            </w:r>
          </w:p>
        </w:tc>
        <w:tc>
          <w:tcPr>
            <w:tcW w:type="dxa" w:w="5669"/>
            <w:tcMar>
              <w:top w:w="80" w:type="dxa"/>
              <w:start w:w="100" w:type="dxa"/>
              <w:bottom w:w="80" w:type="dxa"/>
              <w:end w:w="100" w:type="dxa"/>
            </w:tcMar>
            <w:vAlign w:val="top"/>
          </w:tcPr>
          <w:p>
            <w:r>
              <w:t>Continuous Improvement and Innovation</w:t>
            </w:r>
          </w:p>
        </w:tc>
      </w:tr>
      <w:tr>
        <w:tc>
          <w:tcPr>
            <w:tcW w:type="dxa" w:w="794"/>
            <w:tcMar>
              <w:top w:w="80" w:type="dxa"/>
              <w:start w:w="100" w:type="dxa"/>
              <w:bottom w:w="80" w:type="dxa"/>
              <w:end w:w="100" w:type="dxa"/>
            </w:tcMar>
            <w:vAlign w:val="top"/>
          </w:tcPr>
          <w:p>
            <w:r>
              <w:t>30</w:t>
            </w:r>
          </w:p>
        </w:tc>
        <w:tc>
          <w:tcPr>
            <w:tcW w:type="dxa" w:w="3061"/>
            <w:tcMar>
              <w:top w:w="80" w:type="dxa"/>
              <w:start w:w="100" w:type="dxa"/>
              <w:bottom w:w="80" w:type="dxa"/>
              <w:end w:w="100" w:type="dxa"/>
            </w:tcMar>
            <w:vAlign w:val="top"/>
          </w:tcPr>
          <w:p>
            <w:r>
              <w:t>Continuous Improvement and Organisational Learning</w:t>
            </w:r>
          </w:p>
        </w:tc>
        <w:tc>
          <w:tcPr>
            <w:tcW w:type="dxa" w:w="5669"/>
            <w:tcMar>
              <w:top w:w="80" w:type="dxa"/>
              <w:start w:w="100" w:type="dxa"/>
              <w:bottom w:w="80" w:type="dxa"/>
              <w:end w:w="100" w:type="dxa"/>
            </w:tcMar>
            <w:vAlign w:val="top"/>
          </w:tcPr>
          <w:p>
            <w:r>
              <w:t>Sustained Audit Response Capability</w:t>
            </w:r>
          </w:p>
        </w:tc>
      </w:tr>
    </w:tbl>
    <w:p>
      <w:r>
        <w:rPr>
          <w:rFonts w:ascii="Calibri Light" w:hAnsi="Calibri Light"/>
          <w:color w:val="000000"/>
          <w:sz w:val="20"/>
        </w:rPr>
        <w:br w:type="page"/>
      </w:r>
    </w:p>
    <w:p>
      <w:pPr>
        <w:pStyle w:val="Heading1"/>
        <w:keepNext/>
      </w:pPr>
      <w:r>
        <w:rPr>
          <w:rFonts w:ascii="Calibri Light" w:hAnsi="Calibri Light"/>
          <w:color w:val="000000"/>
        </w:rPr>
        <w:t>Topic 1: Strategic Governance</w:t>
      </w:r>
    </w:p>
    <w:p>
      <w:pPr>
        <w:spacing w:before="0" w:after="120" w:line="240" w:lineRule="auto"/>
      </w:pPr>
      <w:r>
        <w:rPr>
          <w:rFonts w:ascii="Calibri Light" w:hAnsi="Calibri Light"/>
          <w:color w:val="000000"/>
          <w:sz w:val="20"/>
        </w:rPr>
        <w:t>Strategic Governance assesses whether the agency has clear authority, direction, accountability and executive oversight. It tests whether programs and activities remain aligned with legislative and policy intent and whether senior leaders can demonstrate active stewardship of public resources.</w:t>
      </w:r>
    </w:p>
    <w:p>
      <w:pPr>
        <w:pStyle w:val="Heading2"/>
        <w:keepNext/>
      </w:pPr>
      <w:r>
        <w:rPr>
          <w:rFonts w:ascii="Calibri Light" w:hAnsi="Calibri Light"/>
          <w:color w:val="000000"/>
        </w:rPr>
        <w:t>Element 1: Mandate, Purpose and Authority</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The agency can trace its functions, programs, decisions and expenditure to valid legal, policy and financial authority.</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The agency relies on individual knowledge to interpret its mandate and authority. Legislative, policy, appropriation and delegation requirements are not comprehensively mapped. Activities may continue without a clear record of the authority that permits them.</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authority registers, delegation schedules and program-to-authority maps; staff depend on local files, memory or informal advice.</w:t>
            </w:r>
          </w:p>
          <w:p>
            <w:pPr>
              <w:pStyle w:val="ListBullet"/>
              <w:keepNext/>
              <w:keepLines/>
              <w:spacing w:before="0" w:after="120"/>
            </w:pPr>
            <w:r>
              <w:rPr>
                <w:rFonts w:ascii="Calibri Light" w:hAnsi="Calibri Light"/>
                <w:b w:val="0"/>
                <w:color w:val="000000"/>
                <w:sz w:val="20"/>
              </w:rPr>
              <w:t>The treatment of material functions, programs, decisions and expenditure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legal, governance, finance and program owners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authority records, approvals, delegations and legal advice, is incomplete, difficult to retrieve or created retrospectively, while monitoring of legislative and policy changes, delegation expiry and authority exceptions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The agency has identified its principal legislation and major sources of authority. Basic registers or guidance exist, but coverage is incomplete, ownership is unclear and changes are not consistently reflected in operational documents.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authority registers, delegation schedules and program-to-authority maps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legal, governance, finance and program owners,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material functions, programs, decisions and expenditure,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authority records, approvals, delegations and legal advice, is usually retained for significant matters, but routine monitoring of legislative and policy changes, delegation expiry and authority exceptions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maintains an approved and current authority framework. Functions, programs, expenditure and key decisions are mapped to enabling legislation, appropriations, government decisions, delegations and applicable policy requirements. Responsibilities for interpretation and review are assigned.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authority registers, delegation schedules and program-to-authority maps cover material functions, programs, decisions and expenditure and are maintained through defined review, approval and change-control processes.</w:t>
            </w:r>
          </w:p>
          <w:p>
            <w:pPr>
              <w:pStyle w:val="ListBullet"/>
              <w:keepNext/>
              <w:keepLines/>
              <w:spacing w:before="0" w:after="120"/>
            </w:pPr>
            <w:r>
              <w:rPr>
                <w:rFonts w:ascii="Calibri Light" w:hAnsi="Calibri Light"/>
                <w:b w:val="0"/>
                <w:color w:val="000000"/>
                <w:sz w:val="20"/>
              </w:rPr>
              <w:t>Legal, governance, finance and program owners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authority records, approvals, delegations and legal advice,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legislative and policy changes, delegation expiry and authority exceptions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The agency regularly tests compliance with its authority framework. Proposed changes, new initiatives and material decisions are reviewed before approval. Exceptions, ambiguities and emerging legal or policy risks are escalated and resolved through documented governance processes.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legislative and policy changes, delegation expiry and authority exceptions, with named owners and timely escalation.</w:t>
            </w:r>
          </w:p>
          <w:p>
            <w:pPr>
              <w:pStyle w:val="ListBullet"/>
              <w:keepNext/>
              <w:keepLines/>
              <w:spacing w:before="0" w:after="120"/>
            </w:pPr>
            <w:r>
              <w:rPr>
                <w:rFonts w:ascii="Calibri Light" w:hAnsi="Calibri Light"/>
                <w:b w:val="0"/>
                <w:color w:val="000000"/>
                <w:sz w:val="20"/>
              </w:rPr>
              <w:t>Risk-based testing confirms whether authority registers, delegation schedules and program-to-authority maps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planning, budgeting, procurement and approval workflows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Authority management is integrated with strategy, planning, budgeting, risk and assurance. The agency anticipates legislative and policy change, uses legal and operational intelligence to identify emerging impacts, and can promptly demonstrate the authority for any material activity or decision.</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legislative and policy changes, delegation expiry and authority exceptions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authority registers, delegation schedules and program-to-authority maps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legal, governance, finance and program owners,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authority records, approvals, delegations and legal advice,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Compile the agency’s enabling legislation, portfolio directions, appropriations, delegations and mandatory policy obligations in one controlled register.</w:t>
      </w:r>
    </w:p>
    <w:p>
      <w:pPr>
        <w:pStyle w:val="ListBullet"/>
        <w:spacing w:before="0" w:after="60" w:line="240" w:lineRule="auto"/>
        <w:ind w:left="397" w:hanging="198"/>
      </w:pPr>
      <w:r>
        <w:rPr>
          <w:rFonts w:ascii="Calibri Light" w:hAnsi="Calibri Light"/>
          <w:color w:val="000000"/>
          <w:sz w:val="20"/>
        </w:rPr>
        <w:t>Assign an accountable executive and operational custodian for maintaining the authority register and resolving interpretation issues.</w:t>
      </w:r>
    </w:p>
    <w:p>
      <w:pPr>
        <w:pStyle w:val="ListBullet"/>
        <w:spacing w:before="0" w:after="60" w:line="240" w:lineRule="auto"/>
        <w:ind w:left="397" w:hanging="198"/>
      </w:pPr>
      <w:r>
        <w:rPr>
          <w:rFonts w:ascii="Calibri Light" w:hAnsi="Calibri Light"/>
          <w:color w:val="000000"/>
          <w:sz w:val="20"/>
        </w:rPr>
        <w:t>Map each material program and function to its legal, policy and financial authority, noting any gaps or uncertainty.</w:t>
      </w:r>
    </w:p>
    <w:p>
      <w:pPr>
        <w:pStyle w:val="ListBullet"/>
        <w:spacing w:before="0" w:after="60" w:line="240" w:lineRule="auto"/>
        <w:ind w:left="397" w:hanging="198"/>
      </w:pPr>
      <w:r>
        <w:rPr>
          <w:rFonts w:ascii="Calibri Light" w:hAnsi="Calibri Light"/>
          <w:color w:val="000000"/>
          <w:sz w:val="20"/>
        </w:rPr>
        <w:t>Introduce an interim requirement that new activities and material decisions record the authority relied upon.</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 formal authority management procedure covering creation, review, change control, escalation and recordkeeping.</w:t>
      </w:r>
    </w:p>
    <w:p>
      <w:pPr>
        <w:pStyle w:val="ListBullet"/>
        <w:spacing w:before="0" w:after="60" w:line="240" w:lineRule="auto"/>
        <w:ind w:left="397" w:hanging="198"/>
      </w:pPr>
      <w:r>
        <w:rPr>
          <w:rFonts w:ascii="Calibri Light" w:hAnsi="Calibri Light"/>
          <w:color w:val="000000"/>
          <w:sz w:val="20"/>
        </w:rPr>
        <w:t>Link authority references to program plans, business cases, delegations, procurement approvals and operational procedures.</w:t>
      </w:r>
    </w:p>
    <w:p>
      <w:pPr>
        <w:pStyle w:val="ListBullet"/>
        <w:spacing w:before="0" w:after="60" w:line="240" w:lineRule="auto"/>
        <w:ind w:left="397" w:hanging="198"/>
      </w:pPr>
      <w:r>
        <w:rPr>
          <w:rFonts w:ascii="Calibri Light" w:hAnsi="Calibri Light"/>
          <w:color w:val="000000"/>
          <w:sz w:val="20"/>
        </w:rPr>
        <w:t>Establish a scheduled review cycle and a change-notification process for legislation, machinery-of-government changes and policy updates.</w:t>
      </w:r>
    </w:p>
    <w:p>
      <w:pPr>
        <w:pStyle w:val="ListBullet"/>
        <w:spacing w:before="0" w:after="60" w:line="240" w:lineRule="auto"/>
        <w:ind w:left="397" w:hanging="198"/>
      </w:pPr>
      <w:r>
        <w:rPr>
          <w:rFonts w:ascii="Calibri Light" w:hAnsi="Calibri Light"/>
          <w:color w:val="000000"/>
          <w:sz w:val="20"/>
        </w:rPr>
        <w:t>Train decision-makers and program owners to distinguish legal authority, policy authority, delegation and administrative discretion.</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Test a risk-based sample of programs and decisions to confirm that authority is current, correctly interpreted and evidenced.</w:t>
      </w:r>
    </w:p>
    <w:p>
      <w:pPr>
        <w:pStyle w:val="ListBullet"/>
        <w:spacing w:before="0" w:after="60" w:line="240" w:lineRule="auto"/>
        <w:ind w:left="397" w:hanging="198"/>
      </w:pPr>
      <w:r>
        <w:rPr>
          <w:rFonts w:ascii="Calibri Light" w:hAnsi="Calibri Light"/>
          <w:color w:val="000000"/>
          <w:sz w:val="20"/>
        </w:rPr>
        <w:t>Report unresolved authority gaps, expired delegations and material exceptions to the executive and audit and risk committee.</w:t>
      </w:r>
    </w:p>
    <w:p>
      <w:pPr>
        <w:pStyle w:val="ListBullet"/>
        <w:spacing w:before="0" w:after="60" w:line="240" w:lineRule="auto"/>
        <w:ind w:left="397" w:hanging="198"/>
      </w:pPr>
      <w:r>
        <w:rPr>
          <w:rFonts w:ascii="Calibri Light" w:hAnsi="Calibri Light"/>
          <w:color w:val="000000"/>
          <w:sz w:val="20"/>
        </w:rPr>
        <w:t>Embed authority checks in approval workflows for new policies, programs, grants, procurements and significant variations.</w:t>
      </w:r>
    </w:p>
    <w:p>
      <w:pPr>
        <w:pStyle w:val="ListBullet"/>
        <w:spacing w:before="0" w:after="60" w:line="240" w:lineRule="auto"/>
        <w:ind w:left="397" w:hanging="198"/>
      </w:pPr>
      <w:r>
        <w:rPr>
          <w:rFonts w:ascii="Calibri Light" w:hAnsi="Calibri Light"/>
          <w:color w:val="000000"/>
          <w:sz w:val="20"/>
        </w:rPr>
        <w:t>Track recurring errors and strengthen guidance, delegations or controls where systemic weaknesses are identified.</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Integrate authority mapping with enterprise architecture, financial systems and governance dashboards so changes trigger affected-process reviews.</w:t>
      </w:r>
    </w:p>
    <w:p>
      <w:pPr>
        <w:pStyle w:val="ListBullet"/>
        <w:spacing w:before="0" w:after="60" w:line="240" w:lineRule="auto"/>
        <w:ind w:left="397" w:hanging="198"/>
      </w:pPr>
      <w:r>
        <w:rPr>
          <w:rFonts w:ascii="Calibri Light" w:hAnsi="Calibri Light"/>
          <w:color w:val="000000"/>
          <w:sz w:val="20"/>
        </w:rPr>
        <w:t>Undertake periodic independent legal and assurance reviews of high-risk or contested areas of authority.</w:t>
      </w:r>
    </w:p>
    <w:p>
      <w:pPr>
        <w:pStyle w:val="ListBullet"/>
        <w:spacing w:before="0" w:after="60" w:line="240" w:lineRule="auto"/>
        <w:ind w:left="397" w:hanging="198"/>
      </w:pPr>
      <w:r>
        <w:rPr>
          <w:rFonts w:ascii="Calibri Light" w:hAnsi="Calibri Light"/>
          <w:color w:val="000000"/>
          <w:sz w:val="20"/>
        </w:rPr>
        <w:t>Benchmark authority management against comparable agencies and adopt leading practices for regulatory and policy change management.</w:t>
      </w:r>
    </w:p>
    <w:p>
      <w:pPr>
        <w:pStyle w:val="ListBullet"/>
        <w:spacing w:before="0" w:after="60" w:line="240" w:lineRule="auto"/>
        <w:ind w:left="397" w:hanging="198"/>
      </w:pPr>
      <w:r>
        <w:rPr>
          <w:rFonts w:ascii="Calibri Light" w:hAnsi="Calibri Light"/>
          <w:color w:val="000000"/>
          <w:sz w:val="20"/>
        </w:rPr>
        <w:t>Use scenario planning to prepare for foreseeable legislative, funding or ministerial changes before they take effect.</w:t>
      </w:r>
    </w:p>
    <w:p>
      <w:pPr>
        <w:spacing w:after="60"/>
      </w:pPr>
    </w:p>
    <w:p>
      <w:pPr>
        <w:pStyle w:val="Heading2"/>
        <w:keepNext/>
      </w:pPr>
      <w:r>
        <w:rPr>
          <w:rFonts w:ascii="Calibri Light" w:hAnsi="Calibri Light"/>
          <w:color w:val="000000"/>
        </w:rPr>
        <w:t>Element 2: Strategic Alignment</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Corporate plans, operational plans, budgets, workforce priorities and program activities form a coherent line of sight to government and agency outcomes.</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Strategies, operational plans and budgets are developed separately. Links to government priorities and intended outcomes are unclear or implied. Staff cannot consistently explain how their work contributes to agency purposes.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integrated planning hierarchies, line-of-sight maps and plan cross-references; staff depend on local files, memory or informal advice.</w:t>
            </w:r>
          </w:p>
          <w:p>
            <w:pPr>
              <w:pStyle w:val="ListBullet"/>
              <w:keepNext/>
              <w:keepLines/>
              <w:spacing w:before="0" w:after="120"/>
            </w:pPr>
            <w:r>
              <w:rPr>
                <w:rFonts w:ascii="Calibri Light" w:hAnsi="Calibri Light"/>
                <w:b w:val="0"/>
                <w:color w:val="000000"/>
                <w:sz w:val="20"/>
              </w:rPr>
              <w:t>The treatment of strategies, budgets, workforce plans, projects and operational activities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strategy, finance, workforce and program owners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approved plans, portfolio decisions, resource allocations and alignment maps, is incomplete, difficult to retrieve or created retrospectively, while monitoring of priority shifts, resource variances, conflicting objectives and unaligned activities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The agency has begun to align major plans and priorities. Some programs identify links to strategic objectives, but terminology, measures and planning horizons are inconsistent. Resource decisions may not follow stated priorities.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integrated planning hierarchies, line-of-sight maps and plan cross-references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strategy, finance, workforce and program owners,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strategies, budgets, workforce plans, projects and operational activities,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approved plans, portfolio decisions, resource allocations and alignment maps, is usually retained for significant matters, but routine monitoring of priority shifts, resource variances, conflicting objectives and unaligned activities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uses an approved planning hierarchy that connects government priorities, agency purposes, corporate objectives, program outcomes, operational plans, budgets and individual responsibilities. Material trade-offs and assumptions are documented.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integrated planning hierarchies, line-of-sight maps and plan cross-references cover strategies, budgets, workforce plans, projects and operational activities and are maintained through defined review, approval and change-control processes.</w:t>
            </w:r>
          </w:p>
          <w:p>
            <w:pPr>
              <w:pStyle w:val="ListBullet"/>
              <w:keepNext/>
              <w:keepLines/>
              <w:spacing w:before="0" w:after="120"/>
            </w:pPr>
            <w:r>
              <w:rPr>
                <w:rFonts w:ascii="Calibri Light" w:hAnsi="Calibri Light"/>
                <w:b w:val="0"/>
                <w:color w:val="000000"/>
                <w:sz w:val="20"/>
              </w:rPr>
              <w:t>Strategy, finance, workforce and program owners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approved plans, portfolio decisions, resource allocations and alignment maps,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priority shifts, resource variances, conflicting objectives and unaligned activities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Alignment is monitored through integrated planning and reporting. Executives review whether resources, projects and workforce capacity remain directed to the highest priorities. Misalignment and unfunded commitments are identified and corrected.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priority shifts, resource variances, conflicting objectives and unaligned activities, with named owners and timely escalation.</w:t>
            </w:r>
          </w:p>
          <w:p>
            <w:pPr>
              <w:pStyle w:val="ListBullet"/>
              <w:keepNext/>
              <w:keepLines/>
              <w:spacing w:before="0" w:after="120"/>
            </w:pPr>
            <w:r>
              <w:rPr>
                <w:rFonts w:ascii="Calibri Light" w:hAnsi="Calibri Light"/>
                <w:b w:val="0"/>
                <w:color w:val="000000"/>
                <w:sz w:val="20"/>
              </w:rPr>
              <w:t>Risk-based testing confirms whether integrated planning hierarchies, line-of-sight maps and plan cross-references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corporate planning, budgeting, workforce planning and portfolio management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Strategic alignment is adaptive and outcome-focused. The agency uses scenario analysis, portfolio optimisation and benefits evidence to redirect resources as conditions change. Staff at all levels understand how their work contributes to public value.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priority shifts, resource variances, conflicting objectives and unaligned activities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integrated planning hierarchies, line-of-sight maps and plan cross-references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strategy, finance, workforce and program owners,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approved plans, portfolio decisions, resource allocations and alignment maps,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Map current corporate, divisional, program, budget and workforce plans and identify inconsistent objectives, terminology and timeframes.</w:t>
      </w:r>
    </w:p>
    <w:p>
      <w:pPr>
        <w:pStyle w:val="ListBullet"/>
        <w:spacing w:before="0" w:after="60" w:line="240" w:lineRule="auto"/>
        <w:ind w:left="397" w:hanging="198"/>
      </w:pPr>
      <w:r>
        <w:rPr>
          <w:rFonts w:ascii="Calibri Light" w:hAnsi="Calibri Light"/>
          <w:color w:val="000000"/>
          <w:sz w:val="20"/>
        </w:rPr>
        <w:t>Define a single hierarchy of purposes, outcomes, objectives, activities and measures for use across agency planning documents.</w:t>
      </w:r>
    </w:p>
    <w:p>
      <w:pPr>
        <w:pStyle w:val="ListBullet"/>
        <w:spacing w:before="0" w:after="60" w:line="240" w:lineRule="auto"/>
        <w:ind w:left="397" w:hanging="198"/>
      </w:pPr>
      <w:r>
        <w:rPr>
          <w:rFonts w:ascii="Calibri Light" w:hAnsi="Calibri Light"/>
          <w:color w:val="000000"/>
          <w:sz w:val="20"/>
        </w:rPr>
        <w:t>Require each business unit to state how its work contributes to at least one approved agency objective.</w:t>
      </w:r>
    </w:p>
    <w:p>
      <w:pPr>
        <w:pStyle w:val="ListBullet"/>
        <w:spacing w:before="0" w:after="60" w:line="240" w:lineRule="auto"/>
        <w:ind w:left="397" w:hanging="198"/>
      </w:pPr>
      <w:r>
        <w:rPr>
          <w:rFonts w:ascii="Calibri Light" w:hAnsi="Calibri Light"/>
          <w:color w:val="000000"/>
          <w:sz w:val="20"/>
        </w:rPr>
        <w:t>Identify major activities and expenditure that cannot be clearly linked to current priorities for executive review.</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an integrated planning standard that sets common planning cycles, templates, accountabilities and approval points.</w:t>
      </w:r>
    </w:p>
    <w:p>
      <w:pPr>
        <w:pStyle w:val="ListBullet"/>
        <w:spacing w:before="0" w:after="60" w:line="240" w:lineRule="auto"/>
        <w:ind w:left="397" w:hanging="198"/>
      </w:pPr>
      <w:r>
        <w:rPr>
          <w:rFonts w:ascii="Calibri Light" w:hAnsi="Calibri Light"/>
          <w:color w:val="000000"/>
          <w:sz w:val="20"/>
        </w:rPr>
        <w:t>Align budget bids, workforce plans, procurement pipelines and project portfolios with the approved strategic hierarchy.</w:t>
      </w:r>
    </w:p>
    <w:p>
      <w:pPr>
        <w:pStyle w:val="ListBullet"/>
        <w:spacing w:before="0" w:after="60" w:line="240" w:lineRule="auto"/>
        <w:ind w:left="397" w:hanging="198"/>
      </w:pPr>
      <w:r>
        <w:rPr>
          <w:rFonts w:ascii="Calibri Light" w:hAnsi="Calibri Light"/>
          <w:color w:val="000000"/>
          <w:sz w:val="20"/>
        </w:rPr>
        <w:t>Create a cross-reference showing where each strategic objective is delivered, measured and reported.</w:t>
      </w:r>
    </w:p>
    <w:p>
      <w:pPr>
        <w:pStyle w:val="ListBullet"/>
        <w:spacing w:before="0" w:after="60" w:line="240" w:lineRule="auto"/>
        <w:ind w:left="397" w:hanging="198"/>
      </w:pPr>
      <w:r>
        <w:rPr>
          <w:rFonts w:ascii="Calibri Light" w:hAnsi="Calibri Light"/>
          <w:color w:val="000000"/>
          <w:sz w:val="20"/>
        </w:rPr>
        <w:t>Build strategic alignment responsibilities into executive and program-owner performance agreements.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Introduce quarterly portfolio reviews that assess strategic contribution, delivery risk, resource use and changing priorities.</w:t>
      </w:r>
    </w:p>
    <w:p>
      <w:pPr>
        <w:pStyle w:val="ListBullet"/>
        <w:spacing w:before="0" w:after="60" w:line="240" w:lineRule="auto"/>
        <w:ind w:left="397" w:hanging="198"/>
      </w:pPr>
      <w:r>
        <w:rPr>
          <w:rFonts w:ascii="Calibri Light" w:hAnsi="Calibri Light"/>
          <w:color w:val="000000"/>
          <w:sz w:val="20"/>
        </w:rPr>
        <w:t>Use variance analysis to identify where actual expenditure or workforce effort has moved away from approved priorities.</w:t>
      </w:r>
    </w:p>
    <w:p>
      <w:pPr>
        <w:pStyle w:val="ListBullet"/>
        <w:spacing w:before="0" w:after="60" w:line="240" w:lineRule="auto"/>
        <w:ind w:left="397" w:hanging="198"/>
      </w:pPr>
      <w:r>
        <w:rPr>
          <w:rFonts w:ascii="Calibri Light" w:hAnsi="Calibri Light"/>
          <w:color w:val="000000"/>
          <w:sz w:val="20"/>
        </w:rPr>
        <w:t>Escalate unresolved conflicts between policy commitments, available resources and operational capacity.</w:t>
      </w:r>
    </w:p>
    <w:p>
      <w:pPr>
        <w:pStyle w:val="ListBullet"/>
        <w:spacing w:before="0" w:after="60" w:line="240" w:lineRule="auto"/>
        <w:ind w:left="397" w:hanging="198"/>
      </w:pPr>
      <w:r>
        <w:rPr>
          <w:rFonts w:ascii="Calibri Light" w:hAnsi="Calibri Light"/>
          <w:color w:val="000000"/>
          <w:sz w:val="20"/>
        </w:rPr>
        <w:t>Test staff understanding of strategic contribution and address communication or role-design gaps.</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Use scenario planning and demand forecasting to test whether the strategic portfolio remains viable under changing conditions.</w:t>
      </w:r>
    </w:p>
    <w:p>
      <w:pPr>
        <w:pStyle w:val="ListBullet"/>
        <w:spacing w:before="0" w:after="60" w:line="240" w:lineRule="auto"/>
        <w:ind w:left="397" w:hanging="198"/>
      </w:pPr>
      <w:r>
        <w:rPr>
          <w:rFonts w:ascii="Calibri Light" w:hAnsi="Calibri Light"/>
          <w:color w:val="000000"/>
          <w:sz w:val="20"/>
        </w:rPr>
        <w:t>Apply portfolio optimisation methods to discontinue, redesign or scale activities according to evidence of strategic value.</w:t>
      </w:r>
    </w:p>
    <w:p>
      <w:pPr>
        <w:pStyle w:val="ListBullet"/>
        <w:spacing w:before="0" w:after="60" w:line="240" w:lineRule="auto"/>
        <w:ind w:left="397" w:hanging="198"/>
      </w:pPr>
      <w:r>
        <w:rPr>
          <w:rFonts w:ascii="Calibri Light" w:hAnsi="Calibri Light"/>
          <w:color w:val="000000"/>
          <w:sz w:val="20"/>
        </w:rPr>
        <w:t>Benchmark strategic allocation and planning maturity against comparable public sector agencies.</w:t>
      </w:r>
    </w:p>
    <w:p>
      <w:pPr>
        <w:pStyle w:val="ListBullet"/>
        <w:spacing w:before="0" w:after="60" w:line="240" w:lineRule="auto"/>
        <w:ind w:left="397" w:hanging="198"/>
      </w:pPr>
      <w:r>
        <w:rPr>
          <w:rFonts w:ascii="Calibri Light" w:hAnsi="Calibri Light"/>
          <w:color w:val="000000"/>
          <w:sz w:val="20"/>
        </w:rPr>
        <w:t>Integrate real-time performance and resource data into executive decisions about priorities and investment.</w:t>
      </w:r>
    </w:p>
    <w:p>
      <w:pPr>
        <w:spacing w:after="60"/>
      </w:pPr>
    </w:p>
    <w:p>
      <w:pPr>
        <w:pStyle w:val="Heading2"/>
        <w:keepNext/>
      </w:pPr>
      <w:r>
        <w:rPr>
          <w:rFonts w:ascii="Calibri Light" w:hAnsi="Calibri Light"/>
          <w:color w:val="000000"/>
        </w:rPr>
        <w:t>Element 3: Governance Structures and Decision Rights</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Boards, accountable authorities, executives, committees and managers have clear, current and workable responsibilities, delegations and escalation pathways.</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Governance structures have evolved informally. Committee roles overlap, delegations are unclear and decisions depend on personal relationships. Matters may be delayed, duplicated or approved at the wrong level.</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governance architectures, committee charters, delegations and decision-rights matrices; staff depend on local files, memory or informal advice.</w:t>
            </w:r>
          </w:p>
          <w:p>
            <w:pPr>
              <w:pStyle w:val="ListBullet"/>
              <w:keepNext/>
              <w:keepLines/>
              <w:spacing w:before="0" w:after="120"/>
            </w:pPr>
            <w:r>
              <w:rPr>
                <w:rFonts w:ascii="Calibri Light" w:hAnsi="Calibri Light"/>
                <w:b w:val="0"/>
                <w:color w:val="000000"/>
                <w:sz w:val="20"/>
              </w:rPr>
              <w:t>The treatment of board, executive, committee and management decisions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the accountable authority, executives, delegates and committee secretariats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charters, agendas, minutes, decision records and delegation instruments, is incomplete, difficult to retrieve or created retrospectively, while monitoring of quorum, attendance, decision timeliness, action closure and governance overlap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The agency has documented major committees and delegations. Terms of reference and role statements exist, but they are not consistently current, applied or connected to operational workflows.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governance architectures, committee charters, delegations and decision-rights matrices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the accountable authority, executives, delegates and committee secretariats,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board, executive, committee and management decisions,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charters, agendas, minutes, decision records and delegation instruments, is usually retained for significant matters, but routine monitoring of quorum, attendance, decision timeliness, action closure and governance overlap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maintains an approved governance architecture. Decision rights, delegations, committee mandates, quorum, escalation thresholds and reporting relationships are clear. Secretariat and recordkeeping standards support consistent operation.</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governance architectures, committee charters, delegations and decision-rights matrices cover board, executive, committee and management decisions and are maintained through defined review, approval and change-control processes.</w:t>
            </w:r>
          </w:p>
          <w:p>
            <w:pPr>
              <w:pStyle w:val="ListBullet"/>
              <w:keepNext/>
              <w:keepLines/>
              <w:spacing w:before="0" w:after="120"/>
            </w:pPr>
            <w:r>
              <w:rPr>
                <w:rFonts w:ascii="Calibri Light" w:hAnsi="Calibri Light"/>
                <w:b w:val="0"/>
                <w:color w:val="000000"/>
                <w:sz w:val="20"/>
              </w:rPr>
              <w:t>The accountable authority, executives, delegates and committee secretariats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charters, agendas, minutes, decision records and delegation instruments,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quorum, attendance, decision timeliness, action closure and governance overlap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Governance effectiveness is monitored. Attendance, decision timeliness, action completion, information quality and overlap between forums are reviewed. Delegations and committee structures are adjusted when risks, functions or operating conditions change.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quorum, attendance, decision timeliness, action closure and governance overlap, with named owners and timely escalation.</w:t>
            </w:r>
          </w:p>
          <w:p>
            <w:pPr>
              <w:pStyle w:val="ListBullet"/>
              <w:keepNext/>
              <w:keepLines/>
              <w:spacing w:before="0" w:after="120"/>
            </w:pPr>
            <w:r>
              <w:rPr>
                <w:rFonts w:ascii="Calibri Light" w:hAnsi="Calibri Light"/>
                <w:b w:val="0"/>
                <w:color w:val="000000"/>
                <w:sz w:val="20"/>
              </w:rPr>
              <w:t>Risk-based testing confirms whether governance architectures, committee charters, delegations and decision-rights matrices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delegations, committee calendars, approval workflows and risk escalation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Governance is streamlined, transparent and outcome-oriented. Decision rights are supported by digital workflows and high-quality information. Independent evaluation and benchmarking confirm that governance forums add value rather than create delay.</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quorum, attendance, decision timeliness, action closure and governance overlap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governance architectures, committee charters, delegations and decision-rights matrices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the accountable authority, executives, delegates and committee secretariats,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charters, agendas, minutes, decision records and delegation instruments,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Inventory all executive, board, committee and working-group forums, including their actual decisions and reporting lines.</w:t>
      </w:r>
    </w:p>
    <w:p>
      <w:pPr>
        <w:pStyle w:val="ListBullet"/>
        <w:spacing w:before="0" w:after="60" w:line="240" w:lineRule="auto"/>
        <w:ind w:left="397" w:hanging="198"/>
      </w:pPr>
      <w:r>
        <w:rPr>
          <w:rFonts w:ascii="Calibri Light" w:hAnsi="Calibri Light"/>
          <w:color w:val="000000"/>
          <w:sz w:val="20"/>
        </w:rPr>
        <w:t>Map key decisions to current delegates and identify duplication, gaps, expired instruments and unclear escalation points.</w:t>
      </w:r>
    </w:p>
    <w:p>
      <w:pPr>
        <w:pStyle w:val="ListBullet"/>
        <w:spacing w:before="0" w:after="60" w:line="240" w:lineRule="auto"/>
        <w:ind w:left="397" w:hanging="198"/>
      </w:pPr>
      <w:r>
        <w:rPr>
          <w:rFonts w:ascii="Calibri Light" w:hAnsi="Calibri Light"/>
          <w:color w:val="000000"/>
          <w:sz w:val="20"/>
        </w:rPr>
        <w:t>Issue interim terms of reference and meeting standards for high-risk governance forums.</w:t>
      </w:r>
    </w:p>
    <w:p>
      <w:pPr>
        <w:pStyle w:val="ListBullet"/>
        <w:spacing w:before="0" w:after="60" w:line="240" w:lineRule="auto"/>
        <w:ind w:left="397" w:hanging="198"/>
      </w:pPr>
      <w:r>
        <w:rPr>
          <w:rFonts w:ascii="Calibri Light" w:hAnsi="Calibri Light"/>
          <w:color w:val="000000"/>
          <w:sz w:val="20"/>
        </w:rPr>
        <w:t>Create a central register of delegations, committee charters, memberships and secretariat contacts.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 governance architecture showing how decisions move from operational management to executive and board oversight.</w:t>
      </w:r>
    </w:p>
    <w:p>
      <w:pPr>
        <w:pStyle w:val="ListBullet"/>
        <w:spacing w:before="0" w:after="60" w:line="240" w:lineRule="auto"/>
        <w:ind w:left="397" w:hanging="198"/>
      </w:pPr>
      <w:r>
        <w:rPr>
          <w:rFonts w:ascii="Calibri Light" w:hAnsi="Calibri Light"/>
          <w:color w:val="000000"/>
          <w:sz w:val="20"/>
        </w:rPr>
        <w:t>Standardise committee charters, agendas, papers, minutes, action tracking and conflict-of-interest declarations.</w:t>
      </w:r>
    </w:p>
    <w:p>
      <w:pPr>
        <w:pStyle w:val="ListBullet"/>
        <w:spacing w:before="0" w:after="60" w:line="240" w:lineRule="auto"/>
        <w:ind w:left="397" w:hanging="198"/>
      </w:pPr>
      <w:r>
        <w:rPr>
          <w:rFonts w:ascii="Calibri Light" w:hAnsi="Calibri Light"/>
          <w:color w:val="000000"/>
          <w:sz w:val="20"/>
        </w:rPr>
        <w:t>Align delegations and approval workflows with role descriptions, financial limits and risk tolerances.</w:t>
      </w:r>
    </w:p>
    <w:p>
      <w:pPr>
        <w:pStyle w:val="ListBullet"/>
        <w:spacing w:before="0" w:after="60" w:line="240" w:lineRule="auto"/>
        <w:ind w:left="397" w:hanging="198"/>
      </w:pPr>
      <w:r>
        <w:rPr>
          <w:rFonts w:ascii="Calibri Light" w:hAnsi="Calibri Light"/>
          <w:color w:val="000000"/>
          <w:sz w:val="20"/>
        </w:rPr>
        <w:t>Train chairs, secretariats and delegates on decision authority, escalation and evidentiary requirements.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Measure decision cycle time, overdue actions, repeat deferrals, attendance and quality of papers across key forums.</w:t>
      </w:r>
    </w:p>
    <w:p>
      <w:pPr>
        <w:pStyle w:val="ListBullet"/>
        <w:spacing w:before="0" w:after="60" w:line="240" w:lineRule="auto"/>
        <w:ind w:left="397" w:hanging="198"/>
      </w:pPr>
      <w:r>
        <w:rPr>
          <w:rFonts w:ascii="Calibri Light" w:hAnsi="Calibri Light"/>
          <w:color w:val="000000"/>
          <w:sz w:val="20"/>
        </w:rPr>
        <w:t>Conduct an annual governance effectiveness review and report findings to the accountable authority.</w:t>
      </w:r>
    </w:p>
    <w:p>
      <w:pPr>
        <w:pStyle w:val="ListBullet"/>
        <w:spacing w:before="0" w:after="60" w:line="240" w:lineRule="auto"/>
        <w:ind w:left="397" w:hanging="198"/>
      </w:pPr>
      <w:r>
        <w:rPr>
          <w:rFonts w:ascii="Calibri Light" w:hAnsi="Calibri Light"/>
          <w:color w:val="000000"/>
          <w:sz w:val="20"/>
        </w:rPr>
        <w:t>Test a sample of decisions for correct authority, adequate information, declared conflicts and recorded reasons.</w:t>
      </w:r>
    </w:p>
    <w:p>
      <w:pPr>
        <w:pStyle w:val="ListBullet"/>
        <w:spacing w:before="0" w:after="60" w:line="240" w:lineRule="auto"/>
        <w:ind w:left="397" w:hanging="198"/>
      </w:pPr>
      <w:r>
        <w:rPr>
          <w:rFonts w:ascii="Calibri Light" w:hAnsi="Calibri Light"/>
          <w:color w:val="000000"/>
          <w:sz w:val="20"/>
        </w:rPr>
        <w:t>Remove or redesign forums that duplicate oversight or do not produce clear decisions and actions.</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Digitise governance workflows so authority, advice, evidence, decisions and actions are traceable end to end.</w:t>
      </w:r>
    </w:p>
    <w:p>
      <w:pPr>
        <w:pStyle w:val="ListBullet"/>
        <w:spacing w:before="0" w:after="60" w:line="240" w:lineRule="auto"/>
        <w:ind w:left="397" w:hanging="198"/>
      </w:pPr>
      <w:r>
        <w:rPr>
          <w:rFonts w:ascii="Calibri Light" w:hAnsi="Calibri Light"/>
          <w:color w:val="000000"/>
          <w:sz w:val="20"/>
        </w:rPr>
        <w:t>Commission periodic independent reviews of board and committee effectiveness.</w:t>
      </w:r>
    </w:p>
    <w:p>
      <w:pPr>
        <w:pStyle w:val="ListBullet"/>
        <w:spacing w:before="0" w:after="60" w:line="240" w:lineRule="auto"/>
        <w:ind w:left="397" w:hanging="198"/>
      </w:pPr>
      <w:r>
        <w:rPr>
          <w:rFonts w:ascii="Calibri Light" w:hAnsi="Calibri Light"/>
          <w:color w:val="000000"/>
          <w:sz w:val="20"/>
        </w:rPr>
        <w:t>Benchmark governance spans, committee loads and decision timeliness against comparable agencies.</w:t>
      </w:r>
    </w:p>
    <w:p>
      <w:pPr>
        <w:pStyle w:val="ListBullet"/>
        <w:spacing w:before="0" w:after="60" w:line="240" w:lineRule="auto"/>
        <w:ind w:left="397" w:hanging="198"/>
      </w:pPr>
      <w:r>
        <w:rPr>
          <w:rFonts w:ascii="Calibri Light" w:hAnsi="Calibri Light"/>
          <w:color w:val="000000"/>
          <w:sz w:val="20"/>
        </w:rPr>
        <w:t>Use governance analytics to identify bottlenecks, recurring escalations and areas where decision rights should be devolved or strengthened.</w:t>
      </w:r>
    </w:p>
    <w:p>
      <w:pPr>
        <w:spacing w:after="60"/>
      </w:pPr>
    </w:p>
    <w:p>
      <w:pPr>
        <w:pStyle w:val="Heading2"/>
        <w:keepNext/>
      </w:pPr>
      <w:r>
        <w:rPr>
          <w:rFonts w:ascii="Calibri Light" w:hAnsi="Calibri Light"/>
          <w:color w:val="000000"/>
        </w:rPr>
        <w:t>Element 4: Executive Oversight and Challenge</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Senior leaders receive reliable information, test assumptions, challenge performance and take documented action on significant risks and underperformance.</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Executive oversight is reactive and dependent on informal briefings. Reports focus on activity rather than outcomes, and challenge is not consistently recorded. Persistent issues may remain unresolved.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executive dashboards, standard paper templates and decision and action registers; staff depend on local files, memory or informal advice.</w:t>
            </w:r>
          </w:p>
          <w:p>
            <w:pPr>
              <w:pStyle w:val="ListBullet"/>
              <w:keepNext/>
              <w:keepLines/>
              <w:spacing w:before="0" w:after="120"/>
            </w:pPr>
            <w:r>
              <w:rPr>
                <w:rFonts w:ascii="Calibri Light" w:hAnsi="Calibri Light"/>
                <w:b w:val="0"/>
                <w:color w:val="000000"/>
                <w:sz w:val="20"/>
              </w:rPr>
              <w:t>The treatment of performance, risk, financial, assurance and underperformance matters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executives, report owners, the accountable authority and the executive secretariat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executive papers, recorded challenge, minutes, decisions and action records, is incomplete, difficult to retrieve or created retrospectively, while monitoring of report timeliness, information quality, action closure and recurring underperformance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Regular executive reporting exists, but data quality and analytical depth vary. Leaders discuss significant matters, although decisions, challenge and follow-up actions are not always clear.</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executive dashboards, standard paper templates and decision and action registers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executives, report owners, the accountable authority and the executive secretariat,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performance, risk, financial, assurance and underperformance matters,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executive papers, recorded challenge, minutes, decisions and action records, is usually retained for significant matters, but routine monitoring of report timeliness, information quality, action closure and recurring underperformance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Executives receive a defined suite of timely performance, risk, financial and assurance information. Papers identify decisions required, options, evidence, risks and recommendations. Challenge, decisions and accountable actions are recorded.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executive dashboards, standard paper templates and decision and action registers cover performance, risk, financial, assurance and underperformance matters and are maintained through defined review, approval and change-control processes.</w:t>
            </w:r>
          </w:p>
          <w:p>
            <w:pPr>
              <w:pStyle w:val="ListBullet"/>
              <w:keepNext/>
              <w:keepLines/>
              <w:spacing w:before="0" w:after="120"/>
            </w:pPr>
            <w:r>
              <w:rPr>
                <w:rFonts w:ascii="Calibri Light" w:hAnsi="Calibri Light"/>
                <w:b w:val="0"/>
                <w:color w:val="000000"/>
                <w:sz w:val="20"/>
              </w:rPr>
              <w:t>Executives, report owners, the accountable authority and the executive secretariat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executive papers, recorded challenge, minutes, decisions and action records,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report timeliness, information quality, action closure and recurring underperformance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The executive actively tests assumptions and monitors whether decisions produce intended results. It seeks independent assurance on high-risk matters, tracks recurring underperformance and intervenes when remediation is ineffective.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report timeliness, information quality, action closure and recurring underperformance, with named owners and timely escalation.</w:t>
            </w:r>
          </w:p>
          <w:p>
            <w:pPr>
              <w:pStyle w:val="ListBullet"/>
              <w:keepNext/>
              <w:keepLines/>
              <w:spacing w:before="0" w:after="120"/>
            </w:pPr>
            <w:r>
              <w:rPr>
                <w:rFonts w:ascii="Calibri Light" w:hAnsi="Calibri Light"/>
                <w:b w:val="0"/>
                <w:color w:val="000000"/>
                <w:sz w:val="20"/>
              </w:rPr>
              <w:t>Risk-based testing confirms whether executive dashboards, standard paper templates and decision and action registers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performance, risk, financial and assurance reporting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Executive oversight is anticipatory and evidence-led. Leaders use integrated intelligence, forecasting and external comparison to identify emerging issues. Constructive challenge is embedded in culture and produces demonstrable improvements in public outcomes.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report timeliness, information quality, action closure and recurring underperformance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executive dashboards, standard paper templates and decision and action registers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executives, report owners, the accountable authority and the executive secretariat,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executive papers, recorded challenge, minutes, decisions and action records,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Define the minimum performance, risk, financial and compliance information executives require each reporting cycle.</w:t>
      </w:r>
    </w:p>
    <w:p>
      <w:pPr>
        <w:pStyle w:val="ListBullet"/>
        <w:spacing w:before="0" w:after="60" w:line="240" w:lineRule="auto"/>
        <w:ind w:left="397" w:hanging="198"/>
      </w:pPr>
      <w:r>
        <w:rPr>
          <w:rFonts w:ascii="Calibri Light" w:hAnsi="Calibri Light"/>
          <w:color w:val="000000"/>
          <w:sz w:val="20"/>
        </w:rPr>
        <w:t>Introduce a standard executive paper template that identifies the decision sought, evidence, options, risks and recommendation.</w:t>
      </w:r>
    </w:p>
    <w:p>
      <w:pPr>
        <w:pStyle w:val="ListBullet"/>
        <w:spacing w:before="0" w:after="60" w:line="240" w:lineRule="auto"/>
        <w:ind w:left="397" w:hanging="198"/>
      </w:pPr>
      <w:r>
        <w:rPr>
          <w:rFonts w:ascii="Calibri Light" w:hAnsi="Calibri Light"/>
          <w:color w:val="000000"/>
          <w:sz w:val="20"/>
        </w:rPr>
        <w:t>Record executive decisions, challenges, dissenting views and follow-up actions in controlled minutes.</w:t>
      </w:r>
    </w:p>
    <w:p>
      <w:pPr>
        <w:pStyle w:val="ListBullet"/>
        <w:spacing w:before="0" w:after="60" w:line="240" w:lineRule="auto"/>
        <w:ind w:left="397" w:hanging="198"/>
      </w:pPr>
      <w:r>
        <w:rPr>
          <w:rFonts w:ascii="Calibri Light" w:hAnsi="Calibri Light"/>
          <w:color w:val="000000"/>
          <w:sz w:val="20"/>
        </w:rPr>
        <w:t>Create a single action register with named owners, due dates and escalation for overdue executive actions.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an executive reporting calendar aligned with planning, budget, risk, assurance and audit committee cycles.</w:t>
      </w:r>
    </w:p>
    <w:p>
      <w:pPr>
        <w:pStyle w:val="ListBullet"/>
        <w:spacing w:before="0" w:after="60" w:line="240" w:lineRule="auto"/>
        <w:ind w:left="397" w:hanging="198"/>
      </w:pPr>
      <w:r>
        <w:rPr>
          <w:rFonts w:ascii="Calibri Light" w:hAnsi="Calibri Light"/>
          <w:color w:val="000000"/>
          <w:sz w:val="20"/>
        </w:rPr>
        <w:t>Set data-quality and analytical standards for executive dashboards and management reports.</w:t>
      </w:r>
    </w:p>
    <w:p>
      <w:pPr>
        <w:pStyle w:val="ListBullet"/>
        <w:spacing w:before="0" w:after="60" w:line="240" w:lineRule="auto"/>
        <w:ind w:left="397" w:hanging="198"/>
      </w:pPr>
      <w:r>
        <w:rPr>
          <w:rFonts w:ascii="Calibri Light" w:hAnsi="Calibri Light"/>
          <w:color w:val="000000"/>
          <w:sz w:val="20"/>
        </w:rPr>
        <w:t>Train executives and paper authors in evidence-based challenge, options analysis and documentation of reasons.</w:t>
      </w:r>
    </w:p>
    <w:p>
      <w:pPr>
        <w:pStyle w:val="ListBullet"/>
        <w:spacing w:before="0" w:after="60" w:line="240" w:lineRule="auto"/>
        <w:ind w:left="397" w:hanging="198"/>
      </w:pPr>
      <w:r>
        <w:rPr>
          <w:rFonts w:ascii="Calibri Light" w:hAnsi="Calibri Light"/>
          <w:color w:val="000000"/>
          <w:sz w:val="20"/>
        </w:rPr>
        <w:t>Require recurring or material underperformance to be supported by a formal recovery plan.</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Review the quality of executive decisions by testing whether actions were completed and intended results were achieved.</w:t>
      </w:r>
    </w:p>
    <w:p>
      <w:pPr>
        <w:pStyle w:val="ListBullet"/>
        <w:spacing w:before="0" w:after="60" w:line="240" w:lineRule="auto"/>
        <w:ind w:left="397" w:hanging="198"/>
      </w:pPr>
      <w:r>
        <w:rPr>
          <w:rFonts w:ascii="Calibri Light" w:hAnsi="Calibri Light"/>
          <w:color w:val="000000"/>
          <w:sz w:val="20"/>
        </w:rPr>
        <w:t>Commission targeted assurance where management information is disputed, incomplete or indicates significant control weakness.</w:t>
      </w:r>
    </w:p>
    <w:p>
      <w:pPr>
        <w:pStyle w:val="ListBullet"/>
        <w:spacing w:before="0" w:after="60" w:line="240" w:lineRule="auto"/>
        <w:ind w:left="397" w:hanging="198"/>
      </w:pPr>
      <w:r>
        <w:rPr>
          <w:rFonts w:ascii="Calibri Light" w:hAnsi="Calibri Light"/>
          <w:color w:val="000000"/>
          <w:sz w:val="20"/>
        </w:rPr>
        <w:t>Analyse recurring agenda items and overdue actions to identify systemic delivery or accountability problems.</w:t>
      </w:r>
    </w:p>
    <w:p>
      <w:pPr>
        <w:pStyle w:val="ListBullet"/>
        <w:spacing w:before="0" w:after="60" w:line="240" w:lineRule="auto"/>
        <w:ind w:left="397" w:hanging="198"/>
      </w:pPr>
      <w:r>
        <w:rPr>
          <w:rFonts w:ascii="Calibri Light" w:hAnsi="Calibri Light"/>
          <w:color w:val="000000"/>
          <w:sz w:val="20"/>
        </w:rPr>
        <w:t>Provide the audit and risk committee with visibility of material unresolved issues and management responses.</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Introduce predictive indicators and scenario dashboards for major service, financial and operational risks.</w:t>
      </w:r>
    </w:p>
    <w:p>
      <w:pPr>
        <w:pStyle w:val="ListBullet"/>
        <w:spacing w:before="0" w:after="60" w:line="240" w:lineRule="auto"/>
        <w:ind w:left="397" w:hanging="198"/>
      </w:pPr>
      <w:r>
        <w:rPr>
          <w:rFonts w:ascii="Calibri Light" w:hAnsi="Calibri Light"/>
          <w:color w:val="000000"/>
          <w:sz w:val="20"/>
        </w:rPr>
        <w:t>Benchmark executive reporting and decision effectiveness against leading public sector practice.</w:t>
      </w:r>
    </w:p>
    <w:p>
      <w:pPr>
        <w:pStyle w:val="ListBullet"/>
        <w:spacing w:before="0" w:after="60" w:line="240" w:lineRule="auto"/>
        <w:ind w:left="397" w:hanging="198"/>
      </w:pPr>
      <w:r>
        <w:rPr>
          <w:rFonts w:ascii="Calibri Light" w:hAnsi="Calibri Light"/>
          <w:color w:val="000000"/>
          <w:sz w:val="20"/>
        </w:rPr>
        <w:t>Use independent facilitation or review to assess the quality of challenge and collective decision-making.</w:t>
      </w:r>
    </w:p>
    <w:p>
      <w:pPr>
        <w:pStyle w:val="ListBullet"/>
        <w:spacing w:before="0" w:after="60" w:line="240" w:lineRule="auto"/>
        <w:ind w:left="397" w:hanging="198"/>
      </w:pPr>
      <w:r>
        <w:rPr>
          <w:rFonts w:ascii="Calibri Light" w:hAnsi="Calibri Light"/>
          <w:color w:val="000000"/>
          <w:sz w:val="20"/>
        </w:rPr>
        <w:t>Link executive performance assessment to the sustained resolution of material risks and delivery problems.</w:t>
      </w:r>
    </w:p>
    <w:p>
      <w:pPr>
        <w:spacing w:after="60"/>
      </w:pPr>
    </w:p>
    <w:p>
      <w:pPr>
        <w:pStyle w:val="Heading2"/>
        <w:keepNext/>
      </w:pPr>
      <w:r>
        <w:rPr>
          <w:rFonts w:ascii="Calibri Light" w:hAnsi="Calibri Light"/>
          <w:color w:val="000000"/>
        </w:rPr>
        <w:t>Element 5: Performance Audit Readiness Governance</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The agency can coordinate an external performance audit, provide evidence promptly, maintain consistent communication and manage findings without disrupting normal operations.</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The agency responds to audits after notification. Responsibilities are unclear, evidence requests are handled separately and messages may be inconsistent. Audit activity causes significant disruption.</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audit response protocols, information-request registers, evidence indexes and contact maps; staff depend on local files, memory or informal advice.</w:t>
            </w:r>
          </w:p>
          <w:p>
            <w:pPr>
              <w:pStyle w:val="ListBullet"/>
              <w:keepNext/>
              <w:keepLines/>
              <w:spacing w:before="0" w:after="120"/>
            </w:pPr>
            <w:r>
              <w:rPr>
                <w:rFonts w:ascii="Calibri Light" w:hAnsi="Calibri Light"/>
                <w:b w:val="0"/>
                <w:color w:val="000000"/>
                <w:sz w:val="20"/>
              </w:rPr>
              <w:t>The treatment of audit requests, interviews, evidence submissions, emerging findings and formal responses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the audit coordinator, executives, business units, legal advisers and communications staff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request logs, evidence packs, approved responses and audit meeting records, is incomplete, difficult to retrieve or created retrospectively, while monitoring of response times, rejected evidence, issue escalation and operational disruption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A central contact and basic response process have been identified. The agency can coordinate simple requests, but audit protocols, escalation, evidence control and executive reporting remain incomplete.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audit response protocols, information-request registers, evidence indexes and contact maps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the audit coordinator, executives, business units, legal advisers and communications staff,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audit requests, interviews, evidence submissions, emerging findings and formal responses,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request logs, evidence packs, approved responses and audit meeting records, is usually retained for significant matters, but routine monitoring of response times, rejected evidence, issue escalation and operational disruption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has an approved audit response protocol covering governance, roles, communications, information requests, evidence review, system access, briefings, issue escalation and formal responses. Relevant staff understand their responsibilities.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audit response protocols, information-request registers, evidence indexes and contact maps cover audit requests, interviews, evidence submissions, emerging findings and formal responses and are maintained through defined review, approval and change-control processes.</w:t>
            </w:r>
          </w:p>
          <w:p>
            <w:pPr>
              <w:pStyle w:val="ListBullet"/>
              <w:keepNext/>
              <w:keepLines/>
              <w:spacing w:before="0" w:after="120"/>
            </w:pPr>
            <w:r>
              <w:rPr>
                <w:rFonts w:ascii="Calibri Light" w:hAnsi="Calibri Light"/>
                <w:b w:val="0"/>
                <w:color w:val="000000"/>
                <w:sz w:val="20"/>
              </w:rPr>
              <w:t>The audit coordinator, executives, business units, legal advisers and communications staff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request logs, evidence packs, approved responses and audit meeting records,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response times, rejected evidence, issue escalation and operational disruption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Audit readiness is periodically tested. The agency tracks request timeliness, evidence quality, emerging findings and resource impacts. Executives and the audit and risk committee receive accurate status reporting and intervene where needed.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response times, rejected evidence, issue escalation and operational disruption, with named owners and timely escalation.</w:t>
            </w:r>
          </w:p>
          <w:p>
            <w:pPr>
              <w:pStyle w:val="ListBullet"/>
              <w:keepNext/>
              <w:keepLines/>
              <w:spacing w:before="0" w:after="120"/>
            </w:pPr>
            <w:r>
              <w:rPr>
                <w:rFonts w:ascii="Calibri Light" w:hAnsi="Calibri Light"/>
                <w:b w:val="0"/>
                <w:color w:val="000000"/>
                <w:sz w:val="20"/>
              </w:rPr>
              <w:t>Risk-based testing confirms whether audit response protocols, information-request registers, evidence indexes and contact maps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records management, assurance, executive reporting and incident management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Readiness is embedded in business-as-usual governance. The agency maintains current audit packs for high-risk programs, uses lessons from prior audits to improve systems and can support concurrent scrutiny with minimal disruption.</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response times, rejected evidence, issue escalation and operational disruption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audit response protocols, information-request registers, evidence indexes and contact maps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the audit coordinator, executives, business units, legal advisers and communications staff,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request logs, evidence packs, approved responses and audit meeting records,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Nominate an executive sponsor, central audit liaison and business-area contacts for external performance audits.</w:t>
      </w:r>
    </w:p>
    <w:p>
      <w:pPr>
        <w:pStyle w:val="ListBullet"/>
        <w:spacing w:before="0" w:after="60" w:line="240" w:lineRule="auto"/>
        <w:ind w:left="397" w:hanging="198"/>
      </w:pPr>
      <w:r>
        <w:rPr>
          <w:rFonts w:ascii="Calibri Light" w:hAnsi="Calibri Light"/>
          <w:color w:val="000000"/>
          <w:sz w:val="20"/>
        </w:rPr>
        <w:t>Document an interim process for receiving, allocating, quality-checking and submitting audit information requests.</w:t>
      </w:r>
    </w:p>
    <w:p>
      <w:pPr>
        <w:pStyle w:val="ListBullet"/>
        <w:spacing w:before="0" w:after="60" w:line="240" w:lineRule="auto"/>
        <w:ind w:left="397" w:hanging="198"/>
      </w:pPr>
      <w:r>
        <w:rPr>
          <w:rFonts w:ascii="Calibri Light" w:hAnsi="Calibri Light"/>
          <w:color w:val="000000"/>
          <w:sz w:val="20"/>
        </w:rPr>
        <w:t>Create a controlled audit request register that records scope, owner, due date, status and evidence location.</w:t>
      </w:r>
    </w:p>
    <w:p>
      <w:pPr>
        <w:pStyle w:val="ListBullet"/>
        <w:spacing w:before="0" w:after="60" w:line="240" w:lineRule="auto"/>
        <w:ind w:left="397" w:hanging="198"/>
      </w:pPr>
      <w:r>
        <w:rPr>
          <w:rFonts w:ascii="Calibri Light" w:hAnsi="Calibri Light"/>
          <w:color w:val="000000"/>
          <w:sz w:val="20"/>
        </w:rPr>
        <w:t>Brief executives and likely subject-matter experts on audit confidentiality, accuracy and communication expectations.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 comprehensive performance audit response protocol and supporting templates.</w:t>
      </w:r>
    </w:p>
    <w:p>
      <w:pPr>
        <w:pStyle w:val="ListBullet"/>
        <w:spacing w:before="0" w:after="60" w:line="240" w:lineRule="auto"/>
        <w:ind w:left="397" w:hanging="198"/>
      </w:pPr>
      <w:r>
        <w:rPr>
          <w:rFonts w:ascii="Calibri Light" w:hAnsi="Calibri Light"/>
          <w:color w:val="000000"/>
          <w:sz w:val="20"/>
        </w:rPr>
        <w:t>Define quality assurance and legal, privacy, security and sensitivity checks before evidence is released.</w:t>
      </w:r>
    </w:p>
    <w:p>
      <w:pPr>
        <w:pStyle w:val="ListBullet"/>
        <w:spacing w:before="0" w:after="60" w:line="240" w:lineRule="auto"/>
        <w:ind w:left="397" w:hanging="198"/>
      </w:pPr>
      <w:r>
        <w:rPr>
          <w:rFonts w:ascii="Calibri Light" w:hAnsi="Calibri Light"/>
          <w:color w:val="000000"/>
          <w:sz w:val="20"/>
        </w:rPr>
        <w:t>Establish arrangements for prompt auditor access to systems, sites, staff and records within applicable authority.</w:t>
      </w:r>
    </w:p>
    <w:p>
      <w:pPr>
        <w:pStyle w:val="ListBullet"/>
        <w:spacing w:before="0" w:after="60" w:line="240" w:lineRule="auto"/>
        <w:ind w:left="397" w:hanging="198"/>
      </w:pPr>
      <w:r>
        <w:rPr>
          <w:rFonts w:ascii="Calibri Light" w:hAnsi="Calibri Light"/>
          <w:color w:val="000000"/>
          <w:sz w:val="20"/>
        </w:rPr>
        <w:t>Create standard executive and audit committee reporting for audit progress, emerging issues and response deadlines.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Run a simulation using a high-risk program and test evidence retrieval, briefing quality, response consistency and escalation.</w:t>
      </w:r>
    </w:p>
    <w:p>
      <w:pPr>
        <w:pStyle w:val="ListBullet"/>
        <w:spacing w:before="0" w:after="60" w:line="240" w:lineRule="auto"/>
        <w:ind w:left="397" w:hanging="198"/>
      </w:pPr>
      <w:r>
        <w:rPr>
          <w:rFonts w:ascii="Calibri Light" w:hAnsi="Calibri Light"/>
          <w:color w:val="000000"/>
          <w:sz w:val="20"/>
        </w:rPr>
        <w:t>Measure request turnaround times, rework, missing evidence, access delays and staff effort during actual or simulated audits.</w:t>
      </w:r>
    </w:p>
    <w:p>
      <w:pPr>
        <w:pStyle w:val="ListBullet"/>
        <w:spacing w:before="0" w:after="60" w:line="240" w:lineRule="auto"/>
        <w:ind w:left="397" w:hanging="198"/>
      </w:pPr>
      <w:r>
        <w:rPr>
          <w:rFonts w:ascii="Calibri Light" w:hAnsi="Calibri Light"/>
          <w:color w:val="000000"/>
          <w:sz w:val="20"/>
        </w:rPr>
        <w:t>Maintain an issues and representations log linking each emerging finding to evidence, management analysis and action.</w:t>
      </w:r>
    </w:p>
    <w:p>
      <w:pPr>
        <w:pStyle w:val="ListBullet"/>
        <w:spacing w:before="0" w:after="60" w:line="240" w:lineRule="auto"/>
        <w:ind w:left="397" w:hanging="198"/>
      </w:pPr>
      <w:r>
        <w:rPr>
          <w:rFonts w:ascii="Calibri Light" w:hAnsi="Calibri Light"/>
          <w:color w:val="000000"/>
          <w:sz w:val="20"/>
        </w:rPr>
        <w:t>Review audit conduct after each engagement and assign improvements to named owners.</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Develop standing audit-readiness packs for major programs, including authority, governance, performance, risk and evidence maps.</w:t>
      </w:r>
    </w:p>
    <w:p>
      <w:pPr>
        <w:pStyle w:val="ListBullet"/>
        <w:spacing w:before="0" w:after="60" w:line="240" w:lineRule="auto"/>
        <w:ind w:left="397" w:hanging="198"/>
      </w:pPr>
      <w:r>
        <w:rPr>
          <w:rFonts w:ascii="Calibri Light" w:hAnsi="Calibri Light"/>
          <w:color w:val="000000"/>
          <w:sz w:val="20"/>
        </w:rPr>
        <w:t>Integrate audit request workflows with records management and program information systems.</w:t>
      </w:r>
    </w:p>
    <w:p>
      <w:pPr>
        <w:pStyle w:val="ListBullet"/>
        <w:spacing w:before="0" w:after="60" w:line="240" w:lineRule="auto"/>
        <w:ind w:left="397" w:hanging="198"/>
      </w:pPr>
      <w:r>
        <w:rPr>
          <w:rFonts w:ascii="Calibri Light" w:hAnsi="Calibri Light"/>
          <w:color w:val="000000"/>
          <w:sz w:val="20"/>
        </w:rPr>
        <w:t>Undertake independent readiness reviews of high-risk activities before they appear in likely audit work programs.</w:t>
      </w:r>
    </w:p>
    <w:p>
      <w:pPr>
        <w:pStyle w:val="ListBullet"/>
        <w:spacing w:before="0" w:after="60" w:line="240" w:lineRule="auto"/>
        <w:ind w:left="397" w:hanging="198"/>
      </w:pPr>
      <w:r>
        <w:rPr>
          <w:rFonts w:ascii="Calibri Light" w:hAnsi="Calibri Light"/>
          <w:color w:val="000000"/>
          <w:sz w:val="20"/>
        </w:rPr>
        <w:t>Use cross-agency audit trends and parliamentary interests to anticipate scrutiny and strengthen vulnerable areas.</w:t>
      </w:r>
    </w:p>
    <w:p>
      <w:pPr>
        <w:spacing w:after="60"/>
      </w:pPr>
    </w:p>
    <w:p>
      <w:pPr>
        <w:pStyle w:val="Heading1"/>
        <w:keepNext/>
      </w:pPr>
      <w:r>
        <w:rPr>
          <w:rFonts w:ascii="Calibri Light" w:hAnsi="Calibri Light"/>
          <w:color w:val="000000"/>
        </w:rPr>
        <w:t>Topic 2: Outcomes and Performance</w:t>
      </w:r>
    </w:p>
    <w:p>
      <w:pPr>
        <w:spacing w:before="0" w:after="120" w:line="240" w:lineRule="auto"/>
      </w:pPr>
      <w:r>
        <w:rPr>
          <w:rFonts w:ascii="Calibri Light" w:hAnsi="Calibri Light"/>
          <w:color w:val="000000"/>
          <w:sz w:val="20"/>
        </w:rPr>
        <w:t>Outcomes and Performance assesses whether the agency can demonstrate a clear connection between public expenditure, activities, outputs and intended outcomes. It tests whether performance information is meaningful, reliable, verifiable and used to manage delivery.</w:t>
      </w:r>
    </w:p>
    <w:p>
      <w:pPr>
        <w:pStyle w:val="Heading2"/>
        <w:keepNext/>
      </w:pPr>
      <w:r>
        <w:rPr>
          <w:rFonts w:ascii="Calibri Light" w:hAnsi="Calibri Light"/>
          <w:color w:val="000000"/>
        </w:rPr>
        <w:t>Element 6: Program Logic and Outcome Definition</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Programs have a defensible rationale showing how resources and activities are expected to produce outputs, outcomes and public value.</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Program objectives are broad, activity-based or inherited. The causal link between interventions and intended outcomes is not documented. Assumptions, beneficiaries and external influences are poorly understood.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program logic models, theories of change, outcome maps and assumptions registers; staff depend on local files, memory or informal advice.</w:t>
            </w:r>
          </w:p>
          <w:p>
            <w:pPr>
              <w:pStyle w:val="ListBullet"/>
              <w:keepNext/>
              <w:keepLines/>
              <w:spacing w:before="0" w:after="120"/>
            </w:pPr>
            <w:r>
              <w:rPr>
                <w:rFonts w:ascii="Calibri Light" w:hAnsi="Calibri Light"/>
                <w:b w:val="0"/>
                <w:color w:val="000000"/>
                <w:sz w:val="20"/>
              </w:rPr>
              <w:t>The treatment of material programs, services and investments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policy, program, evaluation, finance and service-design owners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needs analyses, logic diagrams, causal evidence and documented assumptions, is incomplete, difficult to retrieve or created retrospectively, while monitoring of critical assumptions, external influences, outcome pathways and unintended effects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Some programs have logic models or outcome statements, usually prepared for funding or evaluation purposes. Quality varies and models are not consistently used in management or reporting.</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program logic models, theories of change, outcome maps and assumptions registers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policy, program, evaluation, finance and service-design owners,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material programs, services and investments,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needs analyses, logic diagrams, causal evidence and documented assumptions, is usually retained for significant matters, but routine monitoring of critical assumptions, external influences, outcome pathways and unintended effects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Material programs maintain approved program logic that defines need, beneficiaries, inputs, activities, outputs, short and long-term outcomes, assumptions and external factors. Logic informs design, measures and evaluation.</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program logic models, theories of change, outcome maps and assumptions registers cover material programs, services and investments and are maintained through defined review, approval and change-control processes.</w:t>
            </w:r>
          </w:p>
          <w:p>
            <w:pPr>
              <w:pStyle w:val="ListBullet"/>
              <w:keepNext/>
              <w:keepLines/>
              <w:spacing w:before="0" w:after="120"/>
            </w:pPr>
            <w:r>
              <w:rPr>
                <w:rFonts w:ascii="Calibri Light" w:hAnsi="Calibri Light"/>
                <w:b w:val="0"/>
                <w:color w:val="000000"/>
                <w:sz w:val="20"/>
              </w:rPr>
              <w:t>Policy, program, evaluation, finance and service-design owners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needs analyses, logic diagrams, causal evidence and documented assumptions,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critical assumptions, external influences, outcome pathways and unintended effects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Program logic is tested against delivery evidence and revised when assumptions prove weak. Executives use it to assess contribution, unintended effects, dependencies and whether the delivery model remains appropriate.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critical assumptions, external influences, outcome pathways and unintended effects, with named owners and timely escalation.</w:t>
            </w:r>
          </w:p>
          <w:p>
            <w:pPr>
              <w:pStyle w:val="ListBullet"/>
              <w:keepNext/>
              <w:keepLines/>
              <w:spacing w:before="0" w:after="120"/>
            </w:pPr>
            <w:r>
              <w:rPr>
                <w:rFonts w:ascii="Calibri Light" w:hAnsi="Calibri Light"/>
                <w:b w:val="0"/>
                <w:color w:val="000000"/>
                <w:sz w:val="20"/>
              </w:rPr>
              <w:t>Risk-based testing confirms whether program logic models, theories of change, outcome maps and assumptions registers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planning, budgeting, performance measure design, evaluation and service design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Program logic is integrated with portfolio strategy, investment, evaluation and service design. The agency uses systems thinking, comparative evidence and stakeholder insight to refine causal models and maximise public value.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critical assumptions, external influences, outcome pathways and unintended effects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program logic models, theories of change, outcome maps and assumptions registers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policy, program, evaluation, finance and service-design owners,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needs analyses, logic diagrams, causal evidence and documented assumptions,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Identify material programs that lack a current statement of need, intended beneficiaries and expected outcomes.</w:t>
      </w:r>
    </w:p>
    <w:p>
      <w:pPr>
        <w:pStyle w:val="ListBullet"/>
        <w:spacing w:before="0" w:after="60" w:line="240" w:lineRule="auto"/>
        <w:ind w:left="397" w:hanging="198"/>
      </w:pPr>
      <w:r>
        <w:rPr>
          <w:rFonts w:ascii="Calibri Light" w:hAnsi="Calibri Light"/>
          <w:color w:val="000000"/>
          <w:sz w:val="20"/>
        </w:rPr>
        <w:t>Develop simple logic maps for priority programs linking resources, activities, outputs and outcomes.</w:t>
      </w:r>
    </w:p>
    <w:p>
      <w:pPr>
        <w:pStyle w:val="ListBullet"/>
        <w:spacing w:before="0" w:after="60" w:line="240" w:lineRule="auto"/>
        <w:ind w:left="397" w:hanging="198"/>
      </w:pPr>
      <w:r>
        <w:rPr>
          <w:rFonts w:ascii="Calibri Light" w:hAnsi="Calibri Light"/>
          <w:color w:val="000000"/>
          <w:sz w:val="20"/>
        </w:rPr>
        <w:t>Record key assumptions, dependencies and external factors that may affect success.</w:t>
      </w:r>
    </w:p>
    <w:p>
      <w:pPr>
        <w:pStyle w:val="ListBullet"/>
        <w:spacing w:before="0" w:after="60" w:line="240" w:lineRule="auto"/>
        <w:ind w:left="397" w:hanging="198"/>
      </w:pPr>
      <w:r>
        <w:rPr>
          <w:rFonts w:ascii="Calibri Light" w:hAnsi="Calibri Light"/>
          <w:color w:val="000000"/>
          <w:sz w:val="20"/>
        </w:rPr>
        <w:t>Obtain program-owner and executive agreement on the intended results to be assessed.</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Adopt a standard program logic methodology and minimum documentation requirements.</w:t>
      </w:r>
    </w:p>
    <w:p>
      <w:pPr>
        <w:pStyle w:val="ListBullet"/>
        <w:spacing w:before="0" w:after="60" w:line="240" w:lineRule="auto"/>
        <w:ind w:left="397" w:hanging="198"/>
      </w:pPr>
      <w:r>
        <w:rPr>
          <w:rFonts w:ascii="Calibri Light" w:hAnsi="Calibri Light"/>
          <w:color w:val="000000"/>
          <w:sz w:val="20"/>
        </w:rPr>
        <w:t>Align program logic with business cases, performance measures, risk registers, contracts and evaluation plans.</w:t>
      </w:r>
    </w:p>
    <w:p>
      <w:pPr>
        <w:pStyle w:val="ListBullet"/>
        <w:spacing w:before="0" w:after="60" w:line="240" w:lineRule="auto"/>
        <w:ind w:left="397" w:hanging="198"/>
      </w:pPr>
      <w:r>
        <w:rPr>
          <w:rFonts w:ascii="Calibri Light" w:hAnsi="Calibri Light"/>
          <w:color w:val="000000"/>
          <w:sz w:val="20"/>
        </w:rPr>
        <w:t>Validate logic models with policy, delivery, data, finance and stakeholder representatives.</w:t>
      </w:r>
    </w:p>
    <w:p>
      <w:pPr>
        <w:pStyle w:val="ListBullet"/>
        <w:spacing w:before="0" w:after="60" w:line="240" w:lineRule="auto"/>
        <w:ind w:left="397" w:hanging="198"/>
      </w:pPr>
      <w:r>
        <w:rPr>
          <w:rFonts w:ascii="Calibri Light" w:hAnsi="Calibri Light"/>
          <w:color w:val="000000"/>
          <w:sz w:val="20"/>
        </w:rPr>
        <w:t>Establish version control and scheduled review requirements for all material program logic.</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Test causal assumptions using performance data, evaluation findings, complaints and stakeholder evidence.</w:t>
      </w:r>
    </w:p>
    <w:p>
      <w:pPr>
        <w:pStyle w:val="ListBullet"/>
        <w:spacing w:before="0" w:after="60" w:line="240" w:lineRule="auto"/>
        <w:ind w:left="397" w:hanging="198"/>
      </w:pPr>
      <w:r>
        <w:rPr>
          <w:rFonts w:ascii="Calibri Light" w:hAnsi="Calibri Light"/>
          <w:color w:val="000000"/>
          <w:sz w:val="20"/>
        </w:rPr>
        <w:t>Analyse unintended outcomes, distributional effects and service gaps against the approved logic.</w:t>
      </w:r>
    </w:p>
    <w:p>
      <w:pPr>
        <w:pStyle w:val="ListBullet"/>
        <w:spacing w:before="0" w:after="60" w:line="240" w:lineRule="auto"/>
        <w:ind w:left="397" w:hanging="198"/>
      </w:pPr>
      <w:r>
        <w:rPr>
          <w:rFonts w:ascii="Calibri Light" w:hAnsi="Calibri Light"/>
          <w:color w:val="000000"/>
          <w:sz w:val="20"/>
        </w:rPr>
        <w:t>Require major program changes to explain how the logic and expected outcomes will change.</w:t>
      </w:r>
    </w:p>
    <w:p>
      <w:pPr>
        <w:pStyle w:val="ListBullet"/>
        <w:spacing w:before="0" w:after="60" w:line="240" w:lineRule="auto"/>
        <w:ind w:left="397" w:hanging="198"/>
      </w:pPr>
      <w:r>
        <w:rPr>
          <w:rFonts w:ascii="Calibri Light" w:hAnsi="Calibri Light"/>
          <w:color w:val="000000"/>
          <w:sz w:val="20"/>
        </w:rPr>
        <w:t>Report unresolved weaknesses in program rationale or contribution evidence to the executive.</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Use systems mapping and cross-program analysis to understand cumulative and interacting effects.</w:t>
      </w:r>
    </w:p>
    <w:p>
      <w:pPr>
        <w:pStyle w:val="ListBullet"/>
        <w:spacing w:before="0" w:after="60" w:line="240" w:lineRule="auto"/>
        <w:ind w:left="397" w:hanging="198"/>
      </w:pPr>
      <w:r>
        <w:rPr>
          <w:rFonts w:ascii="Calibri Light" w:hAnsi="Calibri Light"/>
          <w:color w:val="000000"/>
          <w:sz w:val="20"/>
        </w:rPr>
        <w:t>Benchmark intervention logic against comparable jurisdictions and relevant research.</w:t>
      </w:r>
    </w:p>
    <w:p>
      <w:pPr>
        <w:pStyle w:val="ListBullet"/>
        <w:spacing w:before="0" w:after="60" w:line="240" w:lineRule="auto"/>
        <w:ind w:left="397" w:hanging="198"/>
      </w:pPr>
      <w:r>
        <w:rPr>
          <w:rFonts w:ascii="Calibri Light" w:hAnsi="Calibri Light"/>
          <w:color w:val="000000"/>
          <w:sz w:val="20"/>
        </w:rPr>
        <w:t>Integrate program logic with investment prioritisation and cessation or redesign decisions.</w:t>
      </w:r>
    </w:p>
    <w:p>
      <w:pPr>
        <w:pStyle w:val="ListBullet"/>
        <w:spacing w:before="0" w:after="60" w:line="240" w:lineRule="auto"/>
        <w:ind w:left="397" w:hanging="198"/>
      </w:pPr>
      <w:r>
        <w:rPr>
          <w:rFonts w:ascii="Calibri Light" w:hAnsi="Calibri Light"/>
          <w:color w:val="000000"/>
          <w:sz w:val="20"/>
        </w:rPr>
        <w:t>Maintain a learning cycle that updates causal assumptions as new evidence emerges.</w:t>
      </w:r>
    </w:p>
    <w:p>
      <w:pPr>
        <w:spacing w:after="60"/>
      </w:pPr>
    </w:p>
    <w:p>
      <w:pPr>
        <w:pStyle w:val="Heading2"/>
        <w:keepNext/>
      </w:pPr>
      <w:r>
        <w:rPr>
          <w:rFonts w:ascii="Calibri Light" w:hAnsi="Calibri Light"/>
          <w:color w:val="000000"/>
        </w:rPr>
        <w:t>Element 7: Performance Measure Design</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Performance measures meaningfully assess effectiveness, efficiency, economy, quality, timeliness, equity and compliance where relevant.</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Measures focus on easily counted activities and do not show whether intended results were achieved. Definitions, calculation methods and rationale are absent or inconsistent.</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performance measure specifications, KPI catalogues and measure-coverage maps; staff depend on local files, memory or informal advice.</w:t>
            </w:r>
          </w:p>
          <w:p>
            <w:pPr>
              <w:pStyle w:val="ListBullet"/>
              <w:keepNext/>
              <w:keepLines/>
              <w:spacing w:before="0" w:after="120"/>
            </w:pPr>
            <w:r>
              <w:rPr>
                <w:rFonts w:ascii="Calibri Light" w:hAnsi="Calibri Light"/>
                <w:b w:val="0"/>
                <w:color w:val="000000"/>
                <w:sz w:val="20"/>
              </w:rPr>
              <w:t>The treatment of effectiveness, efficiency, economy, quality, timeliness, equity and compliance measures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performance, program, data and reporting owners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measure definitions, formulae, data sources, design rationales and approvals, is incomplete, difficult to retrieve or created retrospectively, while monitoring of measure gaps, perverse incentives, relevance, reliability and outcome coverage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The agency has introduced measures for major programs, but coverage is uneven. Some measures address outcomes or efficiency, while others remain output-based, ambiguous or weakly attributable.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performance measure specifications, KPI catalogues and measure-coverage maps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performance, program, data and reporting owners,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effectiveness, efficiency, economy, quality, timeliness, equity and compliance measures,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measure definitions, formulae, data sources, design rationales and approvals, is usually retained for significant matters, but routine monitoring of measure gaps, perverse incentives, relevance, reliability and outcome coverage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Measures are developed through an approved method and collectively provide a balanced view of results. Each measure has a clear rationale, definition, calculation, data source, frequency, owner, target approach and limitation statement.</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performance measure specifications, KPI catalogues and measure-coverage maps cover effectiveness, efficiency, economy, quality, timeliness, equity and compliance measures and are maintained through defined review, approval and change-control processes.</w:t>
            </w:r>
          </w:p>
          <w:p>
            <w:pPr>
              <w:pStyle w:val="ListBullet"/>
              <w:keepNext/>
              <w:keepLines/>
              <w:spacing w:before="0" w:after="120"/>
            </w:pPr>
            <w:r>
              <w:rPr>
                <w:rFonts w:ascii="Calibri Light" w:hAnsi="Calibri Light"/>
                <w:b w:val="0"/>
                <w:color w:val="000000"/>
                <w:sz w:val="20"/>
              </w:rPr>
              <w:t>Performance, program, data and reporting owners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measure definitions, formulae, data sources, design rationales and approvals,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measure gaps, perverse incentives, relevance, reliability and outcome coverage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The agency routinely assesses measure quality, usefulness and behavioural effects. Measures are changed when they fail to support decisions, create perverse incentives or do not distinguish performance from external influences.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measure gaps, perverse incentives, relevance, reliability and outcome coverage, with named owners and timely escalation.</w:t>
            </w:r>
          </w:p>
          <w:p>
            <w:pPr>
              <w:pStyle w:val="ListBullet"/>
              <w:keepNext/>
              <w:keepLines/>
              <w:spacing w:before="0" w:after="120"/>
            </w:pPr>
            <w:r>
              <w:rPr>
                <w:rFonts w:ascii="Calibri Light" w:hAnsi="Calibri Light"/>
                <w:b w:val="0"/>
                <w:color w:val="000000"/>
                <w:sz w:val="20"/>
              </w:rPr>
              <w:t>Risk-based testing confirms whether performance measure specifications, KPI catalogues and measure-coverage maps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strategic planning, data governance, reporting and evaluation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The performance suite is strategically integrated, concise and decision-relevant. Measures are benchmarked, independently reviewed and adapted to emerging priorities while preserving trend continuity and public accountability.</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measure gaps, perverse incentives, relevance, reliability and outcome coverage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performance measure specifications, KPI catalogues and measure-coverage maps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performance, program, data and reporting owners,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measure definitions, formulae, data sources, design rationales and approvals,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Inventory current measures and classify them as inputs, activities, outputs, quality, efficiency, effectiveness or outcomes.</w:t>
      </w:r>
    </w:p>
    <w:p>
      <w:pPr>
        <w:pStyle w:val="ListBullet"/>
        <w:spacing w:before="0" w:after="60" w:line="240" w:lineRule="auto"/>
        <w:ind w:left="397" w:hanging="198"/>
      </w:pPr>
      <w:r>
        <w:rPr>
          <w:rFonts w:ascii="Calibri Light" w:hAnsi="Calibri Light"/>
          <w:color w:val="000000"/>
          <w:sz w:val="20"/>
        </w:rPr>
        <w:t>Identify material objectives that are not measured and measures that do not support an identifiable decision or accountability need.</w:t>
      </w:r>
    </w:p>
    <w:p>
      <w:pPr>
        <w:pStyle w:val="ListBullet"/>
        <w:spacing w:before="0" w:after="60" w:line="240" w:lineRule="auto"/>
        <w:ind w:left="397" w:hanging="198"/>
      </w:pPr>
      <w:r>
        <w:rPr>
          <w:rFonts w:ascii="Calibri Light" w:hAnsi="Calibri Light"/>
          <w:color w:val="000000"/>
          <w:sz w:val="20"/>
        </w:rPr>
        <w:t>Define minimum metadata for each measure, including purpose, formula, source, owner and reporting frequency.</w:t>
      </w:r>
    </w:p>
    <w:p>
      <w:pPr>
        <w:pStyle w:val="ListBullet"/>
        <w:spacing w:before="0" w:after="60" w:line="240" w:lineRule="auto"/>
        <w:ind w:left="397" w:hanging="198"/>
      </w:pPr>
      <w:r>
        <w:rPr>
          <w:rFonts w:ascii="Calibri Light" w:hAnsi="Calibri Light"/>
          <w:color w:val="000000"/>
          <w:sz w:val="20"/>
        </w:rPr>
        <w:t>Replace ambiguous measure labels with precise statements of what is being assessed.</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 measure-development and review standard aligned with applicable jurisdictional requirements.</w:t>
      </w:r>
    </w:p>
    <w:p>
      <w:pPr>
        <w:pStyle w:val="ListBullet"/>
        <w:spacing w:before="0" w:after="60" w:line="240" w:lineRule="auto"/>
        <w:ind w:left="397" w:hanging="198"/>
      </w:pPr>
      <w:r>
        <w:rPr>
          <w:rFonts w:ascii="Calibri Light" w:hAnsi="Calibri Light"/>
          <w:color w:val="000000"/>
          <w:sz w:val="20"/>
        </w:rPr>
        <w:t>Design a balanced suite that covers results, service quality, timeliness, cost, reach and equity where material.</w:t>
      </w:r>
    </w:p>
    <w:p>
      <w:pPr>
        <w:pStyle w:val="ListBullet"/>
        <w:spacing w:before="0" w:after="60" w:line="240" w:lineRule="auto"/>
        <w:ind w:left="397" w:hanging="198"/>
      </w:pPr>
      <w:r>
        <w:rPr>
          <w:rFonts w:ascii="Calibri Light" w:hAnsi="Calibri Light"/>
          <w:color w:val="000000"/>
          <w:sz w:val="20"/>
        </w:rPr>
        <w:t>Document attribution limits, data limitations and the circumstances in which a measure may mislead.</w:t>
      </w:r>
    </w:p>
    <w:p>
      <w:pPr>
        <w:pStyle w:val="ListBullet"/>
        <w:spacing w:before="0" w:after="60" w:line="240" w:lineRule="auto"/>
        <w:ind w:left="397" w:hanging="198"/>
      </w:pPr>
      <w:r>
        <w:rPr>
          <w:rFonts w:ascii="Calibri Light" w:hAnsi="Calibri Light"/>
          <w:color w:val="000000"/>
          <w:sz w:val="20"/>
        </w:rPr>
        <w:t>Subject new and materially changed measures to technical, program and executive review.</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Evaluate measure validity, reliability, verifiability and usefulness through periodic quality reviews.</w:t>
      </w:r>
    </w:p>
    <w:p>
      <w:pPr>
        <w:pStyle w:val="ListBullet"/>
        <w:spacing w:before="0" w:after="60" w:line="240" w:lineRule="auto"/>
        <w:ind w:left="397" w:hanging="198"/>
      </w:pPr>
      <w:r>
        <w:rPr>
          <w:rFonts w:ascii="Calibri Light" w:hAnsi="Calibri Light"/>
          <w:color w:val="000000"/>
          <w:sz w:val="20"/>
        </w:rPr>
        <w:t>Analyse whether targets or measures drive unintended behaviour, gaming or neglect of unmeasured outcomes.</w:t>
      </w:r>
    </w:p>
    <w:p>
      <w:pPr>
        <w:pStyle w:val="ListBullet"/>
        <w:spacing w:before="0" w:after="60" w:line="240" w:lineRule="auto"/>
        <w:ind w:left="397" w:hanging="198"/>
      </w:pPr>
      <w:r>
        <w:rPr>
          <w:rFonts w:ascii="Calibri Light" w:hAnsi="Calibri Light"/>
          <w:color w:val="000000"/>
          <w:sz w:val="20"/>
        </w:rPr>
        <w:t>Retire or redesign measures that are consistently unactionable, duplicated or incapable of supporting conclusions.</w:t>
      </w:r>
    </w:p>
    <w:p>
      <w:pPr>
        <w:pStyle w:val="ListBullet"/>
        <w:spacing w:before="0" w:after="60" w:line="240" w:lineRule="auto"/>
        <w:ind w:left="397" w:hanging="198"/>
      </w:pPr>
      <w:r>
        <w:rPr>
          <w:rFonts w:ascii="Calibri Light" w:hAnsi="Calibri Light"/>
          <w:color w:val="000000"/>
          <w:sz w:val="20"/>
        </w:rPr>
        <w:t>Use independent assurance or internal audit to test high-risk performance measures.</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Benchmark the measure suite against comparable agencies, policy research and leading service standards.</w:t>
      </w:r>
    </w:p>
    <w:p>
      <w:pPr>
        <w:pStyle w:val="ListBullet"/>
        <w:spacing w:before="0" w:after="60" w:line="240" w:lineRule="auto"/>
        <w:ind w:left="397" w:hanging="198"/>
      </w:pPr>
      <w:r>
        <w:rPr>
          <w:rFonts w:ascii="Calibri Light" w:hAnsi="Calibri Light"/>
          <w:color w:val="000000"/>
          <w:sz w:val="20"/>
        </w:rPr>
        <w:t>Use advanced analytical methods to separate agency contribution from external factors where feasible.</w:t>
      </w:r>
    </w:p>
    <w:p>
      <w:pPr>
        <w:pStyle w:val="ListBullet"/>
        <w:spacing w:before="0" w:after="60" w:line="240" w:lineRule="auto"/>
        <w:ind w:left="397" w:hanging="198"/>
      </w:pPr>
      <w:r>
        <w:rPr>
          <w:rFonts w:ascii="Calibri Light" w:hAnsi="Calibri Light"/>
          <w:color w:val="000000"/>
          <w:sz w:val="20"/>
        </w:rPr>
        <w:t>Integrate performance measures with evaluation, budgeting and portfolio decisions.</w:t>
      </w:r>
    </w:p>
    <w:p>
      <w:pPr>
        <w:pStyle w:val="ListBullet"/>
        <w:spacing w:before="0" w:after="60" w:line="240" w:lineRule="auto"/>
        <w:ind w:left="397" w:hanging="198"/>
      </w:pPr>
      <w:r>
        <w:rPr>
          <w:rFonts w:ascii="Calibri Light" w:hAnsi="Calibri Light"/>
          <w:color w:val="000000"/>
          <w:sz w:val="20"/>
        </w:rPr>
        <w:t>Maintain public transparency when measures change by preserving historical comparability and explaining the rationale.</w:t>
      </w:r>
    </w:p>
    <w:p>
      <w:pPr>
        <w:spacing w:after="60"/>
      </w:pPr>
    </w:p>
    <w:p>
      <w:pPr>
        <w:pStyle w:val="Heading2"/>
        <w:keepNext/>
      </w:pPr>
      <w:r>
        <w:rPr>
          <w:rFonts w:ascii="Calibri Light" w:hAnsi="Calibri Light"/>
          <w:color w:val="000000"/>
        </w:rPr>
        <w:t>Element 8: Targets, Baselines and Benchmarks</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Targets and comparators are defensible, transparent and capable of supporting meaningful judgements about performance.</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Targets are absent, retrospective or based on aspiration rather than evidence. Baselines and benchmarks are not defined, making performance difficult to interpret.</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target-setting methodologies, baseline records and benchmark libraries; staff depend on local files, memory or informal advice.</w:t>
            </w:r>
          </w:p>
          <w:p>
            <w:pPr>
              <w:pStyle w:val="ListBullet"/>
              <w:keepNext/>
              <w:keepLines/>
              <w:spacing w:before="0" w:after="120"/>
            </w:pPr>
            <w:r>
              <w:rPr>
                <w:rFonts w:ascii="Calibri Light" w:hAnsi="Calibri Light"/>
                <w:b w:val="0"/>
                <w:color w:val="000000"/>
                <w:sz w:val="20"/>
              </w:rPr>
              <w:t>The treatment of targets, baselines and comparators for material performance measures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program, performance, finance and data-analysis owners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target calculations, historical trends, benchmark sources and approvals, is incomplete, difficult to retrieve or created retrospectively, while monitoring of target achievability, target changes, benchmark validity and gaming risk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Some measures have targets or baselines. Methods vary and may rely on historical results without considering demand, resources, risk, service standards or external comparison.</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target-setting methodologies, baseline records and benchmark libraries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program, performance, finance and data-analysis owners,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targets, baselines and comparators for material performance measures,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target calculations, historical trends, benchmark sources and approvals, is usually retained for significant matters, but routine monitoring of target achievability, target changes, benchmark validity and gaming risk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documents target-setting methods, baselines, reporting periods and benchmark sources. Targets are approved, time-bound and linked to intended outcomes, available resources and expected operating conditions.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target-setting methodologies, baseline records and benchmark libraries cover targets, baselines and comparators for material performance measures and are maintained through defined review, approval and change-control processes.</w:t>
            </w:r>
          </w:p>
          <w:p>
            <w:pPr>
              <w:pStyle w:val="ListBullet"/>
              <w:keepNext/>
              <w:keepLines/>
              <w:spacing w:before="0" w:after="120"/>
            </w:pPr>
            <w:r>
              <w:rPr>
                <w:rFonts w:ascii="Calibri Light" w:hAnsi="Calibri Light"/>
                <w:b w:val="0"/>
                <w:color w:val="000000"/>
                <w:sz w:val="20"/>
              </w:rPr>
              <w:t>Program, performance, finance and data-analysis owners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target calculations, historical trends, benchmark sources and approvals,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target achievability, target changes, benchmark validity and gaming risk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Targets and benchmarks are reviewed using trend, demand, cost and comparative analysis. Management explains material changes, stretch, tolerance and the consequences of persistent over- or under-performance.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target achievability, target changes, benchmark validity and gaming risk, with named owners and timely escalation.</w:t>
            </w:r>
          </w:p>
          <w:p>
            <w:pPr>
              <w:pStyle w:val="ListBullet"/>
              <w:keepNext/>
              <w:keepLines/>
              <w:spacing w:before="0" w:after="120"/>
            </w:pPr>
            <w:r>
              <w:rPr>
                <w:rFonts w:ascii="Calibri Light" w:hAnsi="Calibri Light"/>
                <w:b w:val="0"/>
                <w:color w:val="000000"/>
                <w:sz w:val="20"/>
              </w:rPr>
              <w:t>Risk-based testing confirms whether target-setting methodologies, baseline records and benchmark libraries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planning, budgeting, forecasting and performance reporting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Target-setting supports strategic ambition and adaptive management. The agency uses external benchmarking, scenario ranges and distributional analysis to set differentiated targets and continuously improve public value.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target achievability, target changes, benchmark validity and gaming risk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target-setting methodologies, baseline records and benchmark libraries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program, performance, finance and data-analysis owners,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target calculations, historical trends, benchmark sources and approvals,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Identify performance measures without a baseline, target, tolerance or meaningful comparator.</w:t>
      </w:r>
    </w:p>
    <w:p>
      <w:pPr>
        <w:pStyle w:val="ListBullet"/>
        <w:spacing w:before="0" w:after="60" w:line="240" w:lineRule="auto"/>
        <w:ind w:left="397" w:hanging="198"/>
      </w:pPr>
      <w:r>
        <w:rPr>
          <w:rFonts w:ascii="Calibri Light" w:hAnsi="Calibri Light"/>
          <w:color w:val="000000"/>
          <w:sz w:val="20"/>
        </w:rPr>
        <w:t>Establish historical baselines using the most reliable available data and disclose material limitations.</w:t>
      </w:r>
    </w:p>
    <w:p>
      <w:pPr>
        <w:pStyle w:val="ListBullet"/>
        <w:spacing w:before="0" w:after="60" w:line="240" w:lineRule="auto"/>
        <w:ind w:left="397" w:hanging="198"/>
      </w:pPr>
      <w:r>
        <w:rPr>
          <w:rFonts w:ascii="Calibri Light" w:hAnsi="Calibri Light"/>
          <w:color w:val="000000"/>
          <w:sz w:val="20"/>
        </w:rPr>
        <w:t>Document the rationale for existing targets and flag unsupported or retrospectively selected targets.</w:t>
      </w:r>
    </w:p>
    <w:p>
      <w:pPr>
        <w:pStyle w:val="ListBullet"/>
        <w:spacing w:before="0" w:after="60" w:line="240" w:lineRule="auto"/>
        <w:ind w:left="397" w:hanging="198"/>
      </w:pPr>
      <w:r>
        <w:rPr>
          <w:rFonts w:ascii="Calibri Light" w:hAnsi="Calibri Light"/>
          <w:color w:val="000000"/>
          <w:sz w:val="20"/>
        </w:rPr>
        <w:t>Assign responsibility for approving and maintaining targets.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Adopt a target-setting methodology that considers policy intent, historical performance, resources, demand, risk and service standards.</w:t>
      </w:r>
    </w:p>
    <w:p>
      <w:pPr>
        <w:pStyle w:val="ListBullet"/>
        <w:spacing w:before="0" w:after="60" w:line="240" w:lineRule="auto"/>
        <w:ind w:left="397" w:hanging="198"/>
      </w:pPr>
      <w:r>
        <w:rPr>
          <w:rFonts w:ascii="Calibri Light" w:hAnsi="Calibri Light"/>
          <w:color w:val="000000"/>
          <w:sz w:val="20"/>
        </w:rPr>
        <w:t>Set time-bound targets and tolerance ranges for material measures.</w:t>
      </w:r>
    </w:p>
    <w:p>
      <w:pPr>
        <w:pStyle w:val="ListBullet"/>
        <w:spacing w:before="0" w:after="60" w:line="240" w:lineRule="auto"/>
        <w:ind w:left="397" w:hanging="198"/>
      </w:pPr>
      <w:r>
        <w:rPr>
          <w:rFonts w:ascii="Calibri Light" w:hAnsi="Calibri Light"/>
          <w:color w:val="000000"/>
          <w:sz w:val="20"/>
        </w:rPr>
        <w:t>Identify suitable internal, cross-agency, jurisdictional or sector benchmarks.</w:t>
      </w:r>
    </w:p>
    <w:p>
      <w:pPr>
        <w:pStyle w:val="ListBullet"/>
        <w:spacing w:before="0" w:after="60" w:line="240" w:lineRule="auto"/>
        <w:ind w:left="397" w:hanging="198"/>
      </w:pPr>
      <w:r>
        <w:rPr>
          <w:rFonts w:ascii="Calibri Light" w:hAnsi="Calibri Light"/>
          <w:color w:val="000000"/>
          <w:sz w:val="20"/>
        </w:rPr>
        <w:t>Record all target changes, approvals and effects on trend interpretation.</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Review target achievement together with cost, quality, demand and outcome information rather than in isolation.</w:t>
      </w:r>
    </w:p>
    <w:p>
      <w:pPr>
        <w:pStyle w:val="ListBullet"/>
        <w:spacing w:before="0" w:after="60" w:line="240" w:lineRule="auto"/>
        <w:ind w:left="397" w:hanging="198"/>
      </w:pPr>
      <w:r>
        <w:rPr>
          <w:rFonts w:ascii="Calibri Light" w:hAnsi="Calibri Light"/>
          <w:color w:val="000000"/>
          <w:sz w:val="20"/>
        </w:rPr>
        <w:t>Analyse persistent target overachievement to determine whether targets are insufficiently demanding.</w:t>
      </w:r>
    </w:p>
    <w:p>
      <w:pPr>
        <w:pStyle w:val="ListBullet"/>
        <w:spacing w:before="0" w:after="60" w:line="240" w:lineRule="auto"/>
        <w:ind w:left="397" w:hanging="198"/>
      </w:pPr>
      <w:r>
        <w:rPr>
          <w:rFonts w:ascii="Calibri Light" w:hAnsi="Calibri Light"/>
          <w:color w:val="000000"/>
          <w:sz w:val="20"/>
        </w:rPr>
        <w:t>Require recovery plans where material targets are repeatedly missed without a defensible external cause.</w:t>
      </w:r>
    </w:p>
    <w:p>
      <w:pPr>
        <w:pStyle w:val="ListBullet"/>
        <w:spacing w:before="0" w:after="60" w:line="240" w:lineRule="auto"/>
        <w:ind w:left="397" w:hanging="198"/>
      </w:pPr>
      <w:r>
        <w:rPr>
          <w:rFonts w:ascii="Calibri Light" w:hAnsi="Calibri Light"/>
          <w:color w:val="000000"/>
          <w:sz w:val="20"/>
        </w:rPr>
        <w:t>Test benchmark comparability and adjust for material differences in scope, population or operating context.</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Use scenario ranges and leading indicators where single-point targets create false precision.</w:t>
      </w:r>
    </w:p>
    <w:p>
      <w:pPr>
        <w:pStyle w:val="ListBullet"/>
        <w:spacing w:before="0" w:after="60" w:line="240" w:lineRule="auto"/>
        <w:ind w:left="397" w:hanging="198"/>
      </w:pPr>
      <w:r>
        <w:rPr>
          <w:rFonts w:ascii="Calibri Light" w:hAnsi="Calibri Light"/>
          <w:color w:val="000000"/>
          <w:sz w:val="20"/>
        </w:rPr>
        <w:t>Apply peer and international benchmarking to identify attainable frontier performance.</w:t>
      </w:r>
    </w:p>
    <w:p>
      <w:pPr>
        <w:pStyle w:val="ListBullet"/>
        <w:spacing w:before="0" w:after="60" w:line="240" w:lineRule="auto"/>
        <w:ind w:left="397" w:hanging="198"/>
      </w:pPr>
      <w:r>
        <w:rPr>
          <w:rFonts w:ascii="Calibri Light" w:hAnsi="Calibri Light"/>
          <w:color w:val="000000"/>
          <w:sz w:val="20"/>
        </w:rPr>
        <w:t>Differentiate targets by risk, cohort, region or service channel where aggregate results conceal inequity.</w:t>
      </w:r>
    </w:p>
    <w:p>
      <w:pPr>
        <w:pStyle w:val="ListBullet"/>
        <w:spacing w:before="0" w:after="60" w:line="240" w:lineRule="auto"/>
        <w:ind w:left="397" w:hanging="198"/>
      </w:pPr>
      <w:r>
        <w:rPr>
          <w:rFonts w:ascii="Calibri Light" w:hAnsi="Calibri Light"/>
          <w:color w:val="000000"/>
          <w:sz w:val="20"/>
        </w:rPr>
        <w:t>Link stretch targets to funded improvement initiatives and monitor whether benefits are realised.</w:t>
      </w:r>
    </w:p>
    <w:p>
      <w:pPr>
        <w:spacing w:after="60"/>
      </w:pPr>
    </w:p>
    <w:p>
      <w:pPr>
        <w:pStyle w:val="Heading2"/>
        <w:keepNext/>
      </w:pPr>
      <w:r>
        <w:rPr>
          <w:rFonts w:ascii="Calibri Light" w:hAnsi="Calibri Light"/>
          <w:color w:val="000000"/>
        </w:rPr>
        <w:t>Element 9: Performance Data Collection and Validation</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Data used to manage and report performance is complete, accurate, timely, reliable, verifiable and controlled.</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Performance data is assembled manually from inconsistent sources. Definitions and validation are unclear. Errors are corrected informally and source evidence may not be retained.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data dictionaries, collection protocols, validation rules and reconciliation schedules; staff depend on local files, memory or informal advice.</w:t>
            </w:r>
          </w:p>
          <w:p>
            <w:pPr>
              <w:pStyle w:val="ListBullet"/>
              <w:keepNext/>
              <w:keepLines/>
              <w:spacing w:before="0" w:after="120"/>
            </w:pPr>
            <w:r>
              <w:rPr>
                <w:rFonts w:ascii="Calibri Light" w:hAnsi="Calibri Light"/>
                <w:b w:val="0"/>
                <w:color w:val="000000"/>
                <w:sz w:val="20"/>
              </w:rPr>
              <w:t>The treatment of performance data from source capture through to management and public reporting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data owners, system owners, analysts and report certifiers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source extracts, validation logs, reconciliations and correction records, is incomplete, difficult to retrieve or created retrospectively, while monitoring of errors, missing data, late submissions and manual adjustments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The agency has identified major data sources and introduced basic checks. Responsibilities and controls differ across programs, and spreadsheets or manual adjustments remain significant.</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data dictionaries, collection protocols, validation rules and reconciliation schedules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data owners, system owners, analysts and report certifiers,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performance data from source capture through to management and public reporting,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source extracts, validation logs, reconciliations and correction records, is usually retained for significant matters, but routine monitoring of errors, missing data, late submissions and manual adjustments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Data collection and validation are governed by documented specifications. Source systems, definitions, extraction methods, calculations, controls, approvals, limitations and retention requirements are assigned and consistently applied.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data dictionaries, collection protocols, validation rules and reconciliation schedules cover performance data from source capture through to management and public reporting and are maintained through defined review, approval and change-control processes.</w:t>
            </w:r>
          </w:p>
          <w:p>
            <w:pPr>
              <w:pStyle w:val="ListBullet"/>
              <w:keepNext/>
              <w:keepLines/>
              <w:spacing w:before="0" w:after="120"/>
            </w:pPr>
            <w:r>
              <w:rPr>
                <w:rFonts w:ascii="Calibri Light" w:hAnsi="Calibri Light"/>
                <w:b w:val="0"/>
                <w:color w:val="000000"/>
                <w:sz w:val="20"/>
              </w:rPr>
              <w:t>Data owners, system owners, analysts and report certifiers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source extracts, validation logs, reconciliations and correction records,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errors, missing data, late submissions and manual adjustments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Data quality is monitored through exception reporting, reconciliation, sampling and root-cause analysis. Material errors and control failures are escalated, corrected and reflected in reports and assurance plans.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errors, missing data, late submissions and manual adjustments, with named owners and timely escalation.</w:t>
            </w:r>
          </w:p>
          <w:p>
            <w:pPr>
              <w:pStyle w:val="ListBullet"/>
              <w:keepNext/>
              <w:keepLines/>
              <w:spacing w:before="0" w:after="120"/>
            </w:pPr>
            <w:r>
              <w:rPr>
                <w:rFonts w:ascii="Calibri Light" w:hAnsi="Calibri Light"/>
                <w:b w:val="0"/>
                <w:color w:val="000000"/>
                <w:sz w:val="20"/>
              </w:rPr>
              <w:t>Risk-based testing confirms whether data dictionaries, collection protocols, validation rules and reconciliation schedules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operational systems, data platforms, reporting and assurance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Performance data is highly automated, traceable and actively governed. The agency uses continuous monitoring, advanced validation and independent assurance to maintain confidence and rapidly identify emerging data risks.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errors, missing data, late submissions and manual adjustments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data dictionaries, collection protocols, validation rules and reconciliation schedules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data owners, system owners, analysts and report certifiers,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source extracts, validation logs, reconciliations and correction records,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Map each material performance result to its source data, extraction process, calculation and responsible owner.</w:t>
      </w:r>
    </w:p>
    <w:p>
      <w:pPr>
        <w:pStyle w:val="ListBullet"/>
        <w:spacing w:before="0" w:after="60" w:line="240" w:lineRule="auto"/>
        <w:ind w:left="397" w:hanging="198"/>
      </w:pPr>
      <w:r>
        <w:rPr>
          <w:rFonts w:ascii="Calibri Light" w:hAnsi="Calibri Light"/>
          <w:color w:val="000000"/>
          <w:sz w:val="20"/>
        </w:rPr>
        <w:t>Identify manual adjustments, uncontrolled spreadsheets, duplicate sources and missing source records.</w:t>
      </w:r>
    </w:p>
    <w:p>
      <w:pPr>
        <w:pStyle w:val="ListBullet"/>
        <w:spacing w:before="0" w:after="60" w:line="240" w:lineRule="auto"/>
        <w:ind w:left="397" w:hanging="198"/>
      </w:pPr>
      <w:r>
        <w:rPr>
          <w:rFonts w:ascii="Calibri Light" w:hAnsi="Calibri Light"/>
          <w:color w:val="000000"/>
          <w:sz w:val="20"/>
        </w:rPr>
        <w:t>Introduce basic validation checks for completeness, accuracy, timeliness and reasonableness.</w:t>
      </w:r>
    </w:p>
    <w:p>
      <w:pPr>
        <w:pStyle w:val="ListBullet"/>
        <w:spacing w:before="0" w:after="60" w:line="240" w:lineRule="auto"/>
        <w:ind w:left="397" w:hanging="198"/>
      </w:pPr>
      <w:r>
        <w:rPr>
          <w:rFonts w:ascii="Calibri Light" w:hAnsi="Calibri Light"/>
          <w:color w:val="000000"/>
          <w:sz w:val="20"/>
        </w:rPr>
        <w:t>Require retention of source evidence and approval for material manual changes.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data specifications and control procedures for each material measure.</w:t>
      </w:r>
    </w:p>
    <w:p>
      <w:pPr>
        <w:pStyle w:val="ListBullet"/>
        <w:spacing w:before="0" w:after="60" w:line="240" w:lineRule="auto"/>
        <w:ind w:left="397" w:hanging="198"/>
      </w:pPr>
      <w:r>
        <w:rPr>
          <w:rFonts w:ascii="Calibri Light" w:hAnsi="Calibri Light"/>
          <w:color w:val="000000"/>
          <w:sz w:val="20"/>
        </w:rPr>
        <w:t>Assign data owners, custodians and report certifiers with clear accountability.</w:t>
      </w:r>
    </w:p>
    <w:p>
      <w:pPr>
        <w:pStyle w:val="ListBullet"/>
        <w:spacing w:before="0" w:after="60" w:line="240" w:lineRule="auto"/>
        <w:ind w:left="397" w:hanging="198"/>
      </w:pPr>
      <w:r>
        <w:rPr>
          <w:rFonts w:ascii="Calibri Light" w:hAnsi="Calibri Light"/>
          <w:color w:val="000000"/>
          <w:sz w:val="20"/>
        </w:rPr>
        <w:t>Implement reconciliations between source systems, management reports and published results.</w:t>
      </w:r>
    </w:p>
    <w:p>
      <w:pPr>
        <w:pStyle w:val="ListBullet"/>
        <w:spacing w:before="0" w:after="60" w:line="240" w:lineRule="auto"/>
        <w:ind w:left="397" w:hanging="198"/>
      </w:pPr>
      <w:r>
        <w:rPr>
          <w:rFonts w:ascii="Calibri Light" w:hAnsi="Calibri Light"/>
          <w:color w:val="000000"/>
          <w:sz w:val="20"/>
        </w:rPr>
        <w:t>Document known limitations, estimation methods and correction protocols.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Establish data-quality metrics and thresholds for errors, missing values, lateness and reconciliation differences.</w:t>
      </w:r>
    </w:p>
    <w:p>
      <w:pPr>
        <w:pStyle w:val="ListBullet"/>
        <w:spacing w:before="0" w:after="60" w:line="240" w:lineRule="auto"/>
        <w:ind w:left="397" w:hanging="198"/>
      </w:pPr>
      <w:r>
        <w:rPr>
          <w:rFonts w:ascii="Calibri Light" w:hAnsi="Calibri Light"/>
          <w:color w:val="000000"/>
          <w:sz w:val="20"/>
        </w:rPr>
        <w:t>Use risk-based sampling and internal assurance to test data lineage and control operation.</w:t>
      </w:r>
    </w:p>
    <w:p>
      <w:pPr>
        <w:pStyle w:val="ListBullet"/>
        <w:spacing w:before="0" w:after="60" w:line="240" w:lineRule="auto"/>
        <w:ind w:left="397" w:hanging="198"/>
      </w:pPr>
      <w:r>
        <w:rPr>
          <w:rFonts w:ascii="Calibri Light" w:hAnsi="Calibri Light"/>
          <w:color w:val="000000"/>
          <w:sz w:val="20"/>
        </w:rPr>
        <w:t>Perform root-cause analysis on recurring data defects and track remediation.</w:t>
      </w:r>
    </w:p>
    <w:p>
      <w:pPr>
        <w:pStyle w:val="ListBullet"/>
        <w:spacing w:before="0" w:after="60" w:line="240" w:lineRule="auto"/>
        <w:ind w:left="397" w:hanging="198"/>
      </w:pPr>
      <w:r>
        <w:rPr>
          <w:rFonts w:ascii="Calibri Light" w:hAnsi="Calibri Light"/>
          <w:color w:val="000000"/>
          <w:sz w:val="20"/>
        </w:rPr>
        <w:t>Require executive disclosure and correction where material performance information is unreliable.</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Automate data extraction, validation and lineage wherever risk and cost justify it.</w:t>
      </w:r>
    </w:p>
    <w:p>
      <w:pPr>
        <w:pStyle w:val="ListBullet"/>
        <w:spacing w:before="0" w:after="60" w:line="240" w:lineRule="auto"/>
        <w:ind w:left="397" w:hanging="198"/>
      </w:pPr>
      <w:r>
        <w:rPr>
          <w:rFonts w:ascii="Calibri Light" w:hAnsi="Calibri Light"/>
          <w:color w:val="000000"/>
          <w:sz w:val="20"/>
        </w:rPr>
        <w:t>Introduce continuous controls monitoring and anomaly detection for high-volume or high-impact data.</w:t>
      </w:r>
    </w:p>
    <w:p>
      <w:pPr>
        <w:pStyle w:val="ListBullet"/>
        <w:spacing w:before="0" w:after="60" w:line="240" w:lineRule="auto"/>
        <w:ind w:left="397" w:hanging="198"/>
      </w:pPr>
      <w:r>
        <w:rPr>
          <w:rFonts w:ascii="Calibri Light" w:hAnsi="Calibri Light"/>
          <w:color w:val="000000"/>
          <w:sz w:val="20"/>
        </w:rPr>
        <w:t>Benchmark data governance and quality against recognised standards and comparable agencies.</w:t>
      </w:r>
    </w:p>
    <w:p>
      <w:pPr>
        <w:pStyle w:val="ListBullet"/>
        <w:spacing w:before="0" w:after="60" w:line="240" w:lineRule="auto"/>
        <w:ind w:left="397" w:hanging="198"/>
      </w:pPr>
      <w:r>
        <w:rPr>
          <w:rFonts w:ascii="Calibri Light" w:hAnsi="Calibri Light"/>
          <w:color w:val="000000"/>
          <w:sz w:val="20"/>
        </w:rPr>
        <w:t>Commission periodic independent assurance over the end-to-end production of critical performance information.</w:t>
      </w:r>
    </w:p>
    <w:p>
      <w:pPr>
        <w:spacing w:after="60"/>
      </w:pPr>
    </w:p>
    <w:p>
      <w:pPr>
        <w:pStyle w:val="Heading2"/>
        <w:keepNext/>
      </w:pPr>
      <w:r>
        <w:rPr>
          <w:rFonts w:ascii="Calibri Light" w:hAnsi="Calibri Light"/>
          <w:color w:val="000000"/>
        </w:rPr>
        <w:t>Element 10: Performance Analysis and Reporting</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Management and public reporting explain results, causes, trends, limitations and corrective action in a balanced and evidence-based manner.</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Reports present activity counts and favourable results with limited analysis. Variances, limitations and underperformance are not consistently explained. Different reports may contain conflicting figures.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reporting calendars, analysis templates, variance protocols and disclosure standards; staff depend on local files, memory or informal advice.</w:t>
            </w:r>
          </w:p>
          <w:p>
            <w:pPr>
              <w:pStyle w:val="ListBullet"/>
              <w:keepNext/>
              <w:keepLines/>
              <w:spacing w:before="0" w:after="120"/>
            </w:pPr>
            <w:r>
              <w:rPr>
                <w:rFonts w:ascii="Calibri Light" w:hAnsi="Calibri Light"/>
                <w:b w:val="0"/>
                <w:color w:val="000000"/>
                <w:sz w:val="20"/>
              </w:rPr>
              <w:t>The treatment of management, executive and public performance reporting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program, finance, performance, reporting and executive owners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analysis workpapers, source data, variance explanations and approvals, is incomplete, difficult to retrieve or created retrospectively, while monitoring of unexplained variances, stale information, one-sided reporting and overdue corrective action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Regular reporting exists and some variance commentary is provided. Analysis quality depends on the business area and may not distinguish symptoms, causes and external factors.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reporting calendars, analysis templates, variance protocols and disclosure standards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program, finance, performance, reporting and executive owners,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management, executive and public performance reporting,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analysis workpapers, source data, variance explanations and approvals, is usually retained for significant matters, but routine monitoring of unexplained variances, stale information, one-sided reporting and overdue corrective action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uses common reporting standards. Reports compare results with targets and trends, explain causes and limitations, identify risks and actions, and reconcile internal and external performance information.</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reporting calendars, analysis templates, variance protocols and disclosure standards cover management, executive and public performance reporting and are maintained through defined review, approval and change-control processes.</w:t>
            </w:r>
          </w:p>
          <w:p>
            <w:pPr>
              <w:pStyle w:val="ListBullet"/>
              <w:keepNext/>
              <w:keepLines/>
              <w:spacing w:before="0" w:after="120"/>
            </w:pPr>
            <w:r>
              <w:rPr>
                <w:rFonts w:ascii="Calibri Light" w:hAnsi="Calibri Light"/>
                <w:b w:val="0"/>
                <w:color w:val="000000"/>
                <w:sz w:val="20"/>
              </w:rPr>
              <w:t>Program, finance, performance, reporting and executive owners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analysis workpapers, source data, variance explanations and approvals,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unexplained variances, stale information, one-sided reporting and overdue corrective action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Reporting supports active management. Executives examine trends, cohorts, cost, quality and outcomes, test explanations and monitor whether corrective action improves results. Public reports are subject to documented quality assurance.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unexplained variances, stale information, one-sided reporting and overdue corrective action, with named owners and timely escalation.</w:t>
            </w:r>
          </w:p>
          <w:p>
            <w:pPr>
              <w:pStyle w:val="ListBullet"/>
              <w:keepNext/>
              <w:keepLines/>
              <w:spacing w:before="0" w:after="120"/>
            </w:pPr>
            <w:r>
              <w:rPr>
                <w:rFonts w:ascii="Calibri Light" w:hAnsi="Calibri Light"/>
                <w:b w:val="0"/>
                <w:color w:val="000000"/>
                <w:sz w:val="20"/>
              </w:rPr>
              <w:t>Risk-based testing confirms whether reporting calendars, analysis templates, variance protocols and disclosure standards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planning, risk, finance, performance and public reporting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Reporting is timely, transparent and insight-led. The agency uses integrated analytics and evaluation evidence to forecast outcomes, communicate uncertainty and support strategic choices. External users can understand performance without specialist assistance.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unexplained variances, stale information, one-sided reporting and overdue corrective action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reporting calendars, analysis templates, variance protocols and disclosure standards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program, finance, performance, reporting and executive owners,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analysis workpapers, source data, variance explanations and approvals,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Reconcile conflicting internal, ministerial, regulatory and public performance reports.</w:t>
      </w:r>
    </w:p>
    <w:p>
      <w:pPr>
        <w:pStyle w:val="ListBullet"/>
        <w:spacing w:before="0" w:after="60" w:line="240" w:lineRule="auto"/>
        <w:ind w:left="397" w:hanging="198"/>
      </w:pPr>
      <w:r>
        <w:rPr>
          <w:rFonts w:ascii="Calibri Light" w:hAnsi="Calibri Light"/>
          <w:color w:val="000000"/>
          <w:sz w:val="20"/>
        </w:rPr>
        <w:t>Introduce minimum commentary requirements covering target variance, trend, cause, consequence, limitation and action.</w:t>
      </w:r>
    </w:p>
    <w:p>
      <w:pPr>
        <w:pStyle w:val="ListBullet"/>
        <w:spacing w:before="0" w:after="60" w:line="240" w:lineRule="auto"/>
        <w:ind w:left="397" w:hanging="198"/>
      </w:pPr>
      <w:r>
        <w:rPr>
          <w:rFonts w:ascii="Calibri Light" w:hAnsi="Calibri Light"/>
          <w:color w:val="000000"/>
          <w:sz w:val="20"/>
        </w:rPr>
        <w:t>Identify reports that contain activity without a clear link to outcomes or decisions.</w:t>
      </w:r>
    </w:p>
    <w:p>
      <w:pPr>
        <w:pStyle w:val="ListBullet"/>
        <w:spacing w:before="0" w:after="60" w:line="240" w:lineRule="auto"/>
        <w:ind w:left="397" w:hanging="198"/>
      </w:pPr>
      <w:r>
        <w:rPr>
          <w:rFonts w:ascii="Calibri Light" w:hAnsi="Calibri Light"/>
          <w:color w:val="000000"/>
          <w:sz w:val="20"/>
        </w:rPr>
        <w:t>Assign accountable owners for the accuracy and completeness of each major report.</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standard management and external reporting templates and definitions.</w:t>
      </w:r>
    </w:p>
    <w:p>
      <w:pPr>
        <w:pStyle w:val="ListBullet"/>
        <w:spacing w:before="0" w:after="60" w:line="240" w:lineRule="auto"/>
        <w:ind w:left="397" w:hanging="198"/>
      </w:pPr>
      <w:r>
        <w:rPr>
          <w:rFonts w:ascii="Calibri Light" w:hAnsi="Calibri Light"/>
          <w:color w:val="000000"/>
          <w:sz w:val="20"/>
        </w:rPr>
        <w:t>Establish quality assurance, certification and evidence-retention requirements before reports are issued.</w:t>
      </w:r>
    </w:p>
    <w:p>
      <w:pPr>
        <w:pStyle w:val="ListBullet"/>
        <w:spacing w:before="0" w:after="60" w:line="240" w:lineRule="auto"/>
        <w:ind w:left="397" w:hanging="198"/>
      </w:pPr>
      <w:r>
        <w:rPr>
          <w:rFonts w:ascii="Calibri Light" w:hAnsi="Calibri Light"/>
          <w:color w:val="000000"/>
          <w:sz w:val="20"/>
        </w:rPr>
        <w:t>Train analysts and program managers in causal analysis, data interpretation and balanced reporting.</w:t>
      </w:r>
    </w:p>
    <w:p>
      <w:pPr>
        <w:pStyle w:val="ListBullet"/>
        <w:spacing w:before="0" w:after="60" w:line="240" w:lineRule="auto"/>
        <w:ind w:left="397" w:hanging="198"/>
      </w:pPr>
      <w:r>
        <w:rPr>
          <w:rFonts w:ascii="Calibri Light" w:hAnsi="Calibri Light"/>
          <w:color w:val="000000"/>
          <w:sz w:val="20"/>
        </w:rPr>
        <w:t>Create a single source of truth for approved performance results.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Use cohort, regional, channel, cost and quality analysis to identify concealed performance differences.</w:t>
      </w:r>
    </w:p>
    <w:p>
      <w:pPr>
        <w:pStyle w:val="ListBullet"/>
        <w:spacing w:before="0" w:after="60" w:line="240" w:lineRule="auto"/>
        <w:ind w:left="397" w:hanging="198"/>
      </w:pPr>
      <w:r>
        <w:rPr>
          <w:rFonts w:ascii="Calibri Light" w:hAnsi="Calibri Light"/>
          <w:color w:val="000000"/>
          <w:sz w:val="20"/>
        </w:rPr>
        <w:t>Track whether management actions following adverse results produce measurable improvement.</w:t>
      </w:r>
    </w:p>
    <w:p>
      <w:pPr>
        <w:pStyle w:val="ListBullet"/>
        <w:spacing w:before="0" w:after="60" w:line="240" w:lineRule="auto"/>
        <w:ind w:left="397" w:hanging="198"/>
      </w:pPr>
      <w:r>
        <w:rPr>
          <w:rFonts w:ascii="Calibri Light" w:hAnsi="Calibri Light"/>
          <w:color w:val="000000"/>
          <w:sz w:val="20"/>
        </w:rPr>
        <w:t>Test key explanations and claims against independent evidence and external factors.</w:t>
      </w:r>
    </w:p>
    <w:p>
      <w:pPr>
        <w:pStyle w:val="ListBullet"/>
        <w:spacing w:before="0" w:after="60" w:line="240" w:lineRule="auto"/>
        <w:ind w:left="397" w:hanging="198"/>
      </w:pPr>
      <w:r>
        <w:rPr>
          <w:rFonts w:ascii="Calibri Light" w:hAnsi="Calibri Light"/>
          <w:color w:val="000000"/>
          <w:sz w:val="20"/>
        </w:rPr>
        <w:t>Provide the audit and risk committee with assurance over material performance reporting risks.</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Introduce forecasting, scenario analysis and leading indicators for major outcomes.</w:t>
      </w:r>
    </w:p>
    <w:p>
      <w:pPr>
        <w:pStyle w:val="ListBullet"/>
        <w:spacing w:before="0" w:after="60" w:line="240" w:lineRule="auto"/>
        <w:ind w:left="397" w:hanging="198"/>
      </w:pPr>
      <w:r>
        <w:rPr>
          <w:rFonts w:ascii="Calibri Light" w:hAnsi="Calibri Light"/>
          <w:color w:val="000000"/>
          <w:sz w:val="20"/>
        </w:rPr>
        <w:t>Publish clearer explanations of uncertainty, data limitations and trade-offs where they affect interpretation.</w:t>
      </w:r>
    </w:p>
    <w:p>
      <w:pPr>
        <w:pStyle w:val="ListBullet"/>
        <w:spacing w:before="0" w:after="60" w:line="240" w:lineRule="auto"/>
        <w:ind w:left="397" w:hanging="198"/>
      </w:pPr>
      <w:r>
        <w:rPr>
          <w:rFonts w:ascii="Calibri Light" w:hAnsi="Calibri Light"/>
          <w:color w:val="000000"/>
          <w:sz w:val="20"/>
        </w:rPr>
        <w:t>Benchmark reporting clarity and usefulness with comparable agencies and user research.</w:t>
      </w:r>
    </w:p>
    <w:p>
      <w:pPr>
        <w:pStyle w:val="ListBullet"/>
        <w:spacing w:before="0" w:after="60" w:line="240" w:lineRule="auto"/>
        <w:ind w:left="397" w:hanging="198"/>
      </w:pPr>
      <w:r>
        <w:rPr>
          <w:rFonts w:ascii="Calibri Light" w:hAnsi="Calibri Light"/>
          <w:color w:val="000000"/>
          <w:sz w:val="20"/>
        </w:rPr>
        <w:t>Integrate performance, evaluation, financial and risk reporting into a coherent public value narrative.</w:t>
      </w:r>
    </w:p>
    <w:p>
      <w:pPr>
        <w:spacing w:after="60"/>
      </w:pPr>
    </w:p>
    <w:p>
      <w:pPr>
        <w:pStyle w:val="Heading1"/>
        <w:keepNext/>
      </w:pPr>
      <w:r>
        <w:rPr>
          <w:rFonts w:ascii="Calibri Light" w:hAnsi="Calibri Light"/>
          <w:color w:val="000000"/>
        </w:rPr>
        <w:t>Topic 3: Risk, Control and Assurance</w:t>
      </w:r>
    </w:p>
    <w:p>
      <w:pPr>
        <w:spacing w:before="0" w:after="120" w:line="240" w:lineRule="auto"/>
      </w:pPr>
      <w:r>
        <w:rPr>
          <w:rFonts w:ascii="Calibri Light" w:hAnsi="Calibri Light"/>
          <w:color w:val="000000"/>
          <w:sz w:val="20"/>
        </w:rPr>
        <w:t>Risk, Control and Assurance assesses whether the agency identifies threats to successful delivery, maintains proportionate controls and obtains reliable assurance that controls and reported results operate as intended.</w:t>
      </w:r>
    </w:p>
    <w:p>
      <w:pPr>
        <w:pStyle w:val="Heading2"/>
        <w:keepNext/>
      </w:pPr>
      <w:r>
        <w:rPr>
          <w:rFonts w:ascii="Calibri Light" w:hAnsi="Calibri Light"/>
          <w:color w:val="000000"/>
        </w:rPr>
        <w:t>Element 11: Enterprise and Program Risk Management</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Strategic, operational, financial, delivery, integrity and reputational risks are actively managed in support of objectives.</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Risk management is compliance-driven or informal. Registers are incomplete, risks are expressed vaguely and controls or owners are unclear. Risk information has little influence on decisions.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enterprise and program risk registers, risk appetite statements and treatment plans; staff depend on local files, memory or informal advice.</w:t>
            </w:r>
          </w:p>
          <w:p>
            <w:pPr>
              <w:pStyle w:val="ListBullet"/>
              <w:keepNext/>
              <w:keepLines/>
              <w:spacing w:before="0" w:after="120"/>
            </w:pPr>
            <w:r>
              <w:rPr>
                <w:rFonts w:ascii="Calibri Light" w:hAnsi="Calibri Light"/>
                <w:b w:val="0"/>
                <w:color w:val="000000"/>
                <w:sz w:val="20"/>
              </w:rPr>
              <w:t>The treatment of strategic, operational, financial, delivery, integrity and reputational risks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the accountable authority, risk owners, control owners and the risk function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risk assessments, treatment updates, control links and risk-acceptance decisions, is incomplete, difficult to retrieve or created retrospectively, while monitoring of risk exposure, overdue treatments, emerging risks and accepted residual risk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The agency has a risk framework and registers for major areas. Application is inconsistent, ratings may not be evidence-based and treatment actions are not always monitored.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enterprise and program risk registers, risk appetite statements and treatment plans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the accountable authority, risk owners, control owners and the risk function,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strategic, operational, financial, delivery, integrity and reputational risks,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risk assessments, treatment updates, control links and risk-acceptance decisions, is usually retained for significant matters, but routine monitoring of risk exposure, overdue treatments, emerging risks and accepted residual risk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Enterprise and program risks are identified using a common method and linked to objectives, causes, consequences, controls, owners, appetite and treatment plans. Material risks are reported through defined governance channels.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enterprise and program risk registers, risk appetite statements and treatment plans cover strategic, operational, financial, delivery, integrity and reputational risks and are maintained through defined review, approval and change-control processes.</w:t>
            </w:r>
          </w:p>
          <w:p>
            <w:pPr>
              <w:pStyle w:val="ListBullet"/>
              <w:keepNext/>
              <w:keepLines/>
              <w:spacing w:before="0" w:after="120"/>
            </w:pPr>
            <w:r>
              <w:rPr>
                <w:rFonts w:ascii="Calibri Light" w:hAnsi="Calibri Light"/>
                <w:b w:val="0"/>
                <w:color w:val="000000"/>
                <w:sz w:val="20"/>
              </w:rPr>
              <w:t>The accountable authority, risk owners, control owners and the risk function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risk assessments, treatment updates, control links and risk-acceptance decisions,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risk exposure, overdue treatments, emerging risks and accepted residual risk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Risk information is tested and used in planning, budgeting, assurance and executive decisions. Control effectiveness, treatment progress, emerging risks and risk interactions are monitored and challenged.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risk exposure, overdue treatments, emerging risks and accepted residual risk, with named owners and timely escalation.</w:t>
            </w:r>
          </w:p>
          <w:p>
            <w:pPr>
              <w:pStyle w:val="ListBullet"/>
              <w:keepNext/>
              <w:keepLines/>
              <w:spacing w:before="0" w:after="120"/>
            </w:pPr>
            <w:r>
              <w:rPr>
                <w:rFonts w:ascii="Calibri Light" w:hAnsi="Calibri Light"/>
                <w:b w:val="0"/>
                <w:color w:val="000000"/>
                <w:sz w:val="20"/>
              </w:rPr>
              <w:t>Risk-based testing confirms whether enterprise and program risk registers, risk appetite statements and treatment plans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planning, budgeting, projects, performance and assurance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Risk management is anticipatory and integrated. The agency uses scenario analysis, external intelligence and advanced analytics to identify systemic and emerging risks and adapt strategy before performance is materially affected.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risk exposure, overdue treatments, emerging risks and accepted residual risk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enterprise and program risk registers, risk appetite statements and treatment plans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the accountable authority, risk owners, control owners and the risk function,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risk assessments, treatment updates, control links and risk-acceptance decisions,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Refresh enterprise and priority program risk registers using clear cause-event-consequence statements.</w:t>
      </w:r>
    </w:p>
    <w:p>
      <w:pPr>
        <w:pStyle w:val="ListBullet"/>
        <w:spacing w:before="0" w:after="60" w:line="240" w:lineRule="auto"/>
        <w:ind w:left="397" w:hanging="198"/>
      </w:pPr>
      <w:r>
        <w:rPr>
          <w:rFonts w:ascii="Calibri Light" w:hAnsi="Calibri Light"/>
          <w:color w:val="000000"/>
          <w:sz w:val="20"/>
        </w:rPr>
        <w:t>Assign accountable risk owners and identify the controls currently relied upon.</w:t>
      </w:r>
    </w:p>
    <w:p>
      <w:pPr>
        <w:pStyle w:val="ListBullet"/>
        <w:spacing w:before="0" w:after="60" w:line="240" w:lineRule="auto"/>
        <w:ind w:left="397" w:hanging="198"/>
      </w:pPr>
      <w:r>
        <w:rPr>
          <w:rFonts w:ascii="Calibri Light" w:hAnsi="Calibri Light"/>
          <w:color w:val="000000"/>
          <w:sz w:val="20"/>
        </w:rPr>
        <w:t>Define interim escalation thresholds for risks outside tolerance or without effective controls.</w:t>
      </w:r>
    </w:p>
    <w:p>
      <w:pPr>
        <w:pStyle w:val="ListBullet"/>
        <w:spacing w:before="0" w:after="60" w:line="240" w:lineRule="auto"/>
        <w:ind w:left="397" w:hanging="198"/>
      </w:pPr>
      <w:r>
        <w:rPr>
          <w:rFonts w:ascii="Calibri Light" w:hAnsi="Calibri Light"/>
          <w:color w:val="000000"/>
          <w:sz w:val="20"/>
        </w:rPr>
        <w:t>Link each priority risk to the objective or outcome it may prevent.</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 consistent risk method covering appetite, rating, treatment, review and escalation.</w:t>
      </w:r>
    </w:p>
    <w:p>
      <w:pPr>
        <w:pStyle w:val="ListBullet"/>
        <w:spacing w:before="0" w:after="60" w:line="240" w:lineRule="auto"/>
        <w:ind w:left="397" w:hanging="198"/>
      </w:pPr>
      <w:r>
        <w:rPr>
          <w:rFonts w:ascii="Calibri Light" w:hAnsi="Calibri Light"/>
          <w:color w:val="000000"/>
          <w:sz w:val="20"/>
        </w:rPr>
        <w:t>Integrate program, project, fraud, integrity, cyber, financial and operational risks where dependencies exist.</w:t>
      </w:r>
    </w:p>
    <w:p>
      <w:pPr>
        <w:pStyle w:val="ListBullet"/>
        <w:spacing w:before="0" w:after="60" w:line="240" w:lineRule="auto"/>
        <w:ind w:left="397" w:hanging="198"/>
      </w:pPr>
      <w:r>
        <w:rPr>
          <w:rFonts w:ascii="Calibri Light" w:hAnsi="Calibri Light"/>
          <w:color w:val="000000"/>
          <w:sz w:val="20"/>
        </w:rPr>
        <w:t>Document control effectiveness assessments and treatment plans with owners and due dates.</w:t>
      </w:r>
    </w:p>
    <w:p>
      <w:pPr>
        <w:pStyle w:val="ListBullet"/>
        <w:spacing w:before="0" w:after="60" w:line="240" w:lineRule="auto"/>
        <w:ind w:left="397" w:hanging="198"/>
      </w:pPr>
      <w:r>
        <w:rPr>
          <w:rFonts w:ascii="Calibri Light" w:hAnsi="Calibri Light"/>
          <w:color w:val="000000"/>
          <w:sz w:val="20"/>
        </w:rPr>
        <w:t>Train executives and managers in risk-based decision-making rather than register maintenance.</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Use assurance testing and incident data to validate risk ratings and control assessments.</w:t>
      </w:r>
    </w:p>
    <w:p>
      <w:pPr>
        <w:pStyle w:val="ListBullet"/>
        <w:spacing w:before="0" w:after="60" w:line="240" w:lineRule="auto"/>
        <w:ind w:left="397" w:hanging="198"/>
      </w:pPr>
      <w:r>
        <w:rPr>
          <w:rFonts w:ascii="Calibri Light" w:hAnsi="Calibri Light"/>
          <w:color w:val="000000"/>
          <w:sz w:val="20"/>
        </w:rPr>
        <w:t>Analyse overdue treatments, repeated incidents and risk interdependencies for systemic causes.</w:t>
      </w:r>
    </w:p>
    <w:p>
      <w:pPr>
        <w:pStyle w:val="ListBullet"/>
        <w:spacing w:before="0" w:after="60" w:line="240" w:lineRule="auto"/>
        <w:ind w:left="397" w:hanging="198"/>
      </w:pPr>
      <w:r>
        <w:rPr>
          <w:rFonts w:ascii="Calibri Light" w:hAnsi="Calibri Light"/>
          <w:color w:val="000000"/>
          <w:sz w:val="20"/>
        </w:rPr>
        <w:t>Incorporate risk into budget, procurement, workforce, project and performance decisions.</w:t>
      </w:r>
    </w:p>
    <w:p>
      <w:pPr>
        <w:pStyle w:val="ListBullet"/>
        <w:spacing w:before="0" w:after="60" w:line="240" w:lineRule="auto"/>
        <w:ind w:left="397" w:hanging="198"/>
      </w:pPr>
      <w:r>
        <w:rPr>
          <w:rFonts w:ascii="Calibri Light" w:hAnsi="Calibri Light"/>
          <w:color w:val="000000"/>
          <w:sz w:val="20"/>
        </w:rPr>
        <w:t>Report material changes and accepted residual risks to the accountable authority and audit and risk committee.</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Use horizon scanning, scenarios and stress testing for major strategic and service-delivery risks.</w:t>
      </w:r>
    </w:p>
    <w:p>
      <w:pPr>
        <w:pStyle w:val="ListBullet"/>
        <w:spacing w:before="0" w:after="60" w:line="240" w:lineRule="auto"/>
        <w:ind w:left="397" w:hanging="198"/>
      </w:pPr>
      <w:r>
        <w:rPr>
          <w:rFonts w:ascii="Calibri Light" w:hAnsi="Calibri Light"/>
          <w:color w:val="000000"/>
          <w:sz w:val="20"/>
        </w:rPr>
        <w:t>Apply risk analytics and leading indicators to detect deteriorating conditions earlier.</w:t>
      </w:r>
    </w:p>
    <w:p>
      <w:pPr>
        <w:pStyle w:val="ListBullet"/>
        <w:spacing w:before="0" w:after="60" w:line="240" w:lineRule="auto"/>
        <w:ind w:left="397" w:hanging="198"/>
      </w:pPr>
      <w:r>
        <w:rPr>
          <w:rFonts w:ascii="Calibri Light" w:hAnsi="Calibri Light"/>
          <w:color w:val="000000"/>
          <w:sz w:val="20"/>
        </w:rPr>
        <w:t>Benchmark risk appetite and treatment effectiveness against comparable agencies.</w:t>
      </w:r>
    </w:p>
    <w:p>
      <w:pPr>
        <w:pStyle w:val="ListBullet"/>
        <w:spacing w:before="0" w:after="60" w:line="240" w:lineRule="auto"/>
        <w:ind w:left="397" w:hanging="198"/>
      </w:pPr>
      <w:r>
        <w:rPr>
          <w:rFonts w:ascii="Calibri Light" w:hAnsi="Calibri Light"/>
          <w:color w:val="000000"/>
          <w:sz w:val="20"/>
        </w:rPr>
        <w:t>Use independent reviews to test whether risk culture supports candid escalation and informed risk-taking.</w:t>
      </w:r>
    </w:p>
    <w:p>
      <w:pPr>
        <w:spacing w:after="60"/>
      </w:pPr>
    </w:p>
    <w:p>
      <w:pPr>
        <w:pStyle w:val="Heading2"/>
        <w:keepNext/>
      </w:pPr>
      <w:r>
        <w:rPr>
          <w:rFonts w:ascii="Calibri Light" w:hAnsi="Calibri Light"/>
          <w:color w:val="000000"/>
        </w:rPr>
        <w:t>Element 12: Internal Control Design and Operation</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Controls are proportionate to risk, embedded in processes, evidenced and tested for both design and operating effectiveness.</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Controls are undocumented, inconsistent or dependent on experienced staff. Management assumes that procedures operate but cannot demonstrate control performance.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internal control frameworks, control libraries, risk-control matrices and testing plans; staff depend on local files, memory or informal advice.</w:t>
            </w:r>
          </w:p>
          <w:p>
            <w:pPr>
              <w:pStyle w:val="ListBullet"/>
              <w:keepNext/>
              <w:keepLines/>
              <w:spacing w:before="0" w:after="120"/>
            </w:pPr>
            <w:r>
              <w:rPr>
                <w:rFonts w:ascii="Calibri Light" w:hAnsi="Calibri Light"/>
                <w:b w:val="0"/>
                <w:color w:val="000000"/>
                <w:sz w:val="20"/>
              </w:rPr>
              <w:t>The treatment of material processes, transactions and risks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process owners, control owners, the risk function and internal audit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control execution records, testing results, exceptions and remediation evidence, is incomplete, difficult to retrieve or created retrospectively, while monitoring of control failures, overrides, segregation conflicts and recurring exceptions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Key controls have been identified in some high-risk areas. Procedures exist, although ownership, frequency, evidence and exception handling are not consistently specified.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internal control frameworks, control libraries, risk-control matrices and testing plans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process owners, control owners, the risk function and internal audit,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material processes, transactions and risks,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control execution records, testing results, exceptions and remediation evidence, is usually retained for significant matters, but routine monitoring of control failures, overrides, segregation conflicts and recurring exceptions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Material processes have documented control objectives, control owners, frequency, evidence requirements and escalation. Preventive and detective controls are embedded in approved workflows and supported by segregation of duties.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internal control frameworks, control libraries, risk-control matrices and testing plans cover material processes, transactions and risks and are maintained through defined review, approval and change-control processes.</w:t>
            </w:r>
          </w:p>
          <w:p>
            <w:pPr>
              <w:pStyle w:val="ListBullet"/>
              <w:keepNext/>
              <w:keepLines/>
              <w:spacing w:before="0" w:after="120"/>
            </w:pPr>
            <w:r>
              <w:rPr>
                <w:rFonts w:ascii="Calibri Light" w:hAnsi="Calibri Light"/>
                <w:b w:val="0"/>
                <w:color w:val="000000"/>
                <w:sz w:val="20"/>
              </w:rPr>
              <w:t>Process owners, control owners, the risk function and internal audit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control execution records, testing results, exceptions and remediation evidence,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control failures, overrides, segregation conflicts and recurring exceptions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Control effectiveness is monitored through testing, exception analysis and assurance. Deficiencies are risk-rated, remediated and reported. Management distinguishes between control design failure and operating failure.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control failures, overrides, segregation conflicts and recurring exceptions, with named owners and timely escalation.</w:t>
            </w:r>
          </w:p>
          <w:p>
            <w:pPr>
              <w:pStyle w:val="ListBullet"/>
              <w:keepNext/>
              <w:keepLines/>
              <w:spacing w:before="0" w:after="120"/>
            </w:pPr>
            <w:r>
              <w:rPr>
                <w:rFonts w:ascii="Calibri Light" w:hAnsi="Calibri Light"/>
                <w:b w:val="0"/>
                <w:color w:val="000000"/>
                <w:sz w:val="20"/>
              </w:rPr>
              <w:t>Risk-based testing confirms whether internal control frameworks, control libraries, risk-control matrices and testing plans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operational workflows, risk registers, assurance and issue management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The control environment is streamlined and continuously monitored. Automation, data analytics and independent assurance provide timely confidence while redundant or low-value controls are removed.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control failures, overrides, segregation conflicts and recurring exceptions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internal control frameworks, control libraries, risk-control matrices and testing plans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process owners, control owners, the risk function and internal audit,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control execution records, testing results, exceptions and remediation evidence,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Identify critical processes and document the key controls currently relied upon.</w:t>
      </w:r>
    </w:p>
    <w:p>
      <w:pPr>
        <w:pStyle w:val="ListBullet"/>
        <w:spacing w:before="0" w:after="60" w:line="240" w:lineRule="auto"/>
        <w:ind w:left="397" w:hanging="198"/>
      </w:pPr>
      <w:r>
        <w:rPr>
          <w:rFonts w:ascii="Calibri Light" w:hAnsi="Calibri Light"/>
          <w:color w:val="000000"/>
          <w:sz w:val="20"/>
        </w:rPr>
        <w:t>Assign a control owner and specify the evidence that proves each control operated.</w:t>
      </w:r>
    </w:p>
    <w:p>
      <w:pPr>
        <w:pStyle w:val="ListBullet"/>
        <w:spacing w:before="0" w:after="60" w:line="240" w:lineRule="auto"/>
        <w:ind w:left="397" w:hanging="198"/>
      </w:pPr>
      <w:r>
        <w:rPr>
          <w:rFonts w:ascii="Calibri Light" w:hAnsi="Calibri Light"/>
          <w:color w:val="000000"/>
          <w:sz w:val="20"/>
        </w:rPr>
        <w:t>Address immediate segregation-of-duties, approval and access weaknesses in high-risk processes.</w:t>
      </w:r>
    </w:p>
    <w:p>
      <w:pPr>
        <w:pStyle w:val="ListBullet"/>
        <w:spacing w:before="0" w:after="60" w:line="240" w:lineRule="auto"/>
        <w:ind w:left="397" w:hanging="198"/>
      </w:pPr>
      <w:r>
        <w:rPr>
          <w:rFonts w:ascii="Calibri Light" w:hAnsi="Calibri Light"/>
          <w:color w:val="000000"/>
          <w:sz w:val="20"/>
        </w:rPr>
        <w:t>Introduce an interim control exception and incident log.</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Create risk and control matrices for material processes and approve control design standards.</w:t>
      </w:r>
    </w:p>
    <w:p>
      <w:pPr>
        <w:pStyle w:val="ListBullet"/>
        <w:spacing w:before="0" w:after="60" w:line="240" w:lineRule="auto"/>
        <w:ind w:left="397" w:hanging="198"/>
      </w:pPr>
      <w:r>
        <w:rPr>
          <w:rFonts w:ascii="Calibri Light" w:hAnsi="Calibri Light"/>
          <w:color w:val="000000"/>
          <w:sz w:val="20"/>
        </w:rPr>
        <w:t>Embed control steps and evidence capture into procedures and system workflows.</w:t>
      </w:r>
    </w:p>
    <w:p>
      <w:pPr>
        <w:pStyle w:val="ListBullet"/>
        <w:spacing w:before="0" w:after="60" w:line="240" w:lineRule="auto"/>
        <w:ind w:left="397" w:hanging="198"/>
      </w:pPr>
      <w:r>
        <w:rPr>
          <w:rFonts w:ascii="Calibri Light" w:hAnsi="Calibri Light"/>
          <w:color w:val="000000"/>
          <w:sz w:val="20"/>
        </w:rPr>
        <w:t>Define frequency, thresholds, escalation and backup arrangements for each key control.</w:t>
      </w:r>
    </w:p>
    <w:p>
      <w:pPr>
        <w:pStyle w:val="ListBullet"/>
        <w:spacing w:before="0" w:after="60" w:line="240" w:lineRule="auto"/>
        <w:ind w:left="397" w:hanging="198"/>
      </w:pPr>
      <w:r>
        <w:rPr>
          <w:rFonts w:ascii="Calibri Light" w:hAnsi="Calibri Light"/>
          <w:color w:val="000000"/>
          <w:sz w:val="20"/>
        </w:rPr>
        <w:t>Train control owners and supervisors in documenting and responding to control failures.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Establish a risk-based control testing program covering design and operating effectiveness.</w:t>
      </w:r>
    </w:p>
    <w:p>
      <w:pPr>
        <w:pStyle w:val="ListBullet"/>
        <w:spacing w:before="0" w:after="60" w:line="240" w:lineRule="auto"/>
        <w:ind w:left="397" w:hanging="198"/>
      </w:pPr>
      <w:r>
        <w:rPr>
          <w:rFonts w:ascii="Calibri Light" w:hAnsi="Calibri Light"/>
          <w:color w:val="000000"/>
          <w:sz w:val="20"/>
        </w:rPr>
        <w:t>Track deficiencies, root causes, remediation dates and accepted residual risk.</w:t>
      </w:r>
    </w:p>
    <w:p>
      <w:pPr>
        <w:pStyle w:val="ListBullet"/>
        <w:spacing w:before="0" w:after="60" w:line="240" w:lineRule="auto"/>
        <w:ind w:left="397" w:hanging="198"/>
      </w:pPr>
      <w:r>
        <w:rPr>
          <w:rFonts w:ascii="Calibri Light" w:hAnsi="Calibri Light"/>
          <w:color w:val="000000"/>
          <w:sz w:val="20"/>
        </w:rPr>
        <w:t>Report significant or recurring control failures to executive governance and the audit and risk committee.</w:t>
      </w:r>
    </w:p>
    <w:p>
      <w:pPr>
        <w:pStyle w:val="ListBullet"/>
        <w:spacing w:before="0" w:after="60" w:line="240" w:lineRule="auto"/>
        <w:ind w:left="397" w:hanging="198"/>
      </w:pPr>
      <w:r>
        <w:rPr>
          <w:rFonts w:ascii="Calibri Light" w:hAnsi="Calibri Light"/>
          <w:color w:val="000000"/>
          <w:sz w:val="20"/>
        </w:rPr>
        <w:t>Use exception data to refine controls and remove unnecessary manual duplication.</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Automate high-volume controls and continuous monitoring where justified by risk.</w:t>
      </w:r>
    </w:p>
    <w:p>
      <w:pPr>
        <w:pStyle w:val="ListBullet"/>
        <w:spacing w:before="0" w:after="60" w:line="240" w:lineRule="auto"/>
        <w:ind w:left="397" w:hanging="198"/>
      </w:pPr>
      <w:r>
        <w:rPr>
          <w:rFonts w:ascii="Calibri Light" w:hAnsi="Calibri Light"/>
          <w:color w:val="000000"/>
          <w:sz w:val="20"/>
        </w:rPr>
        <w:t>Use analytics to detect anomalous transactions, access patterns and control overrides.</w:t>
      </w:r>
    </w:p>
    <w:p>
      <w:pPr>
        <w:pStyle w:val="ListBullet"/>
        <w:spacing w:before="0" w:after="60" w:line="240" w:lineRule="auto"/>
        <w:ind w:left="397" w:hanging="198"/>
      </w:pPr>
      <w:r>
        <w:rPr>
          <w:rFonts w:ascii="Calibri Light" w:hAnsi="Calibri Light"/>
          <w:color w:val="000000"/>
          <w:sz w:val="20"/>
        </w:rPr>
        <w:t>Commission independent reviews of control frameworks in critical service and financial processes.</w:t>
      </w:r>
    </w:p>
    <w:p>
      <w:pPr>
        <w:pStyle w:val="ListBullet"/>
        <w:spacing w:before="0" w:after="60" w:line="240" w:lineRule="auto"/>
        <w:ind w:left="397" w:hanging="198"/>
      </w:pPr>
      <w:r>
        <w:rPr>
          <w:rFonts w:ascii="Calibri Light" w:hAnsi="Calibri Light"/>
          <w:color w:val="000000"/>
          <w:sz w:val="20"/>
        </w:rPr>
        <w:t>Benchmark control cost and effectiveness and rationalise controls that do not materially reduce risk.</w:t>
      </w:r>
    </w:p>
    <w:p>
      <w:pPr>
        <w:spacing w:after="60"/>
      </w:pPr>
    </w:p>
    <w:p>
      <w:pPr>
        <w:pStyle w:val="Heading2"/>
        <w:keepNext/>
      </w:pPr>
      <w:r>
        <w:rPr>
          <w:rFonts w:ascii="Calibri Light" w:hAnsi="Calibri Light"/>
          <w:color w:val="000000"/>
        </w:rPr>
        <w:t>Element 13: Legislative and Policy Compliance</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Legal, regulatory, government policy and internal mandatory obligations are identified, allocated, monitored and evidenced.</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Compliance relies on individual awareness and reactive legal advice. Obligations are not comprehensively identified and breaches may be discovered through complaints, incidents or audit.</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obligations registers, compliance plans, attestation schedules and breach registers; staff depend on local files, memory or informal advice.</w:t>
            </w:r>
          </w:p>
          <w:p>
            <w:pPr>
              <w:pStyle w:val="ListBullet"/>
              <w:keepNext/>
              <w:keepLines/>
              <w:spacing w:before="0" w:after="120"/>
            </w:pPr>
            <w:r>
              <w:rPr>
                <w:rFonts w:ascii="Calibri Light" w:hAnsi="Calibri Light"/>
                <w:b w:val="0"/>
                <w:color w:val="000000"/>
                <w:sz w:val="20"/>
              </w:rPr>
              <w:t>The treatment of legal, regulatory, government policy and internal mandatory obligations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obligation owners, legal advisers, compliance staff and executives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compliance checks, attestations, advice, breach records and remedial actions, is incomplete, difficult to retrieve or created retrospectively, while monitoring of obligation changes, overdue actions, breaches and remediation progress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The agency maintains partial obligation registers and provides general guidance. Ownership and monitoring vary, and policy changes are not always translated into operational controls.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obligations registers, compliance plans, attestation schedules and breach registers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obligation owners, legal advisers, compliance staff and executives,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legal, regulatory, government policy and internal mandatory obligations,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compliance checks, attestations, advice, breach records and remedial actions, is usually retained for significant matters, but routine monitoring of obligation changes, overdue actions, breaches and remediation progress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has a controlled compliance framework. Material obligations are mapped to owners, processes, controls, evidence, reporting and breach management. Changes are assessed and implemented through defined procedures.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obligations registers, compliance plans, attestation schedules and breach registers cover legal, regulatory, government policy and internal mandatory obligations and are maintained through defined review, approval and change-control processes.</w:t>
            </w:r>
          </w:p>
          <w:p>
            <w:pPr>
              <w:pStyle w:val="ListBullet"/>
              <w:keepNext/>
              <w:keepLines/>
              <w:spacing w:before="0" w:after="120"/>
            </w:pPr>
            <w:r>
              <w:rPr>
                <w:rFonts w:ascii="Calibri Light" w:hAnsi="Calibri Light"/>
                <w:b w:val="0"/>
                <w:color w:val="000000"/>
                <w:sz w:val="20"/>
              </w:rPr>
              <w:t>Obligation owners, legal advisers, compliance staff and executives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compliance checks, attestations, advice, breach records and remedial actions,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obligation changes, overdue actions, breaches and remediation progress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Compliance performance is monitored through attestations, testing, incidents and trend analysis. Material breaches and near misses are escalated, investigated and used to strengthen controls and policy implementation.</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obligation changes, overdue actions, breaches and remediation progress, with named owners and timely escalation.</w:t>
            </w:r>
          </w:p>
          <w:p>
            <w:pPr>
              <w:pStyle w:val="ListBullet"/>
              <w:keepNext/>
              <w:keepLines/>
              <w:spacing w:before="0" w:after="120"/>
            </w:pPr>
            <w:r>
              <w:rPr>
                <w:rFonts w:ascii="Calibri Light" w:hAnsi="Calibri Light"/>
                <w:b w:val="0"/>
                <w:color w:val="000000"/>
                <w:sz w:val="20"/>
              </w:rPr>
              <w:t>Risk-based testing confirms whether obligations registers, compliance plans, attestation schedules and breach registers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policy management, risk, controls, training and assurance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Compliance management is proactive and integrated with regulatory intelligence, risk and assurance. The agency anticipates change, tests implementation outcomes and can demonstrate a culture that values substance rather than formal compliance alone.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obligation changes, overdue actions, breaches and remediation progress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obligations registers, compliance plans, attestation schedules and breach registers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obligation owners, legal advisers, compliance staff and executives,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compliance checks, attestations, advice, breach records and remedial actions,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Identify the legislation, regulations, directions and mandatory policies applying to priority functions.</w:t>
      </w:r>
    </w:p>
    <w:p>
      <w:pPr>
        <w:pStyle w:val="ListBullet"/>
        <w:spacing w:before="0" w:after="60" w:line="240" w:lineRule="auto"/>
        <w:ind w:left="397" w:hanging="198"/>
      </w:pPr>
      <w:r>
        <w:rPr>
          <w:rFonts w:ascii="Calibri Light" w:hAnsi="Calibri Light"/>
          <w:color w:val="000000"/>
          <w:sz w:val="20"/>
        </w:rPr>
        <w:t>Assign interim obligation owners and establish a central breach-notification channel.</w:t>
      </w:r>
    </w:p>
    <w:p>
      <w:pPr>
        <w:pStyle w:val="ListBullet"/>
        <w:spacing w:before="0" w:after="60" w:line="240" w:lineRule="auto"/>
        <w:ind w:left="397" w:hanging="198"/>
      </w:pPr>
      <w:r>
        <w:rPr>
          <w:rFonts w:ascii="Calibri Light" w:hAnsi="Calibri Light"/>
          <w:color w:val="000000"/>
          <w:sz w:val="20"/>
        </w:rPr>
        <w:t>Map high-risk obligations to current procedures and identify missing or weak controls.</w:t>
      </w:r>
    </w:p>
    <w:p>
      <w:pPr>
        <w:pStyle w:val="ListBullet"/>
        <w:spacing w:before="0" w:after="60" w:line="240" w:lineRule="auto"/>
        <w:ind w:left="397" w:hanging="198"/>
      </w:pPr>
      <w:r>
        <w:rPr>
          <w:rFonts w:ascii="Calibri Light" w:hAnsi="Calibri Light"/>
          <w:color w:val="000000"/>
          <w:sz w:val="20"/>
        </w:rPr>
        <w:t>Review known incidents, complaints and audit findings for unreported compliance failures.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 compliance framework and controlled obligation register.</w:t>
      </w:r>
    </w:p>
    <w:p>
      <w:pPr>
        <w:pStyle w:val="ListBullet"/>
        <w:spacing w:before="0" w:after="60" w:line="240" w:lineRule="auto"/>
        <w:ind w:left="397" w:hanging="198"/>
      </w:pPr>
      <w:r>
        <w:rPr>
          <w:rFonts w:ascii="Calibri Light" w:hAnsi="Calibri Light"/>
          <w:color w:val="000000"/>
          <w:sz w:val="20"/>
        </w:rPr>
        <w:t>Define change-management, legal interpretation, training, monitoring and breach-investigation requirements.</w:t>
      </w:r>
    </w:p>
    <w:p>
      <w:pPr>
        <w:pStyle w:val="ListBullet"/>
        <w:spacing w:before="0" w:after="60" w:line="240" w:lineRule="auto"/>
        <w:ind w:left="397" w:hanging="198"/>
      </w:pPr>
      <w:r>
        <w:rPr>
          <w:rFonts w:ascii="Calibri Light" w:hAnsi="Calibri Light"/>
          <w:color w:val="000000"/>
          <w:sz w:val="20"/>
        </w:rPr>
        <w:t>Link obligations to process owners, controls, evidence and reporting schedules.</w:t>
      </w:r>
    </w:p>
    <w:p>
      <w:pPr>
        <w:pStyle w:val="ListBullet"/>
        <w:spacing w:before="0" w:after="60" w:line="240" w:lineRule="auto"/>
        <w:ind w:left="397" w:hanging="198"/>
      </w:pPr>
      <w:r>
        <w:rPr>
          <w:rFonts w:ascii="Calibri Light" w:hAnsi="Calibri Light"/>
          <w:color w:val="000000"/>
          <w:sz w:val="20"/>
        </w:rPr>
        <w:t>Require formal implementation plans for material legislative and policy changes.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Conduct risk-based compliance testing and management attestations.</w:t>
      </w:r>
    </w:p>
    <w:p>
      <w:pPr>
        <w:pStyle w:val="ListBullet"/>
        <w:spacing w:before="0" w:after="60" w:line="240" w:lineRule="auto"/>
        <w:ind w:left="397" w:hanging="198"/>
      </w:pPr>
      <w:r>
        <w:rPr>
          <w:rFonts w:ascii="Calibri Light" w:hAnsi="Calibri Light"/>
          <w:color w:val="000000"/>
          <w:sz w:val="20"/>
        </w:rPr>
        <w:t>Analyse breaches and near misses for recurring causes and control weaknesses.</w:t>
      </w:r>
    </w:p>
    <w:p>
      <w:pPr>
        <w:pStyle w:val="ListBullet"/>
        <w:spacing w:before="0" w:after="60" w:line="240" w:lineRule="auto"/>
        <w:ind w:left="397" w:hanging="198"/>
      </w:pPr>
      <w:r>
        <w:rPr>
          <w:rFonts w:ascii="Calibri Light" w:hAnsi="Calibri Light"/>
          <w:color w:val="000000"/>
          <w:sz w:val="20"/>
        </w:rPr>
        <w:t>Report material compliance exposures and remediation to the executive and audit and risk committee.</w:t>
      </w:r>
    </w:p>
    <w:p>
      <w:pPr>
        <w:pStyle w:val="ListBullet"/>
        <w:spacing w:before="0" w:after="60" w:line="240" w:lineRule="auto"/>
        <w:ind w:left="397" w:hanging="198"/>
      </w:pPr>
      <w:r>
        <w:rPr>
          <w:rFonts w:ascii="Calibri Light" w:hAnsi="Calibri Light"/>
          <w:color w:val="000000"/>
          <w:sz w:val="20"/>
        </w:rPr>
        <w:t>Verify that policy changes are operating in practice rather than merely documented.</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Introduce regulatory horizon scanning and impact assessment across the agency.</w:t>
      </w:r>
    </w:p>
    <w:p>
      <w:pPr>
        <w:pStyle w:val="ListBullet"/>
        <w:spacing w:before="0" w:after="60" w:line="240" w:lineRule="auto"/>
        <w:ind w:left="397" w:hanging="198"/>
      </w:pPr>
      <w:r>
        <w:rPr>
          <w:rFonts w:ascii="Calibri Light" w:hAnsi="Calibri Light"/>
          <w:color w:val="000000"/>
          <w:sz w:val="20"/>
        </w:rPr>
        <w:t>Use compliance analytics and automated alerts for high-volume obligations.</w:t>
      </w:r>
    </w:p>
    <w:p>
      <w:pPr>
        <w:pStyle w:val="ListBullet"/>
        <w:spacing w:before="0" w:after="60" w:line="240" w:lineRule="auto"/>
        <w:ind w:left="397" w:hanging="198"/>
      </w:pPr>
      <w:r>
        <w:rPr>
          <w:rFonts w:ascii="Calibri Light" w:hAnsi="Calibri Light"/>
          <w:color w:val="000000"/>
          <w:sz w:val="20"/>
        </w:rPr>
        <w:t>Benchmark compliance maturity and incident patterns against comparable agencies.</w:t>
      </w:r>
    </w:p>
    <w:p>
      <w:pPr>
        <w:pStyle w:val="ListBullet"/>
        <w:spacing w:before="0" w:after="60" w:line="240" w:lineRule="auto"/>
        <w:ind w:left="397" w:hanging="198"/>
      </w:pPr>
      <w:r>
        <w:rPr>
          <w:rFonts w:ascii="Calibri Light" w:hAnsi="Calibri Light"/>
          <w:color w:val="000000"/>
          <w:sz w:val="20"/>
        </w:rPr>
        <w:t>Commission independent reviews of high-risk or publicly sensitive compliance regimes.</w:t>
      </w:r>
    </w:p>
    <w:p>
      <w:pPr>
        <w:spacing w:after="60"/>
      </w:pPr>
    </w:p>
    <w:p>
      <w:pPr>
        <w:pStyle w:val="Heading2"/>
        <w:keepNext/>
      </w:pPr>
      <w:r>
        <w:rPr>
          <w:rFonts w:ascii="Calibri Light" w:hAnsi="Calibri Light"/>
          <w:color w:val="000000"/>
        </w:rPr>
        <w:t>Element 14: Internal Audit and Assurance Coordination</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Assurance activity is risk-based, coordinated and capable of providing the accountable authority with a coherent view of significant controls and performance risks.</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Assurance is fragmented and reactive. Internal audit coverage is limited or driven by immediate concerns. Management cannot identify assurance gaps, duplication or the reliability of different assurance sources.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assurance maps, annual assurance plans, assurance calendars and reliance protocols; staff depend on local files, memory or informal advice.</w:t>
            </w:r>
          </w:p>
          <w:p>
            <w:pPr>
              <w:pStyle w:val="ListBullet"/>
              <w:keepNext/>
              <w:keepLines/>
              <w:spacing w:before="0" w:after="120"/>
            </w:pPr>
            <w:r>
              <w:rPr>
                <w:rFonts w:ascii="Calibri Light" w:hAnsi="Calibri Light"/>
                <w:b w:val="0"/>
                <w:color w:val="000000"/>
                <w:sz w:val="20"/>
              </w:rPr>
              <w:t>The treatment of internal audit, risk, compliance, evaluation, quality and external review activity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the audit and risk committee, internal audit, assurance providers and executives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assurance plans, reports, coverage maps and follow-up records, is incomplete, difficult to retrieve or created retrospectively, while monitoring of assurance gaps, duplication, overdue reviews and unresolved findings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An internal audit plan and some assurance activities exist. Coordination is informal and plans may not clearly reflect enterprise risks, performance information or external audit priorities.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assurance maps, annual assurance plans, assurance calendars and reliance protocols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the audit and risk committee, internal audit, assurance providers and executives,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internal audit, risk, compliance, evaluation, quality and external review activity,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assurance plans, reports, coverage maps and follow-up records, is usually retained for significant matters, but routine monitoring of assurance gaps, duplication, overdue reviews and unresolved findings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maintains an assurance map linking significant risks and controls to management review, compliance, quality, evaluation, internal audit and external assurance. Internal audit planning is risk-based and approved through proper governance.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assurance maps, annual assurance plans, assurance calendars and reliance protocols cover internal audit, risk, compliance, evaluation, quality and external review activity and are maintained through defined review, approval and change-control processes.</w:t>
            </w:r>
          </w:p>
          <w:p>
            <w:pPr>
              <w:pStyle w:val="ListBullet"/>
              <w:keepNext/>
              <w:keepLines/>
              <w:spacing w:before="0" w:after="120"/>
            </w:pPr>
            <w:r>
              <w:rPr>
                <w:rFonts w:ascii="Calibri Light" w:hAnsi="Calibri Light"/>
                <w:b w:val="0"/>
                <w:color w:val="000000"/>
                <w:sz w:val="20"/>
              </w:rPr>
              <w:t>The audit and risk committee, internal audit, assurance providers and executives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assurance plans, reports, coverage maps and follow-up records,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assurance gaps, duplication, overdue reviews and unresolved findings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Assurance coverage, quality and findings are analysed collectively. The audit and risk committee receives a coherent view of assurance gaps, systemic issues, overdue actions and management attestations.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assurance gaps, duplication, overdue reviews and unresolved findings, with named owners and timely escalation.</w:t>
            </w:r>
          </w:p>
          <w:p>
            <w:pPr>
              <w:pStyle w:val="ListBullet"/>
              <w:keepNext/>
              <w:keepLines/>
              <w:spacing w:before="0" w:after="120"/>
            </w:pPr>
            <w:r>
              <w:rPr>
                <w:rFonts w:ascii="Calibri Light" w:hAnsi="Calibri Light"/>
                <w:b w:val="0"/>
                <w:color w:val="000000"/>
                <w:sz w:val="20"/>
              </w:rPr>
              <w:t>Risk-based testing confirms whether assurance maps, annual assurance plans, assurance calendars and reliance protocols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risk, internal control, performance and committee oversight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Assurance is integrated, adaptive and outcome-focused. The agency uses combined assurance, data-enabled auditing and external benchmarking to concentrate independent work on the areas of greatest uncertainty and public significance.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assurance gaps, duplication, overdue reviews and unresolved findings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assurance maps, annual assurance plans, assurance calendars and reliance protocols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the audit and risk committee, internal audit, assurance providers and executives,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assurance plans, reports, coverage maps and follow-up records,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Inventory current assurance activities, providers, scope, frequency, findings and reporting lines.</w:t>
      </w:r>
    </w:p>
    <w:p>
      <w:pPr>
        <w:pStyle w:val="ListBullet"/>
        <w:spacing w:before="0" w:after="60" w:line="240" w:lineRule="auto"/>
        <w:ind w:left="397" w:hanging="198"/>
      </w:pPr>
      <w:r>
        <w:rPr>
          <w:rFonts w:ascii="Calibri Light" w:hAnsi="Calibri Light"/>
          <w:color w:val="000000"/>
          <w:sz w:val="20"/>
        </w:rPr>
        <w:t>Map existing assurance against the agency’s most significant risks and controls.</w:t>
      </w:r>
    </w:p>
    <w:p>
      <w:pPr>
        <w:pStyle w:val="ListBullet"/>
        <w:spacing w:before="0" w:after="60" w:line="240" w:lineRule="auto"/>
        <w:ind w:left="397" w:hanging="198"/>
      </w:pPr>
      <w:r>
        <w:rPr>
          <w:rFonts w:ascii="Calibri Light" w:hAnsi="Calibri Light"/>
          <w:color w:val="000000"/>
          <w:sz w:val="20"/>
        </w:rPr>
        <w:t>Identify critical areas with no independent assurance and areas subject to unnecessary duplication.</w:t>
      </w:r>
    </w:p>
    <w:p>
      <w:pPr>
        <w:pStyle w:val="ListBullet"/>
        <w:spacing w:before="0" w:after="60" w:line="240" w:lineRule="auto"/>
        <w:ind w:left="397" w:hanging="198"/>
      </w:pPr>
      <w:r>
        <w:rPr>
          <w:rFonts w:ascii="Calibri Light" w:hAnsi="Calibri Light"/>
          <w:color w:val="000000"/>
          <w:sz w:val="20"/>
        </w:rPr>
        <w:t>Align the next internal audit plan with priority risks and likely external scrutiny.</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an enterprise assurance framework and assurance map.</w:t>
      </w:r>
    </w:p>
    <w:p>
      <w:pPr>
        <w:pStyle w:val="ListBullet"/>
        <w:spacing w:before="0" w:after="60" w:line="240" w:lineRule="auto"/>
        <w:ind w:left="397" w:hanging="198"/>
      </w:pPr>
      <w:r>
        <w:rPr>
          <w:rFonts w:ascii="Calibri Light" w:hAnsi="Calibri Light"/>
          <w:color w:val="000000"/>
          <w:sz w:val="20"/>
        </w:rPr>
        <w:t>Define assurance roles for management, risk, compliance, quality, evaluation, internal audit and external reviewers.</w:t>
      </w:r>
    </w:p>
    <w:p>
      <w:pPr>
        <w:pStyle w:val="ListBullet"/>
        <w:spacing w:before="0" w:after="60" w:line="240" w:lineRule="auto"/>
        <w:ind w:left="397" w:hanging="198"/>
      </w:pPr>
      <w:r>
        <w:rPr>
          <w:rFonts w:ascii="Calibri Light" w:hAnsi="Calibri Light"/>
          <w:color w:val="000000"/>
          <w:sz w:val="20"/>
        </w:rPr>
        <w:t>Set standards for assurance evidence, reporting, independence and escalation.</w:t>
      </w:r>
    </w:p>
    <w:p>
      <w:pPr>
        <w:pStyle w:val="ListBullet"/>
        <w:spacing w:before="0" w:after="60" w:line="240" w:lineRule="auto"/>
        <w:ind w:left="397" w:hanging="198"/>
      </w:pPr>
      <w:r>
        <w:rPr>
          <w:rFonts w:ascii="Calibri Light" w:hAnsi="Calibri Light"/>
          <w:color w:val="000000"/>
          <w:sz w:val="20"/>
        </w:rPr>
        <w:t>Establish regular coordination between assurance providers and program owners.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Report assurance coverage, gaps, themes and overdue findings to the audit and risk committee.</w:t>
      </w:r>
    </w:p>
    <w:p>
      <w:pPr>
        <w:pStyle w:val="ListBullet"/>
        <w:spacing w:before="0" w:after="60" w:line="240" w:lineRule="auto"/>
        <w:ind w:left="397" w:hanging="198"/>
      </w:pPr>
      <w:r>
        <w:rPr>
          <w:rFonts w:ascii="Calibri Light" w:hAnsi="Calibri Light"/>
          <w:color w:val="000000"/>
          <w:sz w:val="20"/>
        </w:rPr>
        <w:t>Assess the quality and reliability of each assurance source before relying upon it.</w:t>
      </w:r>
    </w:p>
    <w:p>
      <w:pPr>
        <w:pStyle w:val="ListBullet"/>
        <w:spacing w:before="0" w:after="60" w:line="240" w:lineRule="auto"/>
        <w:ind w:left="397" w:hanging="198"/>
      </w:pPr>
      <w:r>
        <w:rPr>
          <w:rFonts w:ascii="Calibri Light" w:hAnsi="Calibri Light"/>
          <w:color w:val="000000"/>
          <w:sz w:val="20"/>
        </w:rPr>
        <w:t>Use cross-audit analysis to identify systemic weaknesses across programs and functions.</w:t>
      </w:r>
    </w:p>
    <w:p>
      <w:pPr>
        <w:pStyle w:val="ListBullet"/>
        <w:spacing w:before="0" w:after="60" w:line="240" w:lineRule="auto"/>
        <w:ind w:left="397" w:hanging="198"/>
      </w:pPr>
      <w:r>
        <w:rPr>
          <w:rFonts w:ascii="Calibri Light" w:hAnsi="Calibri Light"/>
          <w:color w:val="000000"/>
          <w:sz w:val="20"/>
        </w:rPr>
        <w:t>Adjust assurance plans when risk, performance or external audit intelligence changes.</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Implement combined-assurance planning supported by shared risk and control information.</w:t>
      </w:r>
    </w:p>
    <w:p>
      <w:pPr>
        <w:pStyle w:val="ListBullet"/>
        <w:spacing w:before="0" w:after="60" w:line="240" w:lineRule="auto"/>
        <w:ind w:left="397" w:hanging="198"/>
      </w:pPr>
      <w:r>
        <w:rPr>
          <w:rFonts w:ascii="Calibri Light" w:hAnsi="Calibri Light"/>
          <w:color w:val="000000"/>
          <w:sz w:val="20"/>
        </w:rPr>
        <w:t>Use data analytics and continuous auditing for high-volume, high-risk processes.</w:t>
      </w:r>
    </w:p>
    <w:p>
      <w:pPr>
        <w:pStyle w:val="ListBullet"/>
        <w:spacing w:before="0" w:after="60" w:line="240" w:lineRule="auto"/>
        <w:ind w:left="397" w:hanging="198"/>
      </w:pPr>
      <w:r>
        <w:rPr>
          <w:rFonts w:ascii="Calibri Light" w:hAnsi="Calibri Light"/>
          <w:color w:val="000000"/>
          <w:sz w:val="20"/>
        </w:rPr>
        <w:t>Commission periodic external quality assessment of internal audit and assurance functions.</w:t>
      </w:r>
    </w:p>
    <w:p>
      <w:pPr>
        <w:pStyle w:val="ListBullet"/>
        <w:spacing w:before="0" w:after="60" w:line="240" w:lineRule="auto"/>
        <w:ind w:left="397" w:hanging="198"/>
      </w:pPr>
      <w:r>
        <w:rPr>
          <w:rFonts w:ascii="Calibri Light" w:hAnsi="Calibri Light"/>
          <w:color w:val="000000"/>
          <w:sz w:val="20"/>
        </w:rPr>
        <w:t>Benchmark assurance coverage and impact against comparable public sector agencies.</w:t>
      </w:r>
    </w:p>
    <w:p>
      <w:pPr>
        <w:spacing w:after="60"/>
      </w:pPr>
    </w:p>
    <w:p>
      <w:pPr>
        <w:pStyle w:val="Heading2"/>
        <w:keepNext/>
      </w:pPr>
      <w:r>
        <w:rPr>
          <w:rFonts w:ascii="Calibri Light" w:hAnsi="Calibri Light"/>
          <w:color w:val="000000"/>
        </w:rPr>
        <w:t>Element 15: Integrity, Fraud and Ethical Conduct</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The agency manages fraud, corruption, conflicts, gifts, procurement integrity, information misuse and other ethical risks.</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Integrity controls are reactive and policy-based. Staff awareness is uneven, conflicts and gifts may not be declared, and allegations or incidents are handled inconsistently.</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integrity frameworks, fraud control plans, conflict and gifts registers and investigation protocols; staff depend on local files, memory or informal advice.</w:t>
            </w:r>
          </w:p>
          <w:p>
            <w:pPr>
              <w:pStyle w:val="ListBullet"/>
              <w:keepNext/>
              <w:keepLines/>
              <w:spacing w:before="0" w:after="120"/>
            </w:pPr>
            <w:r>
              <w:rPr>
                <w:rFonts w:ascii="Calibri Light" w:hAnsi="Calibri Light"/>
                <w:b w:val="0"/>
                <w:color w:val="000000"/>
                <w:sz w:val="20"/>
              </w:rPr>
              <w:t>The treatment of fraud, corruption, conflicts, gifts, procurement integrity and information misuse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integrity and fraud officers, managers, staff and investigators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declarations, risk assessments, training records, investigations and sanctions, is incomplete, difficult to retrieve or created retrospectively, while monitoring of incidents, disclosure trends, unmanaged conflicts and integrity-control weaknesses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The agency has fraud and integrity policies, reporting channels and basic training. Risk assessments and registers exist but may not be tailored to operational threats or actively monitored.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integrity frameworks, fraud control plans, conflict and gifts registers and investigation protocols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integrity and fraud officers, managers, staff and investigators,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fraud, corruption, conflicts, gifts, procurement integrity and information misuse,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declarations, risk assessments, training records, investigations and sanctions, is usually retained for significant matters, but routine monitoring of incidents, disclosure trends, unmanaged conflicts and integrity-control weaknesses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Integrity risks are assessed across programs and processes. Declarations, due diligence, reporting, investigation, disciplinary, referral and recordkeeping arrangements are documented and consistently applied. Leaders model expected conduct.</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integrity frameworks, fraud control plans, conflict and gifts registers and investigation protocols cover fraud, corruption, conflicts, gifts, procurement integrity and information misuse and are maintained through defined review, approval and change-control processes.</w:t>
            </w:r>
          </w:p>
          <w:p>
            <w:pPr>
              <w:pStyle w:val="ListBullet"/>
              <w:keepNext/>
              <w:keepLines/>
              <w:spacing w:before="0" w:after="120"/>
            </w:pPr>
            <w:r>
              <w:rPr>
                <w:rFonts w:ascii="Calibri Light" w:hAnsi="Calibri Light"/>
                <w:b w:val="0"/>
                <w:color w:val="000000"/>
                <w:sz w:val="20"/>
              </w:rPr>
              <w:t>Integrity and fraud officers, managers, staff and investigators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declarations, risk assessments, training records, investigations and sanctions,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incidents, disclosure trends, unmanaged conflicts and integrity-control weaknesses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The agency monitors integrity indicators, tests controls and analyses incidents, near misses and cultural signals. High-risk activities receive enhanced due diligence and independent oversight. Remediation is tracked.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incidents, disclosure trends, unmanaged conflicts and integrity-control weaknesses, with named owners and timely escalation.</w:t>
            </w:r>
          </w:p>
          <w:p>
            <w:pPr>
              <w:pStyle w:val="ListBullet"/>
              <w:keepNext/>
              <w:keepLines/>
              <w:spacing w:before="0" w:after="120"/>
            </w:pPr>
            <w:r>
              <w:rPr>
                <w:rFonts w:ascii="Calibri Light" w:hAnsi="Calibri Light"/>
                <w:b w:val="0"/>
                <w:color w:val="000000"/>
                <w:sz w:val="20"/>
              </w:rPr>
              <w:t>Risk-based testing confirms whether integrity frameworks, fraud control plans, conflict and gifts registers and investigation protocols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human resources, procurement, risk, compliance and security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Integrity is embedded in decision-making and organisational culture. The agency uses intelligence, analytics, behavioural insight and external collaboration to prevent misconduct and continuously improve ethical administration.</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incidents, disclosure trends, unmanaged conflicts and integrity-control weaknesses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integrity frameworks, fraud control plans, conflict and gifts registers and investigation protocols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integrity and fraud officers, managers, staff and investigators,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declarations, risk assessments, training records, investigations and sanctions,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Refresh fraud, corruption and integrity risk assessments for high-risk functions and transactions.</w:t>
      </w:r>
    </w:p>
    <w:p>
      <w:pPr>
        <w:pStyle w:val="ListBullet"/>
        <w:spacing w:before="0" w:after="60" w:line="240" w:lineRule="auto"/>
        <w:ind w:left="397" w:hanging="198"/>
      </w:pPr>
      <w:r>
        <w:rPr>
          <w:rFonts w:ascii="Calibri Light" w:hAnsi="Calibri Light"/>
          <w:color w:val="000000"/>
          <w:sz w:val="20"/>
        </w:rPr>
        <w:t>Confirm confidential reporting, triage, investigation and external referral arrangements.</w:t>
      </w:r>
    </w:p>
    <w:p>
      <w:pPr>
        <w:pStyle w:val="ListBullet"/>
        <w:spacing w:before="0" w:after="60" w:line="240" w:lineRule="auto"/>
        <w:ind w:left="397" w:hanging="198"/>
      </w:pPr>
      <w:r>
        <w:rPr>
          <w:rFonts w:ascii="Calibri Light" w:hAnsi="Calibri Light"/>
          <w:color w:val="000000"/>
          <w:sz w:val="20"/>
        </w:rPr>
        <w:t>Require current conflict-of-interest and gifts declarations from relevant decision-makers.</w:t>
      </w:r>
    </w:p>
    <w:p>
      <w:pPr>
        <w:pStyle w:val="ListBullet"/>
        <w:spacing w:before="0" w:after="60" w:line="240" w:lineRule="auto"/>
        <w:ind w:left="397" w:hanging="198"/>
      </w:pPr>
      <w:r>
        <w:rPr>
          <w:rFonts w:ascii="Calibri Light" w:hAnsi="Calibri Light"/>
          <w:color w:val="000000"/>
          <w:sz w:val="20"/>
        </w:rPr>
        <w:t>Address immediate control gaps in procurement, grants, recruitment, payments and sensitive information access.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an integrated integrity framework covering prevention, detection, response and reporting.</w:t>
      </w:r>
    </w:p>
    <w:p>
      <w:pPr>
        <w:pStyle w:val="ListBullet"/>
        <w:spacing w:before="0" w:after="60" w:line="240" w:lineRule="auto"/>
        <w:ind w:left="397" w:hanging="198"/>
      </w:pPr>
      <w:r>
        <w:rPr>
          <w:rFonts w:ascii="Calibri Light" w:hAnsi="Calibri Light"/>
          <w:color w:val="000000"/>
          <w:sz w:val="20"/>
        </w:rPr>
        <w:t>Embed due diligence, conflict management and probity requirements in high-risk workflows.</w:t>
      </w:r>
    </w:p>
    <w:p>
      <w:pPr>
        <w:pStyle w:val="ListBullet"/>
        <w:spacing w:before="0" w:after="60" w:line="240" w:lineRule="auto"/>
        <w:ind w:left="397" w:hanging="198"/>
      </w:pPr>
      <w:r>
        <w:rPr>
          <w:rFonts w:ascii="Calibri Light" w:hAnsi="Calibri Light"/>
          <w:color w:val="000000"/>
          <w:sz w:val="20"/>
        </w:rPr>
        <w:t>Deliver role-specific integrity training supported by practical scenarios.</w:t>
      </w:r>
    </w:p>
    <w:p>
      <w:pPr>
        <w:pStyle w:val="ListBullet"/>
        <w:spacing w:before="0" w:after="60" w:line="240" w:lineRule="auto"/>
        <w:ind w:left="397" w:hanging="198"/>
      </w:pPr>
      <w:r>
        <w:rPr>
          <w:rFonts w:ascii="Calibri Light" w:hAnsi="Calibri Light"/>
          <w:color w:val="000000"/>
          <w:sz w:val="20"/>
        </w:rPr>
        <w:t>Establish controlled registers for conflicts, gifts, allegations, investigations and outcomes.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Monitor integrity indicators such as overrides, unusual transactions, repeated complaints and declaration patterns.</w:t>
      </w:r>
    </w:p>
    <w:p>
      <w:pPr>
        <w:pStyle w:val="ListBullet"/>
        <w:spacing w:before="0" w:after="60" w:line="240" w:lineRule="auto"/>
        <w:ind w:left="397" w:hanging="198"/>
      </w:pPr>
      <w:r>
        <w:rPr>
          <w:rFonts w:ascii="Calibri Light" w:hAnsi="Calibri Light"/>
          <w:color w:val="000000"/>
          <w:sz w:val="20"/>
        </w:rPr>
        <w:t>Conduct targeted control testing and culture assessments in high-risk areas.</w:t>
      </w:r>
    </w:p>
    <w:p>
      <w:pPr>
        <w:pStyle w:val="ListBullet"/>
        <w:spacing w:before="0" w:after="60" w:line="240" w:lineRule="auto"/>
        <w:ind w:left="397" w:hanging="198"/>
      </w:pPr>
      <w:r>
        <w:rPr>
          <w:rFonts w:ascii="Calibri Light" w:hAnsi="Calibri Light"/>
          <w:color w:val="000000"/>
          <w:sz w:val="20"/>
        </w:rPr>
        <w:t>Report material integrity risks, incidents and remediation to the accountable authority and audit and risk committee.</w:t>
      </w:r>
    </w:p>
    <w:p>
      <w:pPr>
        <w:pStyle w:val="ListBullet"/>
        <w:spacing w:before="0" w:after="60" w:line="240" w:lineRule="auto"/>
        <w:ind w:left="397" w:hanging="198"/>
      </w:pPr>
      <w:r>
        <w:rPr>
          <w:rFonts w:ascii="Calibri Light" w:hAnsi="Calibri Light"/>
          <w:color w:val="000000"/>
          <w:sz w:val="20"/>
        </w:rPr>
        <w:t>Review completed investigations for systemic lessons and control improvements.</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Use advanced analytics and intelligence sharing to identify emerging fraud and misconduct patterns.</w:t>
      </w:r>
    </w:p>
    <w:p>
      <w:pPr>
        <w:pStyle w:val="ListBullet"/>
        <w:spacing w:before="0" w:after="60" w:line="240" w:lineRule="auto"/>
        <w:ind w:left="397" w:hanging="198"/>
      </w:pPr>
      <w:r>
        <w:rPr>
          <w:rFonts w:ascii="Calibri Light" w:hAnsi="Calibri Light"/>
          <w:color w:val="000000"/>
          <w:sz w:val="20"/>
        </w:rPr>
        <w:t>Apply behavioural and process-design interventions to reduce opportunities and rationalisations for misconduct.</w:t>
      </w:r>
    </w:p>
    <w:p>
      <w:pPr>
        <w:pStyle w:val="ListBullet"/>
        <w:spacing w:before="0" w:after="60" w:line="240" w:lineRule="auto"/>
        <w:ind w:left="397" w:hanging="198"/>
      </w:pPr>
      <w:r>
        <w:rPr>
          <w:rFonts w:ascii="Calibri Light" w:hAnsi="Calibri Light"/>
          <w:color w:val="000000"/>
          <w:sz w:val="20"/>
        </w:rPr>
        <w:t>Benchmark integrity culture and controls against comparable agencies and external guidance.</w:t>
      </w:r>
    </w:p>
    <w:p>
      <w:pPr>
        <w:pStyle w:val="ListBullet"/>
        <w:spacing w:before="0" w:after="60" w:line="240" w:lineRule="auto"/>
        <w:ind w:left="397" w:hanging="198"/>
      </w:pPr>
      <w:r>
        <w:rPr>
          <w:rFonts w:ascii="Calibri Light" w:hAnsi="Calibri Light"/>
          <w:color w:val="000000"/>
          <w:sz w:val="20"/>
        </w:rPr>
        <w:t>Commission independent assurance over high-risk integrity systems and sensitive investigations.</w:t>
      </w:r>
    </w:p>
    <w:p>
      <w:pPr>
        <w:spacing w:after="60"/>
      </w:pPr>
    </w:p>
    <w:p>
      <w:pPr>
        <w:pStyle w:val="Heading1"/>
        <w:keepNext/>
      </w:pPr>
      <w:r>
        <w:rPr>
          <w:rFonts w:ascii="Calibri Light" w:hAnsi="Calibri Light"/>
          <w:color w:val="000000"/>
        </w:rPr>
        <w:t>Topic 4: Operational Governance</w:t>
      </w:r>
    </w:p>
    <w:p>
      <w:pPr>
        <w:spacing w:before="0" w:after="120" w:line="240" w:lineRule="auto"/>
      </w:pPr>
      <w:r>
        <w:rPr>
          <w:rFonts w:ascii="Calibri Light" w:hAnsi="Calibri Light"/>
          <w:color w:val="000000"/>
          <w:sz w:val="20"/>
        </w:rPr>
        <w:t>Operational Governance assesses whether services, programs and projects are designed and administered in a controlled, economical and efficient manner. It tests how well the agency converts public resources into intended outputs and outcomes.</w:t>
      </w:r>
    </w:p>
    <w:p>
      <w:pPr>
        <w:pStyle w:val="Heading2"/>
        <w:keepNext/>
      </w:pPr>
      <w:r>
        <w:rPr>
          <w:rFonts w:ascii="Calibri Light" w:hAnsi="Calibri Light"/>
          <w:color w:val="000000"/>
        </w:rPr>
        <w:t>Element 16: Program and Service Design</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Programs and services are based on evidence of need, clear eligibility and delivery choices, and controls proportionate to risk.</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Programs and services evolve without a documented design basis. Objectives, beneficiaries, eligibility, delivery methods and risks may be unclear or inconsistent.</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needs assessments, options analyses, program-design documents and eligibility and service standards; staff depend on local files, memory or informal advice.</w:t>
            </w:r>
          </w:p>
          <w:p>
            <w:pPr>
              <w:pStyle w:val="ListBullet"/>
              <w:keepNext/>
              <w:keepLines/>
              <w:spacing w:before="0" w:after="120"/>
            </w:pPr>
            <w:r>
              <w:rPr>
                <w:rFonts w:ascii="Calibri Light" w:hAnsi="Calibri Light"/>
                <w:b w:val="0"/>
                <w:color w:val="000000"/>
                <w:sz w:val="20"/>
              </w:rPr>
              <w:t>The treatment of programs and services across design, implementation and review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policy, service-design, program, finance and legal owners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consultation records, modelling, options assessments, approvals and risk analyses, is incomplete, difficult to retrieve or created retrospectively, while monitoring of unmet need, access barriers, eligibility issues and recurring design failures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Basic design documents and business cases exist for major initiatives. Quality varies and design assumptions are not always validated with users, delivery staff or evidence.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needs assessments, options analyses, program-design documents and eligibility and service standards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policy, service-design, program, finance and legal owners,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programs and services across design, implementation and review,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consultation records, modelling, options assessments, approvals and risk analyses, is usually retained for significant matters, but routine monitoring of unmet need, access barriers, eligibility issues and recurring design failures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Material programs follow an approved design method covering need, options, beneficiaries, eligibility, service standards, delivery model, risk, implementation, measures and evaluation. Decisions and trade-offs are documented.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needs assessments, options analyses, program-design documents and eligibility and service standards cover programs and services across design, implementation and review and are maintained through defined review, approval and change-control processes.</w:t>
            </w:r>
          </w:p>
          <w:p>
            <w:pPr>
              <w:pStyle w:val="ListBullet"/>
              <w:keepNext/>
              <w:keepLines/>
              <w:spacing w:before="0" w:after="120"/>
            </w:pPr>
            <w:r>
              <w:rPr>
                <w:rFonts w:ascii="Calibri Light" w:hAnsi="Calibri Light"/>
                <w:b w:val="0"/>
                <w:color w:val="000000"/>
                <w:sz w:val="20"/>
              </w:rPr>
              <w:t>Policy, service-design, program, finance and legal owners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consultation records, modelling, options assessments, approvals and risk analyses,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unmet need, access barriers, eligibility issues and recurring design failures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Design performance is monitored using service, outcome, cost and stakeholder evidence. The agency tests whether eligibility, channels and controls remain appropriate and redesigns services where intended results are not achieved.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unmet need, access barriers, eligibility issues and recurring design failures, with named owners and timely escalation.</w:t>
            </w:r>
          </w:p>
          <w:p>
            <w:pPr>
              <w:pStyle w:val="ListBullet"/>
              <w:keepNext/>
              <w:keepLines/>
              <w:spacing w:before="0" w:after="120"/>
            </w:pPr>
            <w:r>
              <w:rPr>
                <w:rFonts w:ascii="Calibri Light" w:hAnsi="Calibri Light"/>
                <w:b w:val="0"/>
                <w:color w:val="000000"/>
                <w:sz w:val="20"/>
              </w:rPr>
              <w:t>Risk-based testing confirms whether needs assessments, options analyses, program-design documents and eligibility and service standards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planning, budgeting, procurement, service delivery and evaluation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Service design is user-centred, evidence-led and adaptive. The agency uses experimentation, comparative research and integrated data to improve accessibility, equity, efficiency and outcomes while managing risk.</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unmet need, access barriers, eligibility issues and recurring design failures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needs assessments, options analyses, program-design documents and eligibility and service standards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policy, service-design, program, finance and legal owners,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consultation records, modelling, options assessments, approvals and risk analyses,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Identify major programs without a current design document, business case or clear statement of need.</w:t>
      </w:r>
    </w:p>
    <w:p>
      <w:pPr>
        <w:pStyle w:val="ListBullet"/>
        <w:spacing w:before="0" w:after="60" w:line="240" w:lineRule="auto"/>
        <w:ind w:left="397" w:hanging="198"/>
      </w:pPr>
      <w:r>
        <w:rPr>
          <w:rFonts w:ascii="Calibri Light" w:hAnsi="Calibri Light"/>
          <w:color w:val="000000"/>
          <w:sz w:val="20"/>
        </w:rPr>
        <w:t>Document intended beneficiaries, eligibility, service offer, delivery channels and key risks for priority programs.</w:t>
      </w:r>
    </w:p>
    <w:p>
      <w:pPr>
        <w:pStyle w:val="ListBullet"/>
        <w:spacing w:before="0" w:after="60" w:line="240" w:lineRule="auto"/>
        <w:ind w:left="397" w:hanging="198"/>
      </w:pPr>
      <w:r>
        <w:rPr>
          <w:rFonts w:ascii="Calibri Light" w:hAnsi="Calibri Light"/>
          <w:color w:val="000000"/>
          <w:sz w:val="20"/>
        </w:rPr>
        <w:t>Record major design assumptions and evidence currently supporting them.</w:t>
      </w:r>
    </w:p>
    <w:p>
      <w:pPr>
        <w:pStyle w:val="ListBullet"/>
        <w:spacing w:before="0" w:after="60" w:line="240" w:lineRule="auto"/>
        <w:ind w:left="397" w:hanging="198"/>
      </w:pPr>
      <w:r>
        <w:rPr>
          <w:rFonts w:ascii="Calibri Light" w:hAnsi="Calibri Light"/>
          <w:color w:val="000000"/>
          <w:sz w:val="20"/>
        </w:rPr>
        <w:t>Introduce executive approval for material changes to scope, eligibility or delivery model.</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 program and service design standard with minimum evidence and governance requirements.</w:t>
      </w:r>
    </w:p>
    <w:p>
      <w:pPr>
        <w:pStyle w:val="ListBullet"/>
        <w:spacing w:before="0" w:after="60" w:line="240" w:lineRule="auto"/>
        <w:ind w:left="397" w:hanging="198"/>
      </w:pPr>
      <w:r>
        <w:rPr>
          <w:rFonts w:ascii="Calibri Light" w:hAnsi="Calibri Light"/>
          <w:color w:val="000000"/>
          <w:sz w:val="20"/>
        </w:rPr>
        <w:t>Require options analysis, stakeholder input, implementation planning, controls, measures and evaluation for material initiatives.</w:t>
      </w:r>
    </w:p>
    <w:p>
      <w:pPr>
        <w:pStyle w:val="ListBullet"/>
        <w:spacing w:before="0" w:after="60" w:line="240" w:lineRule="auto"/>
        <w:ind w:left="397" w:hanging="198"/>
      </w:pPr>
      <w:r>
        <w:rPr>
          <w:rFonts w:ascii="Calibri Light" w:hAnsi="Calibri Light"/>
          <w:color w:val="000000"/>
          <w:sz w:val="20"/>
        </w:rPr>
        <w:t>Align design documents with program logic, budget, workforce, procurement and technology plans.</w:t>
      </w:r>
    </w:p>
    <w:p>
      <w:pPr>
        <w:pStyle w:val="ListBullet"/>
        <w:spacing w:before="0" w:after="60" w:line="240" w:lineRule="auto"/>
        <w:ind w:left="397" w:hanging="198"/>
      </w:pPr>
      <w:r>
        <w:rPr>
          <w:rFonts w:ascii="Calibri Light" w:hAnsi="Calibri Light"/>
          <w:color w:val="000000"/>
          <w:sz w:val="20"/>
        </w:rPr>
        <w:t>Establish version control and scheduled review of approved service designs.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Analyse service demand, access, cost, quality, complaints and outcomes against design assumptions.</w:t>
      </w:r>
    </w:p>
    <w:p>
      <w:pPr>
        <w:pStyle w:val="ListBullet"/>
        <w:spacing w:before="0" w:after="60" w:line="240" w:lineRule="auto"/>
        <w:ind w:left="397" w:hanging="198"/>
      </w:pPr>
      <w:r>
        <w:rPr>
          <w:rFonts w:ascii="Calibri Light" w:hAnsi="Calibri Light"/>
          <w:color w:val="000000"/>
          <w:sz w:val="20"/>
        </w:rPr>
        <w:t>Test whether eligibility and delivery controls create unintended exclusion, delay or administrative burden.</w:t>
      </w:r>
    </w:p>
    <w:p>
      <w:pPr>
        <w:pStyle w:val="ListBullet"/>
        <w:spacing w:before="0" w:after="60" w:line="240" w:lineRule="auto"/>
        <w:ind w:left="397" w:hanging="198"/>
      </w:pPr>
      <w:r>
        <w:rPr>
          <w:rFonts w:ascii="Calibri Light" w:hAnsi="Calibri Light"/>
          <w:color w:val="000000"/>
          <w:sz w:val="20"/>
        </w:rPr>
        <w:t>Require redesign plans where programs consistently fail to achieve intended outcomes.</w:t>
      </w:r>
    </w:p>
    <w:p>
      <w:pPr>
        <w:pStyle w:val="ListBullet"/>
        <w:spacing w:before="0" w:after="60" w:line="240" w:lineRule="auto"/>
        <w:ind w:left="397" w:hanging="198"/>
      </w:pPr>
      <w:r>
        <w:rPr>
          <w:rFonts w:ascii="Calibri Light" w:hAnsi="Calibri Light"/>
          <w:color w:val="000000"/>
          <w:sz w:val="20"/>
        </w:rPr>
        <w:t>Use evaluation and frontline insight to validate proposed changes before full implementation.</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Use prototyping, controlled trials and rapid evaluation for significant service innovations.</w:t>
      </w:r>
    </w:p>
    <w:p>
      <w:pPr>
        <w:pStyle w:val="ListBullet"/>
        <w:spacing w:before="0" w:after="60" w:line="240" w:lineRule="auto"/>
        <w:ind w:left="397" w:hanging="198"/>
      </w:pPr>
      <w:r>
        <w:rPr>
          <w:rFonts w:ascii="Calibri Light" w:hAnsi="Calibri Light"/>
          <w:color w:val="000000"/>
          <w:sz w:val="20"/>
        </w:rPr>
        <w:t>Benchmark design and service standards against comparable jurisdictions and user expectations.</w:t>
      </w:r>
    </w:p>
    <w:p>
      <w:pPr>
        <w:pStyle w:val="ListBullet"/>
        <w:spacing w:before="0" w:after="60" w:line="240" w:lineRule="auto"/>
        <w:ind w:left="397" w:hanging="198"/>
      </w:pPr>
      <w:r>
        <w:rPr>
          <w:rFonts w:ascii="Calibri Light" w:hAnsi="Calibri Light"/>
          <w:color w:val="000000"/>
          <w:sz w:val="20"/>
        </w:rPr>
        <w:t>Integrate cross-program and whole-of-user perspectives to reduce fragmentation.</w:t>
      </w:r>
    </w:p>
    <w:p>
      <w:pPr>
        <w:pStyle w:val="ListBullet"/>
        <w:spacing w:before="0" w:after="60" w:line="240" w:lineRule="auto"/>
        <w:ind w:left="397" w:hanging="198"/>
      </w:pPr>
      <w:r>
        <w:rPr>
          <w:rFonts w:ascii="Calibri Light" w:hAnsi="Calibri Light"/>
          <w:color w:val="000000"/>
          <w:sz w:val="20"/>
        </w:rPr>
        <w:t>Use advanced analytics to personalise or target services while maintaining fairness, privacy and transparency.</w:t>
      </w:r>
    </w:p>
    <w:p>
      <w:pPr>
        <w:spacing w:after="60"/>
      </w:pPr>
    </w:p>
    <w:p>
      <w:pPr>
        <w:pStyle w:val="Heading2"/>
        <w:keepNext/>
      </w:pPr>
      <w:r>
        <w:rPr>
          <w:rFonts w:ascii="Calibri Light" w:hAnsi="Calibri Light"/>
          <w:color w:val="000000"/>
        </w:rPr>
        <w:t>Element 17: Resource Allocation and Efficiency</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Financial, workforce, asset and technology resources are directed to priorities and used productively with appropriate quality and timeliness.</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Resources are allocated mainly through historical budgets and immediate pressures. Unit costs, productivity, capacity and service demand are not reliably understood.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resource-allocation models, cost and productivity dashboards and capacity plans; staff depend on local files, memory or informal advice.</w:t>
            </w:r>
          </w:p>
          <w:p>
            <w:pPr>
              <w:pStyle w:val="ListBullet"/>
              <w:keepNext/>
              <w:keepLines/>
              <w:spacing w:before="0" w:after="120"/>
            </w:pPr>
            <w:r>
              <w:rPr>
                <w:rFonts w:ascii="Calibri Light" w:hAnsi="Calibri Light"/>
                <w:b w:val="0"/>
                <w:color w:val="000000"/>
                <w:sz w:val="20"/>
              </w:rPr>
              <w:t>The treatment of financial, workforce, asset and technology resources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finance, workforce, asset, digital and program leaders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budgets, costing records, workload data, utilisation results and allocation decisions, is incomplete, difficult to retrieve or created retrospectively, while monitoring of unit costs, backlogs, idle capacity, overtime and duplication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The agency tracks expenditure and staffing for major activities. Some efficiency measures exist, but allocation decisions are not consistently linked to outcomes, demand or comparative performance.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resource-allocation models, cost and productivity dashboards and capacity plans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finance, workforce, asset, digital and program leaders,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financial, workforce, asset and technology resources,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budgets, costing records, workload data, utilisation results and allocation decisions, is usually retained for significant matters, but routine monitoring of unit costs, backlogs, idle capacity, overtime and duplication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Resource allocation follows defined priorities and business planning. The agency monitors unit cost, workload, capacity, timeliness, quality and outcome measures and documents material trade-offs.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resource-allocation models, cost and productivity dashboards and capacity plans cover financial, workforce, asset and technology resources and are maintained through defined review, approval and change-control processes.</w:t>
            </w:r>
          </w:p>
          <w:p>
            <w:pPr>
              <w:pStyle w:val="ListBullet"/>
              <w:keepNext/>
              <w:keepLines/>
              <w:spacing w:before="0" w:after="120"/>
            </w:pPr>
            <w:r>
              <w:rPr>
                <w:rFonts w:ascii="Calibri Light" w:hAnsi="Calibri Light"/>
                <w:b w:val="0"/>
                <w:color w:val="000000"/>
                <w:sz w:val="20"/>
              </w:rPr>
              <w:t>Finance, workforce, asset, digital and program leaders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budgets, costing records, workload data, utilisation results and allocation decisions,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unit costs, backlogs, idle capacity, overtime and duplication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Executives use efficiency and demand analysis to reallocate resources, address bottlenecks and test whether savings affect service quality or outcomes. Benefits and productivity initiatives are monitored.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unit costs, backlogs, idle capacity, overtime and duplication, with named owners and timely escalation.</w:t>
            </w:r>
          </w:p>
          <w:p>
            <w:pPr>
              <w:pStyle w:val="ListBullet"/>
              <w:keepNext/>
              <w:keepLines/>
              <w:spacing w:before="0" w:after="120"/>
            </w:pPr>
            <w:r>
              <w:rPr>
                <w:rFonts w:ascii="Calibri Light" w:hAnsi="Calibri Light"/>
                <w:b w:val="0"/>
                <w:color w:val="000000"/>
                <w:sz w:val="20"/>
              </w:rPr>
              <w:t>Risk-based testing confirms whether resource-allocation models, cost and productivity dashboards and capacity plans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budgeting, workforce planning, asset management, demand forecasting and performance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Resource allocation is dynamic and evidence-led. The agency uses forecasting, benchmarking, process optimisation and portfolio analysis to maximise public value and sustain performance under changing demand.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unit costs, backlogs, idle capacity, overtime and duplication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resource-allocation models, cost and productivity dashboards and capacity plans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finance, workforce, asset, digital and program leaders,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budgets, costing records, workload data, utilisation results and allocation decisions,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Map expenditure, workforce and major assets to programs, activities and intended outcomes.</w:t>
      </w:r>
    </w:p>
    <w:p>
      <w:pPr>
        <w:pStyle w:val="ListBullet"/>
        <w:spacing w:before="0" w:after="60" w:line="240" w:lineRule="auto"/>
        <w:ind w:left="397" w:hanging="198"/>
      </w:pPr>
      <w:r>
        <w:rPr>
          <w:rFonts w:ascii="Calibri Light" w:hAnsi="Calibri Light"/>
          <w:color w:val="000000"/>
          <w:sz w:val="20"/>
        </w:rPr>
        <w:t>Identify high-cost activities without reliable workload, output or quality information.</w:t>
      </w:r>
    </w:p>
    <w:p>
      <w:pPr>
        <w:pStyle w:val="ListBullet"/>
        <w:spacing w:before="0" w:after="60" w:line="240" w:lineRule="auto"/>
        <w:ind w:left="397" w:hanging="198"/>
      </w:pPr>
      <w:r>
        <w:rPr>
          <w:rFonts w:ascii="Calibri Light" w:hAnsi="Calibri Light"/>
          <w:color w:val="000000"/>
          <w:sz w:val="20"/>
        </w:rPr>
        <w:t>Establish basic unit-cost and capacity measures for priority services.</w:t>
      </w:r>
    </w:p>
    <w:p>
      <w:pPr>
        <w:pStyle w:val="ListBullet"/>
        <w:spacing w:before="0" w:after="60" w:line="240" w:lineRule="auto"/>
        <w:ind w:left="397" w:hanging="198"/>
      </w:pPr>
      <w:r>
        <w:rPr>
          <w:rFonts w:ascii="Calibri Light" w:hAnsi="Calibri Light"/>
          <w:color w:val="000000"/>
          <w:sz w:val="20"/>
        </w:rPr>
        <w:t>Review material resource allocations that are based solely on historical patterns.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 resource-allocation method linked to strategic priorities, demand, risk and expected benefits.</w:t>
      </w:r>
    </w:p>
    <w:p>
      <w:pPr>
        <w:pStyle w:val="ListBullet"/>
        <w:spacing w:before="0" w:after="60" w:line="240" w:lineRule="auto"/>
        <w:ind w:left="397" w:hanging="198"/>
      </w:pPr>
      <w:r>
        <w:rPr>
          <w:rFonts w:ascii="Calibri Light" w:hAnsi="Calibri Light"/>
          <w:color w:val="000000"/>
          <w:sz w:val="20"/>
        </w:rPr>
        <w:t>Integrate financial, workforce, asset and technology planning.</w:t>
      </w:r>
    </w:p>
    <w:p>
      <w:pPr>
        <w:pStyle w:val="ListBullet"/>
        <w:spacing w:before="0" w:after="60" w:line="240" w:lineRule="auto"/>
        <w:ind w:left="397" w:hanging="198"/>
      </w:pPr>
      <w:r>
        <w:rPr>
          <w:rFonts w:ascii="Calibri Light" w:hAnsi="Calibri Light"/>
          <w:color w:val="000000"/>
          <w:sz w:val="20"/>
        </w:rPr>
        <w:t>Define efficiency measures that preserve required quality, timeliness and accessibility.</w:t>
      </w:r>
    </w:p>
    <w:p>
      <w:pPr>
        <w:pStyle w:val="ListBullet"/>
        <w:spacing w:before="0" w:after="60" w:line="240" w:lineRule="auto"/>
        <w:ind w:left="397" w:hanging="198"/>
      </w:pPr>
      <w:r>
        <w:rPr>
          <w:rFonts w:ascii="Calibri Light" w:hAnsi="Calibri Light"/>
          <w:color w:val="000000"/>
          <w:sz w:val="20"/>
        </w:rPr>
        <w:t>Document the assumptions and trade-offs supporting major allocation decisions.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Benchmark unit costs and productivity across regions, channels, teams or comparable agencies.</w:t>
      </w:r>
    </w:p>
    <w:p>
      <w:pPr>
        <w:pStyle w:val="ListBullet"/>
        <w:spacing w:before="0" w:after="60" w:line="240" w:lineRule="auto"/>
        <w:ind w:left="397" w:hanging="198"/>
      </w:pPr>
      <w:r>
        <w:rPr>
          <w:rFonts w:ascii="Calibri Light" w:hAnsi="Calibri Light"/>
          <w:color w:val="000000"/>
          <w:sz w:val="20"/>
        </w:rPr>
        <w:t>Analyse bottlenecks, rework, idle capacity, overtime and avoidable demand.</w:t>
      </w:r>
    </w:p>
    <w:p>
      <w:pPr>
        <w:pStyle w:val="ListBullet"/>
        <w:spacing w:before="0" w:after="60" w:line="240" w:lineRule="auto"/>
        <w:ind w:left="397" w:hanging="198"/>
      </w:pPr>
      <w:r>
        <w:rPr>
          <w:rFonts w:ascii="Calibri Light" w:hAnsi="Calibri Light"/>
          <w:color w:val="000000"/>
          <w:sz w:val="20"/>
        </w:rPr>
        <w:t>Track whether efficiency initiatives deliver verified savings without shifting cost or reducing outcomes.</w:t>
      </w:r>
    </w:p>
    <w:p>
      <w:pPr>
        <w:pStyle w:val="ListBullet"/>
        <w:spacing w:before="0" w:after="60" w:line="240" w:lineRule="auto"/>
        <w:ind w:left="397" w:hanging="198"/>
      </w:pPr>
      <w:r>
        <w:rPr>
          <w:rFonts w:ascii="Calibri Light" w:hAnsi="Calibri Light"/>
          <w:color w:val="000000"/>
          <w:sz w:val="20"/>
        </w:rPr>
        <w:t>Reallocate resources where evidence shows persistent misalignment with demand or priority.</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Use demand forecasting and scenario modelling to optimise capacity before pressures become acute.</w:t>
      </w:r>
    </w:p>
    <w:p>
      <w:pPr>
        <w:pStyle w:val="ListBullet"/>
        <w:spacing w:before="0" w:after="60" w:line="240" w:lineRule="auto"/>
        <w:ind w:left="397" w:hanging="198"/>
      </w:pPr>
      <w:r>
        <w:rPr>
          <w:rFonts w:ascii="Calibri Light" w:hAnsi="Calibri Light"/>
          <w:color w:val="000000"/>
          <w:sz w:val="20"/>
        </w:rPr>
        <w:t>Apply process mining, automation and service redesign to high-volume activities.</w:t>
      </w:r>
    </w:p>
    <w:p>
      <w:pPr>
        <w:pStyle w:val="ListBullet"/>
        <w:spacing w:before="0" w:after="60" w:line="240" w:lineRule="auto"/>
        <w:ind w:left="397" w:hanging="198"/>
      </w:pPr>
      <w:r>
        <w:rPr>
          <w:rFonts w:ascii="Calibri Light" w:hAnsi="Calibri Light"/>
          <w:color w:val="000000"/>
          <w:sz w:val="20"/>
        </w:rPr>
        <w:t>Use portfolio analysis to discontinue or consolidate low-value activity.</w:t>
      </w:r>
    </w:p>
    <w:p>
      <w:pPr>
        <w:pStyle w:val="ListBullet"/>
        <w:spacing w:before="0" w:after="60" w:line="240" w:lineRule="auto"/>
        <w:ind w:left="397" w:hanging="198"/>
      </w:pPr>
      <w:r>
        <w:rPr>
          <w:rFonts w:ascii="Calibri Light" w:hAnsi="Calibri Light"/>
          <w:color w:val="000000"/>
          <w:sz w:val="20"/>
        </w:rPr>
        <w:t>Benchmark efficiency frontiers and adopt leading operational practices while protecting service equity and resilience.</w:t>
      </w:r>
    </w:p>
    <w:p>
      <w:pPr>
        <w:spacing w:after="60"/>
      </w:pPr>
    </w:p>
    <w:p>
      <w:pPr>
        <w:pStyle w:val="Heading2"/>
        <w:keepNext/>
      </w:pPr>
      <w:r>
        <w:rPr>
          <w:rFonts w:ascii="Calibri Light" w:hAnsi="Calibri Light"/>
          <w:color w:val="000000"/>
        </w:rPr>
        <w:t>Element 18: Procurement and Contract Management</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Procurement and contracts demonstrate value for money, integrity, competition, clear deliverables and active management of supplier performance.</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Procurement is transaction-focused and documentation is inconsistent. Planning, competition, conflict management and contract oversight may be weak. Supplier performance is addressed only when problems arise.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procurement plans, sourcing records, contract registers and supplier-performance plans; staff depend on local files, memory or informal advice.</w:t>
            </w:r>
          </w:p>
          <w:p>
            <w:pPr>
              <w:pStyle w:val="ListBullet"/>
              <w:keepNext/>
              <w:keepLines/>
              <w:spacing w:before="0" w:after="120"/>
            </w:pPr>
            <w:r>
              <w:rPr>
                <w:rFonts w:ascii="Calibri Light" w:hAnsi="Calibri Light"/>
                <w:b w:val="0"/>
                <w:color w:val="000000"/>
                <w:sz w:val="20"/>
              </w:rPr>
              <w:t>The treatment of material procurements, contracts and supplier relationships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procurement staff, contract managers, delegates and business owners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evaluations, approvals, contracts, invoices and supplier-performance reviews, is incomplete, difficult to retrieve or created retrospectively, while monitoring of non-competitive awards, contract variations, underperformance, expiry and disputes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Policies, templates and approval processes exist. Major procurements receive more oversight, but contract registers, performance measures and variation controls are incomplete or inconsistently used.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procurement plans, sourcing records, contract registers and supplier-performance plans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procurement staff, contract managers, delegates and business owners,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material procurements, contracts and supplier relationships,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evaluations, approvals, contracts, invoices and supplier-performance reviews, is usually retained for significant matters, but routine monitoring of non-competitive awards, contract variations, underperformance, expiry and disputes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Procurement and contract management follow an approved lifecycle. Needs, options, market approach, value for money, risk, probity, evaluation, authority, deliverables, performance, variations and closure are documented and controlled.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procurement plans, sourcing records, contract registers and supplier-performance plans cover material procurements, contracts and supplier relationships and are maintained through defined review, approval and change-control processes.</w:t>
            </w:r>
          </w:p>
          <w:p>
            <w:pPr>
              <w:pStyle w:val="ListBullet"/>
              <w:keepNext/>
              <w:keepLines/>
              <w:spacing w:before="0" w:after="120"/>
            </w:pPr>
            <w:r>
              <w:rPr>
                <w:rFonts w:ascii="Calibri Light" w:hAnsi="Calibri Light"/>
                <w:b w:val="0"/>
                <w:color w:val="000000"/>
                <w:sz w:val="20"/>
              </w:rPr>
              <w:t>Procurement staff, contract managers, delegates and business owners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evaluations, approvals, contracts, invoices and supplier-performance reviews,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non-competitive awards, contract variations, underperformance, expiry and disputes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The agency analyses procurement compliance, competition, supplier performance, contract leakage, variations and benefits. High-risk contracts receive active governance, assurance and escalation.</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non-competitive awards, contract variations, underperformance, expiry and disputes, with named owners and timely escalation.</w:t>
            </w:r>
          </w:p>
          <w:p>
            <w:pPr>
              <w:pStyle w:val="ListBullet"/>
              <w:keepNext/>
              <w:keepLines/>
              <w:spacing w:before="0" w:after="120"/>
            </w:pPr>
            <w:r>
              <w:rPr>
                <w:rFonts w:ascii="Calibri Light" w:hAnsi="Calibri Light"/>
                <w:b w:val="0"/>
                <w:color w:val="000000"/>
                <w:sz w:val="20"/>
              </w:rPr>
              <w:t>Risk-based testing confirms whether procurement plans, sourcing records, contract registers and supplier-performance plans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budgeting, risk, legal review, vendor management and benefits tracking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Commercial management is strategic and intelligence-led. The agency uses category management, market analysis, performance data and collaborative supplier management to improve value, resilience, integrity and outcomes.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non-competitive awards, contract variations, underperformance, expiry and disputes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procurement plans, sourcing records, contract registers and supplier-performance plans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procurement staff, contract managers, delegates and business owners,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evaluations, approvals, contracts, invoices and supplier-performance reviews,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Create a complete register of current contracts, values, owners, expiry dates, risks and performance obligations.</w:t>
      </w:r>
    </w:p>
    <w:p>
      <w:pPr>
        <w:pStyle w:val="ListBullet"/>
        <w:spacing w:before="0" w:after="60" w:line="240" w:lineRule="auto"/>
        <w:ind w:left="397" w:hanging="198"/>
      </w:pPr>
      <w:r>
        <w:rPr>
          <w:rFonts w:ascii="Calibri Light" w:hAnsi="Calibri Light"/>
          <w:color w:val="000000"/>
          <w:sz w:val="20"/>
        </w:rPr>
        <w:t>Review high-value and high-risk procurements for authority, competition, conflicts, value-for-money reasoning and contract documentation.</w:t>
      </w:r>
    </w:p>
    <w:p>
      <w:pPr>
        <w:pStyle w:val="ListBullet"/>
        <w:spacing w:before="0" w:after="60" w:line="240" w:lineRule="auto"/>
        <w:ind w:left="397" w:hanging="198"/>
      </w:pPr>
      <w:r>
        <w:rPr>
          <w:rFonts w:ascii="Calibri Light" w:hAnsi="Calibri Light"/>
          <w:color w:val="000000"/>
          <w:sz w:val="20"/>
        </w:rPr>
        <w:t>Assign contract managers and establish minimum monitoring for critical deliverables.</w:t>
      </w:r>
    </w:p>
    <w:p>
      <w:pPr>
        <w:pStyle w:val="ListBullet"/>
        <w:spacing w:before="0" w:after="60" w:line="240" w:lineRule="auto"/>
        <w:ind w:left="397" w:hanging="198"/>
      </w:pPr>
      <w:r>
        <w:rPr>
          <w:rFonts w:ascii="Calibri Light" w:hAnsi="Calibri Light"/>
          <w:color w:val="000000"/>
          <w:sz w:val="20"/>
        </w:rPr>
        <w:t>Introduce controls for variations, extensions and expenditure outside contract terms.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lifecycle procedures and role-specific procurement and contract management standards.</w:t>
      </w:r>
    </w:p>
    <w:p>
      <w:pPr>
        <w:pStyle w:val="ListBullet"/>
        <w:spacing w:before="0" w:after="60" w:line="240" w:lineRule="auto"/>
        <w:ind w:left="397" w:hanging="198"/>
      </w:pPr>
      <w:r>
        <w:rPr>
          <w:rFonts w:ascii="Calibri Light" w:hAnsi="Calibri Light"/>
          <w:color w:val="000000"/>
          <w:sz w:val="20"/>
        </w:rPr>
        <w:t>Require procurement plans, evaluation records, probity controls and documented value-for-money decisions.</w:t>
      </w:r>
    </w:p>
    <w:p>
      <w:pPr>
        <w:pStyle w:val="ListBullet"/>
        <w:spacing w:before="0" w:after="60" w:line="240" w:lineRule="auto"/>
        <w:ind w:left="397" w:hanging="198"/>
      </w:pPr>
      <w:r>
        <w:rPr>
          <w:rFonts w:ascii="Calibri Light" w:hAnsi="Calibri Light"/>
          <w:color w:val="000000"/>
          <w:sz w:val="20"/>
        </w:rPr>
        <w:t>Set measurable deliverables, service levels, reporting, remedies and exit requirements in contracts.</w:t>
      </w:r>
    </w:p>
    <w:p>
      <w:pPr>
        <w:pStyle w:val="ListBullet"/>
        <w:spacing w:before="0" w:after="60" w:line="240" w:lineRule="auto"/>
        <w:ind w:left="397" w:hanging="198"/>
      </w:pPr>
      <w:r>
        <w:rPr>
          <w:rFonts w:ascii="Calibri Light" w:hAnsi="Calibri Light"/>
          <w:color w:val="000000"/>
          <w:sz w:val="20"/>
        </w:rPr>
        <w:t>Train delegates, evaluators and contract managers in commercial, integrity and recordkeeping responsibilities.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Monitor supplier performance, spend leakage, variations, disputes, benefits and upcoming expiries.</w:t>
      </w:r>
    </w:p>
    <w:p>
      <w:pPr>
        <w:pStyle w:val="ListBullet"/>
        <w:spacing w:before="0" w:after="60" w:line="240" w:lineRule="auto"/>
        <w:ind w:left="397" w:hanging="198"/>
      </w:pPr>
      <w:r>
        <w:rPr>
          <w:rFonts w:ascii="Calibri Light" w:hAnsi="Calibri Light"/>
          <w:color w:val="000000"/>
          <w:sz w:val="20"/>
        </w:rPr>
        <w:t>Conduct risk-based contract reviews and assurance over critical procurements.</w:t>
      </w:r>
    </w:p>
    <w:p>
      <w:pPr>
        <w:pStyle w:val="ListBullet"/>
        <w:spacing w:before="0" w:after="60" w:line="240" w:lineRule="auto"/>
        <w:ind w:left="397" w:hanging="198"/>
      </w:pPr>
      <w:r>
        <w:rPr>
          <w:rFonts w:ascii="Calibri Light" w:hAnsi="Calibri Light"/>
          <w:color w:val="000000"/>
          <w:sz w:val="20"/>
        </w:rPr>
        <w:t>Analyse repeated direct sourcing, limited competition and contract extensions for systemic causes.</w:t>
      </w:r>
    </w:p>
    <w:p>
      <w:pPr>
        <w:pStyle w:val="ListBullet"/>
        <w:spacing w:before="0" w:after="60" w:line="240" w:lineRule="auto"/>
        <w:ind w:left="397" w:hanging="198"/>
      </w:pPr>
      <w:r>
        <w:rPr>
          <w:rFonts w:ascii="Calibri Light" w:hAnsi="Calibri Light"/>
          <w:color w:val="000000"/>
          <w:sz w:val="20"/>
        </w:rPr>
        <w:t>Escalate underperformance promptly and use contractual remedies or redesign where appropriate.</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Implement category strategies and forward procurement pipelines informed by market capability and risk.</w:t>
      </w:r>
    </w:p>
    <w:p>
      <w:pPr>
        <w:pStyle w:val="ListBullet"/>
        <w:spacing w:before="0" w:after="60" w:line="240" w:lineRule="auto"/>
        <w:ind w:left="397" w:hanging="198"/>
      </w:pPr>
      <w:r>
        <w:rPr>
          <w:rFonts w:ascii="Calibri Light" w:hAnsi="Calibri Light"/>
          <w:color w:val="000000"/>
          <w:sz w:val="20"/>
        </w:rPr>
        <w:t>Use supplier and contract analytics to identify cost, performance and concentration trends.</w:t>
      </w:r>
    </w:p>
    <w:p>
      <w:pPr>
        <w:pStyle w:val="ListBullet"/>
        <w:spacing w:before="0" w:after="60" w:line="240" w:lineRule="auto"/>
        <w:ind w:left="397" w:hanging="198"/>
      </w:pPr>
      <w:r>
        <w:rPr>
          <w:rFonts w:ascii="Calibri Light" w:hAnsi="Calibri Light"/>
          <w:color w:val="000000"/>
          <w:sz w:val="20"/>
        </w:rPr>
        <w:t>Benchmark commercial outcomes and service levels against comparable arrangements.</w:t>
      </w:r>
    </w:p>
    <w:p>
      <w:pPr>
        <w:pStyle w:val="ListBullet"/>
        <w:spacing w:before="0" w:after="60" w:line="240" w:lineRule="auto"/>
        <w:ind w:left="397" w:hanging="198"/>
      </w:pPr>
      <w:r>
        <w:rPr>
          <w:rFonts w:ascii="Calibri Light" w:hAnsi="Calibri Light"/>
          <w:color w:val="000000"/>
          <w:sz w:val="20"/>
        </w:rPr>
        <w:t>Develop strategic supplier relationships and contingency plans for critical markets while preserving fairness and competition.</w:t>
      </w:r>
    </w:p>
    <w:p>
      <w:pPr>
        <w:spacing w:after="60"/>
      </w:pPr>
    </w:p>
    <w:p>
      <w:pPr>
        <w:pStyle w:val="Heading2"/>
        <w:keepNext/>
      </w:pPr>
      <w:r>
        <w:rPr>
          <w:rFonts w:ascii="Calibri Light" w:hAnsi="Calibri Light"/>
          <w:color w:val="000000"/>
        </w:rPr>
        <w:t>Element 19: Workforce Capability and Role Clarity</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The agency has the roles, skills, capacity and accountability required to deliver programs and maintain reliable governance and evidence.</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Work depends on individual expertise and informal role boundaries. Critical capability gaps, key-person dependencies and contractor reliance are not systematically managed.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workforce plans, role profiles, capability matrices and succession and learning plans; staff depend on local files, memory or informal advice.</w:t>
            </w:r>
          </w:p>
          <w:p>
            <w:pPr>
              <w:pStyle w:val="ListBullet"/>
              <w:keepNext/>
              <w:keepLines/>
              <w:spacing w:before="0" w:after="120"/>
            </w:pPr>
            <w:r>
              <w:rPr>
                <w:rFonts w:ascii="Calibri Light" w:hAnsi="Calibri Light"/>
                <w:b w:val="0"/>
                <w:color w:val="000000"/>
                <w:sz w:val="20"/>
              </w:rPr>
              <w:t>The treatment of critical roles, skills, capacity and accountabilities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workforce specialists, executives, managers and role holders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position descriptions, competency assessments, training records, workload data and succession plans, is incomplete, difficult to retrieve or created retrospectively, while monitoring of vacancies, turnover, single points of failure, capability gaps and role ambiguity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Position descriptions, workforce plans and training activities exist, but they are not consistently linked to program risks, future demand or audit-critical responsibilities.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workforce plans, role profiles, capability matrices and succession and learning plans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workforce specialists, executives, managers and role holders,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critical roles, skills, capacity and accountabilities,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position descriptions, competency assessments, training records, workload data and succession plans, is usually retained for significant matters, but routine monitoring of vacancies, turnover, single points of failure, capability gaps and role ambiguity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defines required capabilities, responsibilities, decision rights and evidence obligations for material functions. Workforce planning, recruitment, development, succession and contractor arrangements address identified needs.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workforce plans, role profiles, capability matrices and succession and learning plans cover critical roles, skills, capacity and accountabilities and are maintained through defined review, approval and change-control processes.</w:t>
            </w:r>
          </w:p>
          <w:p>
            <w:pPr>
              <w:pStyle w:val="ListBullet"/>
              <w:keepNext/>
              <w:keepLines/>
              <w:spacing w:before="0" w:after="120"/>
            </w:pPr>
            <w:r>
              <w:rPr>
                <w:rFonts w:ascii="Calibri Light" w:hAnsi="Calibri Light"/>
                <w:b w:val="0"/>
                <w:color w:val="000000"/>
                <w:sz w:val="20"/>
              </w:rPr>
              <w:t>Workforce specialists, executives, managers and role holders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position descriptions, competency assessments, training records, workload data and succession plans,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vacancies, turnover, single points of failure, capability gaps and role ambiguity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Capability and capacity are monitored using workload, performance, turnover, training, succession and quality information. The agency intervenes where gaps create delivery, control or audit risk.</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vacancies, turnover, single points of failure, capability gaps and role ambiguity, with named owners and timely escalation.</w:t>
            </w:r>
          </w:p>
          <w:p>
            <w:pPr>
              <w:pStyle w:val="ListBullet"/>
              <w:keepNext/>
              <w:keepLines/>
              <w:spacing w:before="0" w:after="120"/>
            </w:pPr>
            <w:r>
              <w:rPr>
                <w:rFonts w:ascii="Calibri Light" w:hAnsi="Calibri Light"/>
                <w:b w:val="0"/>
                <w:color w:val="000000"/>
                <w:sz w:val="20"/>
              </w:rPr>
              <w:t>Risk-based testing confirms whether workforce plans, role profiles, capability matrices and succession and learning plans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workforce planning, budgets, risk, performance and knowledge management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Workforce capability is adaptive and strategically managed. The agency builds multidisciplinary expertise, shares knowledge and uses workforce analytics and external partnerships to respond to emerging public sector challenges.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vacancies, turnover, single points of failure, capability gaps and role ambiguity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workforce plans, role profiles, capability matrices and succession and learning plans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workforce specialists, executives, managers and role holders,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position descriptions, competency assessments, training records, workload data and succession plans,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Identify critical roles, key-person dependencies, vacancy risks and functions heavily reliant on contractors.</w:t>
      </w:r>
    </w:p>
    <w:p>
      <w:pPr>
        <w:pStyle w:val="ListBullet"/>
        <w:spacing w:before="0" w:after="60" w:line="240" w:lineRule="auto"/>
        <w:ind w:left="397" w:hanging="198"/>
      </w:pPr>
      <w:r>
        <w:rPr>
          <w:rFonts w:ascii="Calibri Light" w:hAnsi="Calibri Light"/>
          <w:color w:val="000000"/>
          <w:sz w:val="20"/>
        </w:rPr>
        <w:t>Update role descriptions for program ownership, controls, data, records and audit response responsibilities.</w:t>
      </w:r>
    </w:p>
    <w:p>
      <w:pPr>
        <w:pStyle w:val="ListBullet"/>
        <w:spacing w:before="0" w:after="60" w:line="240" w:lineRule="auto"/>
        <w:ind w:left="397" w:hanging="198"/>
      </w:pPr>
      <w:r>
        <w:rPr>
          <w:rFonts w:ascii="Calibri Light" w:hAnsi="Calibri Light"/>
          <w:color w:val="000000"/>
          <w:sz w:val="20"/>
        </w:rPr>
        <w:t>Assess immediate capability gaps in priority programs and high-risk governance functions.</w:t>
      </w:r>
    </w:p>
    <w:p>
      <w:pPr>
        <w:pStyle w:val="ListBullet"/>
        <w:spacing w:before="0" w:after="60" w:line="240" w:lineRule="auto"/>
        <w:ind w:left="397" w:hanging="198"/>
      </w:pPr>
      <w:r>
        <w:rPr>
          <w:rFonts w:ascii="Calibri Light" w:hAnsi="Calibri Light"/>
          <w:color w:val="000000"/>
          <w:sz w:val="20"/>
        </w:rPr>
        <w:t>Capture essential procedures and knowledge held by individuals.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 capability framework and workforce plan linked to strategy, risk and service demand.</w:t>
      </w:r>
    </w:p>
    <w:p>
      <w:pPr>
        <w:pStyle w:val="ListBullet"/>
        <w:spacing w:before="0" w:after="60" w:line="240" w:lineRule="auto"/>
        <w:ind w:left="397" w:hanging="198"/>
      </w:pPr>
      <w:r>
        <w:rPr>
          <w:rFonts w:ascii="Calibri Light" w:hAnsi="Calibri Light"/>
          <w:color w:val="000000"/>
          <w:sz w:val="20"/>
        </w:rPr>
        <w:t>Define mandatory technical, management and governance competencies for critical roles.</w:t>
      </w:r>
    </w:p>
    <w:p>
      <w:pPr>
        <w:pStyle w:val="ListBullet"/>
        <w:spacing w:before="0" w:after="60" w:line="240" w:lineRule="auto"/>
        <w:ind w:left="397" w:hanging="198"/>
      </w:pPr>
      <w:r>
        <w:rPr>
          <w:rFonts w:ascii="Calibri Light" w:hAnsi="Calibri Light"/>
          <w:color w:val="000000"/>
          <w:sz w:val="20"/>
        </w:rPr>
        <w:t>Implement targeted recruitment, development, succession and knowledge-transfer plans.</w:t>
      </w:r>
    </w:p>
    <w:p>
      <w:pPr>
        <w:pStyle w:val="ListBullet"/>
        <w:spacing w:before="0" w:after="60" w:line="240" w:lineRule="auto"/>
        <w:ind w:left="397" w:hanging="198"/>
      </w:pPr>
      <w:r>
        <w:rPr>
          <w:rFonts w:ascii="Calibri Light" w:hAnsi="Calibri Light"/>
          <w:color w:val="000000"/>
          <w:sz w:val="20"/>
        </w:rPr>
        <w:t>Set clear accountability and deliverables for contractors and outsourced personnel.</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Monitor workload, turnover, vacancy duration, training completion, quality errors and succession coverage.</w:t>
      </w:r>
    </w:p>
    <w:p>
      <w:pPr>
        <w:pStyle w:val="ListBullet"/>
        <w:spacing w:before="0" w:after="60" w:line="240" w:lineRule="auto"/>
        <w:ind w:left="397" w:hanging="198"/>
      </w:pPr>
      <w:r>
        <w:rPr>
          <w:rFonts w:ascii="Calibri Light" w:hAnsi="Calibri Light"/>
          <w:color w:val="000000"/>
          <w:sz w:val="20"/>
        </w:rPr>
        <w:t>Test whether staff can perform critical procedures and produce required evidence.</w:t>
      </w:r>
    </w:p>
    <w:p>
      <w:pPr>
        <w:pStyle w:val="ListBullet"/>
        <w:spacing w:before="0" w:after="60" w:line="240" w:lineRule="auto"/>
        <w:ind w:left="397" w:hanging="198"/>
      </w:pPr>
      <w:r>
        <w:rPr>
          <w:rFonts w:ascii="Calibri Light" w:hAnsi="Calibri Light"/>
          <w:color w:val="000000"/>
          <w:sz w:val="20"/>
        </w:rPr>
        <w:t>Address persistent capability gaps through redesign, development, recruitment or external expertise.</w:t>
      </w:r>
    </w:p>
    <w:p>
      <w:pPr>
        <w:pStyle w:val="ListBullet"/>
        <w:spacing w:before="0" w:after="60" w:line="240" w:lineRule="auto"/>
        <w:ind w:left="397" w:hanging="198"/>
      </w:pPr>
      <w:r>
        <w:rPr>
          <w:rFonts w:ascii="Calibri Light" w:hAnsi="Calibri Light"/>
          <w:color w:val="000000"/>
          <w:sz w:val="20"/>
        </w:rPr>
        <w:t>Report material workforce risks and mitigation to executive governance.</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Use workforce analytics and scenario planning to anticipate future capability and capacity needs.</w:t>
      </w:r>
    </w:p>
    <w:p>
      <w:pPr>
        <w:pStyle w:val="ListBullet"/>
        <w:spacing w:before="0" w:after="60" w:line="240" w:lineRule="auto"/>
        <w:ind w:left="397" w:hanging="198"/>
      </w:pPr>
      <w:r>
        <w:rPr>
          <w:rFonts w:ascii="Calibri Light" w:hAnsi="Calibri Light"/>
          <w:color w:val="000000"/>
          <w:sz w:val="20"/>
        </w:rPr>
        <w:t>Develop communities of practice and cross-agency capability sharing for scarce disciplines.</w:t>
      </w:r>
    </w:p>
    <w:p>
      <w:pPr>
        <w:pStyle w:val="ListBullet"/>
        <w:spacing w:before="0" w:after="60" w:line="240" w:lineRule="auto"/>
        <w:ind w:left="397" w:hanging="198"/>
      </w:pPr>
      <w:r>
        <w:rPr>
          <w:rFonts w:ascii="Calibri Light" w:hAnsi="Calibri Light"/>
          <w:color w:val="000000"/>
          <w:sz w:val="20"/>
        </w:rPr>
        <w:t>Benchmark critical capability and productivity against comparable agencies.</w:t>
      </w:r>
    </w:p>
    <w:p>
      <w:pPr>
        <w:pStyle w:val="ListBullet"/>
        <w:spacing w:before="0" w:after="60" w:line="240" w:lineRule="auto"/>
        <w:ind w:left="397" w:hanging="198"/>
      </w:pPr>
      <w:r>
        <w:rPr>
          <w:rFonts w:ascii="Calibri Light" w:hAnsi="Calibri Light"/>
          <w:color w:val="000000"/>
          <w:sz w:val="20"/>
        </w:rPr>
        <w:t>Create structured rotations, simulations and accreditation pathways for audit-critical and specialist functions.</w:t>
      </w:r>
    </w:p>
    <w:p>
      <w:pPr>
        <w:spacing w:after="60"/>
      </w:pPr>
    </w:p>
    <w:p>
      <w:pPr>
        <w:pStyle w:val="Heading2"/>
        <w:keepNext/>
      </w:pPr>
      <w:r>
        <w:rPr>
          <w:rFonts w:ascii="Calibri Light" w:hAnsi="Calibri Light"/>
          <w:color w:val="000000"/>
        </w:rPr>
        <w:t>Element 20: Project, Change and Benefits Management</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Projects and changes are governed through approved cases, milestones, risk controls and verified benefits realisation.</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Projects commence without consistent business cases, governance or benefit definitions. Progress reporting focuses on activity and expenditure. Benefits are assumed rather than measured.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business cases, project-governance plans, delivery schedules and benefits registers; staff depend on local files, memory or informal advice.</w:t>
            </w:r>
          </w:p>
          <w:p>
            <w:pPr>
              <w:pStyle w:val="ListBullet"/>
              <w:keepNext/>
              <w:keepLines/>
              <w:spacing w:before="0" w:after="120"/>
            </w:pPr>
            <w:r>
              <w:rPr>
                <w:rFonts w:ascii="Calibri Light" w:hAnsi="Calibri Light"/>
                <w:b w:val="0"/>
                <w:color w:val="000000"/>
                <w:sz w:val="20"/>
              </w:rPr>
              <w:t>The treatment of projects, programs and material change initiatives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sponsors, project boards, project managers and benefit owners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approvals, milestone records, risk logs, decisions and benefits data, is incomplete, difficult to retrieve or created retrospectively, while monitoring of cost and schedule variance, scope change, benefit slippage and dependencies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Major projects use basic plans, governance and reporting. Requirements differ across areas, and change readiness, dependencies and post-implementation benefits may receive limited attention.</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business cases, project-governance plans, delivery schedules and benefits registers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sponsors, project boards, project managers and benefit owners,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projects, programs and material change initiatives,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approvals, milestone records, risk logs, decisions and benefits data, is usually retained for significant matters, but routine monitoring of cost and schedule variance, scope change, benefit slippage and dependencies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applies a proportionate project and change framework. Business cases, sponsorship, governance, scope, schedule, budget, risk, change impacts, benefits, assurance and closure are documented and approved.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business cases, project-governance plans, delivery schedules and benefits registers cover projects, programs and material change initiatives and are maintained through defined review, approval and change-control processes.</w:t>
            </w:r>
          </w:p>
          <w:p>
            <w:pPr>
              <w:pStyle w:val="ListBullet"/>
              <w:keepNext/>
              <w:keepLines/>
              <w:spacing w:before="0" w:after="120"/>
            </w:pPr>
            <w:r>
              <w:rPr>
                <w:rFonts w:ascii="Calibri Light" w:hAnsi="Calibri Light"/>
                <w:b w:val="0"/>
                <w:color w:val="000000"/>
                <w:sz w:val="20"/>
              </w:rPr>
              <w:t>Sponsors, project boards, project managers and benefit owners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approvals, milestone records, risk logs, decisions and benefits data,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cost and schedule variance, scope change, benefit slippage and dependencies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Portfolio and project performance is actively monitored. Forecast variance, dependencies, change adoption and benefits are independently challenged. Corrective action, re-baselining and cessation decisions are documented.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cost and schedule variance, scope change, benefit slippage and dependencies, with named owners and timely escalation.</w:t>
            </w:r>
          </w:p>
          <w:p>
            <w:pPr>
              <w:pStyle w:val="ListBullet"/>
              <w:keepNext/>
              <w:keepLines/>
              <w:spacing w:before="0" w:after="120"/>
            </w:pPr>
            <w:r>
              <w:rPr>
                <w:rFonts w:ascii="Calibri Light" w:hAnsi="Calibri Light"/>
                <w:b w:val="0"/>
                <w:color w:val="000000"/>
                <w:sz w:val="20"/>
              </w:rPr>
              <w:t>Risk-based testing confirms whether business cases, project-governance plans, delivery schedules and benefits registers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portfolio management, finance, risk, operations and performance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Investment delivery is portfolio-led and benefits-driven. The agency uses staged investment, agile learning, integrated assurance and comparative evidence to optimise outcomes and stop initiatives that no longer justify continued investment.</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cost and schedule variance, scope change, benefit slippage and dependencies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business cases, project-governance plans, delivery schedules and benefits registers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sponsors, project boards, project managers and benefit owners,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approvals, milestone records, risk logs, decisions and benefits data,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Inventory current projects and identify those without approved scope, sponsor, budget, risk and benefit ownership.</w:t>
      </w:r>
    </w:p>
    <w:p>
      <w:pPr>
        <w:pStyle w:val="ListBullet"/>
        <w:spacing w:before="0" w:after="60" w:line="240" w:lineRule="auto"/>
        <w:ind w:left="397" w:hanging="198"/>
      </w:pPr>
      <w:r>
        <w:rPr>
          <w:rFonts w:ascii="Calibri Light" w:hAnsi="Calibri Light"/>
          <w:color w:val="000000"/>
          <w:sz w:val="20"/>
        </w:rPr>
        <w:t>Establish minimum governance and reporting for high-risk or high-value initiatives.</w:t>
      </w:r>
    </w:p>
    <w:p>
      <w:pPr>
        <w:pStyle w:val="ListBullet"/>
        <w:spacing w:before="0" w:after="60" w:line="240" w:lineRule="auto"/>
        <w:ind w:left="397" w:hanging="198"/>
      </w:pPr>
      <w:r>
        <w:rPr>
          <w:rFonts w:ascii="Calibri Light" w:hAnsi="Calibri Light"/>
          <w:color w:val="000000"/>
          <w:sz w:val="20"/>
        </w:rPr>
        <w:t>Define intended benefits, beneficiaries and measures for priority projects.</w:t>
      </w:r>
    </w:p>
    <w:p>
      <w:pPr>
        <w:pStyle w:val="ListBullet"/>
        <w:spacing w:before="0" w:after="60" w:line="240" w:lineRule="auto"/>
        <w:ind w:left="397" w:hanging="198"/>
      </w:pPr>
      <w:r>
        <w:rPr>
          <w:rFonts w:ascii="Calibri Light" w:hAnsi="Calibri Light"/>
          <w:color w:val="000000"/>
          <w:sz w:val="20"/>
        </w:rPr>
        <w:t>Document material dependencies, change impacts and implementation risks.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 proportionate project, change and benefits management framework.</w:t>
      </w:r>
    </w:p>
    <w:p>
      <w:pPr>
        <w:pStyle w:val="ListBullet"/>
        <w:spacing w:before="0" w:after="60" w:line="240" w:lineRule="auto"/>
        <w:ind w:left="397" w:hanging="198"/>
      </w:pPr>
      <w:r>
        <w:rPr>
          <w:rFonts w:ascii="Calibri Light" w:hAnsi="Calibri Light"/>
          <w:color w:val="000000"/>
          <w:sz w:val="20"/>
        </w:rPr>
        <w:t>Standardise business cases, stage gates, reporting, change control, assurance and closure requirements.</w:t>
      </w:r>
    </w:p>
    <w:p>
      <w:pPr>
        <w:pStyle w:val="ListBullet"/>
        <w:spacing w:before="0" w:after="60" w:line="240" w:lineRule="auto"/>
        <w:ind w:left="397" w:hanging="198"/>
      </w:pPr>
      <w:r>
        <w:rPr>
          <w:rFonts w:ascii="Calibri Light" w:hAnsi="Calibri Light"/>
          <w:color w:val="000000"/>
          <w:sz w:val="20"/>
        </w:rPr>
        <w:t>Assign benefit owners separate from delivery managers where appropriate.</w:t>
      </w:r>
    </w:p>
    <w:p>
      <w:pPr>
        <w:pStyle w:val="ListBullet"/>
        <w:spacing w:before="0" w:after="60" w:line="240" w:lineRule="auto"/>
        <w:ind w:left="397" w:hanging="198"/>
      </w:pPr>
      <w:r>
        <w:rPr>
          <w:rFonts w:ascii="Calibri Light" w:hAnsi="Calibri Light"/>
          <w:color w:val="000000"/>
          <w:sz w:val="20"/>
        </w:rPr>
        <w:t>Train sponsors, project managers and governance boards in evidence-based oversight.</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Use portfolio reporting to analyse forecast variance, dependency risk, delivery confidence and benefits.</w:t>
      </w:r>
    </w:p>
    <w:p>
      <w:pPr>
        <w:pStyle w:val="ListBullet"/>
        <w:spacing w:before="0" w:after="60" w:line="240" w:lineRule="auto"/>
        <w:ind w:left="397" w:hanging="198"/>
      </w:pPr>
      <w:r>
        <w:rPr>
          <w:rFonts w:ascii="Calibri Light" w:hAnsi="Calibri Light"/>
          <w:color w:val="000000"/>
          <w:sz w:val="20"/>
        </w:rPr>
        <w:t>Conduct independent health checks at risk-based stage gates.</w:t>
      </w:r>
    </w:p>
    <w:p>
      <w:pPr>
        <w:pStyle w:val="ListBullet"/>
        <w:spacing w:before="0" w:after="60" w:line="240" w:lineRule="auto"/>
        <w:ind w:left="397" w:hanging="198"/>
      </w:pPr>
      <w:r>
        <w:rPr>
          <w:rFonts w:ascii="Calibri Light" w:hAnsi="Calibri Light"/>
          <w:color w:val="000000"/>
          <w:sz w:val="20"/>
        </w:rPr>
        <w:t>Require formal justification and approval for re-baselining, major variations and continued investment.</w:t>
      </w:r>
    </w:p>
    <w:p>
      <w:pPr>
        <w:pStyle w:val="ListBullet"/>
        <w:spacing w:before="0" w:after="60" w:line="240" w:lineRule="auto"/>
        <w:ind w:left="397" w:hanging="198"/>
      </w:pPr>
      <w:r>
        <w:rPr>
          <w:rFonts w:ascii="Calibri Light" w:hAnsi="Calibri Light"/>
          <w:color w:val="000000"/>
          <w:sz w:val="20"/>
        </w:rPr>
        <w:t>Verify benefits after implementation and address gaps between promised and realised outcomes.</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Apply portfolio optimisation to pause, stop or redirect initiatives according to public value and delivery confidence.</w:t>
      </w:r>
    </w:p>
    <w:p>
      <w:pPr>
        <w:pStyle w:val="ListBullet"/>
        <w:spacing w:before="0" w:after="60" w:line="240" w:lineRule="auto"/>
        <w:ind w:left="397" w:hanging="198"/>
      </w:pPr>
      <w:r>
        <w:rPr>
          <w:rFonts w:ascii="Calibri Light" w:hAnsi="Calibri Light"/>
          <w:color w:val="000000"/>
          <w:sz w:val="20"/>
        </w:rPr>
        <w:t>Use staged funding, experimentation and rapid feedback for uncertain initiatives.</w:t>
      </w:r>
    </w:p>
    <w:p>
      <w:pPr>
        <w:pStyle w:val="ListBullet"/>
        <w:spacing w:before="0" w:after="60" w:line="240" w:lineRule="auto"/>
        <w:ind w:left="397" w:hanging="198"/>
      </w:pPr>
      <w:r>
        <w:rPr>
          <w:rFonts w:ascii="Calibri Light" w:hAnsi="Calibri Light"/>
          <w:color w:val="000000"/>
          <w:sz w:val="20"/>
        </w:rPr>
        <w:t>Benchmark project performance and benefit realisation against comparable programs.</w:t>
      </w:r>
    </w:p>
    <w:p>
      <w:pPr>
        <w:pStyle w:val="ListBullet"/>
        <w:spacing w:before="0" w:after="60" w:line="240" w:lineRule="auto"/>
        <w:ind w:left="397" w:hanging="198"/>
      </w:pPr>
      <w:r>
        <w:rPr>
          <w:rFonts w:ascii="Calibri Light" w:hAnsi="Calibri Light"/>
          <w:color w:val="000000"/>
          <w:sz w:val="20"/>
        </w:rPr>
        <w:t>Integrate project, operational and strategic data to improve investment selection and execution.</w:t>
      </w:r>
    </w:p>
    <w:p>
      <w:pPr>
        <w:spacing w:after="60"/>
      </w:pPr>
    </w:p>
    <w:p>
      <w:pPr>
        <w:pStyle w:val="Heading1"/>
        <w:keepNext/>
      </w:pPr>
      <w:r>
        <w:rPr>
          <w:rFonts w:ascii="Calibri Light" w:hAnsi="Calibri Light"/>
          <w:color w:val="000000"/>
        </w:rPr>
        <w:t>Topic 5: Evidence, Accountability and Transparency</w:t>
      </w:r>
    </w:p>
    <w:p>
      <w:pPr>
        <w:spacing w:before="0" w:after="120" w:line="240" w:lineRule="auto"/>
      </w:pPr>
      <w:r>
        <w:rPr>
          <w:rFonts w:ascii="Calibri Light" w:hAnsi="Calibri Light"/>
          <w:color w:val="000000"/>
          <w:sz w:val="20"/>
        </w:rPr>
        <w:t>Evidence, Accountability and Transparency assesses whether the agency can substantiate what it did, why it acted, how decisions were made and what results were achieved. It tests the reliability, traceability and accessibility of the audit trail.</w:t>
      </w:r>
    </w:p>
    <w:p>
      <w:pPr>
        <w:pStyle w:val="Heading2"/>
        <w:keepNext/>
      </w:pPr>
      <w:r>
        <w:rPr>
          <w:rFonts w:ascii="Calibri Light" w:hAnsi="Calibri Light"/>
          <w:color w:val="000000"/>
        </w:rPr>
        <w:t>Element 21: Records and Evidence Management</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Records are complete, accurate, accessible, secure and retained so material actions, controls and results can be demonstrated.</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Records are dispersed across personal drives, email and local systems. Filing depends on individual practice. Material decisions, approvals and control evidence may be missing or difficult to retrieve.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records policies, classification schemes, retention schedules and evidence indexes; staff depend on local files, memory or informal advice.</w:t>
            </w:r>
          </w:p>
          <w:p>
            <w:pPr>
              <w:pStyle w:val="ListBullet"/>
              <w:keepNext/>
              <w:keepLines/>
              <w:spacing w:before="0" w:after="120"/>
            </w:pPr>
            <w:r>
              <w:rPr>
                <w:rFonts w:ascii="Calibri Light" w:hAnsi="Calibri Light"/>
                <w:b w:val="0"/>
                <w:color w:val="000000"/>
                <w:sz w:val="20"/>
              </w:rPr>
              <w:t>The treatment of material decisions, transactions, controls and performance results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records managers, system owners, business units and all staff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complete records, metadata, retention and disposal logs and access trails, is incomplete, difficult to retrieve or created retrospectively, while monitoring of missing records, unauthorised storage, retrieval delays and disposal breaches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The agency has records policies and an electronic system, but adoption and classification are inconsistent. Business areas maintain parallel repositories and retrieval performance varies.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records policies, classification schemes, retention schedules and evidence indexes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records managers, system owners, business units and all staff,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material decisions, transactions, controls and performance results,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complete records, metadata, retention and disposal logs and access trails, is usually retained for significant matters, but routine monitoring of missing records, unauthorised storage, retrieval delays and disposal breaches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Records requirements are embedded in processes. The agency defines what must be retained, where, by whom, for how long and with what security. Staff use controlled systems and records are searchable and linked to activities.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records policies, classification schemes, retention schedules and evidence indexes cover material decisions, transactions, controls and performance results and are maintained through defined review, approval and change-control processes.</w:t>
            </w:r>
          </w:p>
          <w:p>
            <w:pPr>
              <w:pStyle w:val="ListBullet"/>
              <w:keepNext/>
              <w:keepLines/>
              <w:spacing w:before="0" w:after="120"/>
            </w:pPr>
            <w:r>
              <w:rPr>
                <w:rFonts w:ascii="Calibri Light" w:hAnsi="Calibri Light"/>
                <w:b w:val="0"/>
                <w:color w:val="000000"/>
                <w:sz w:val="20"/>
              </w:rPr>
              <w:t>Records managers, system owners, business units and all staff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complete records, metadata, retention and disposal logs and access trails,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missing records, unauthorised storage, retrieval delays and disposal breaches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Recordkeeping compliance and retrieval are monitored through audits, sampling and incident analysis. Missing evidence, access problems and unauthorised storage are remediated. High-risk records receive enhanced controls.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missing records, unauthorised storage, retrieval delays and disposal breaches, with named owners and timely escalation.</w:t>
            </w:r>
          </w:p>
          <w:p>
            <w:pPr>
              <w:pStyle w:val="ListBullet"/>
              <w:keepNext/>
              <w:keepLines/>
              <w:spacing w:before="0" w:after="120"/>
            </w:pPr>
            <w:r>
              <w:rPr>
                <w:rFonts w:ascii="Calibri Light" w:hAnsi="Calibri Light"/>
                <w:b w:val="0"/>
                <w:color w:val="000000"/>
                <w:sz w:val="20"/>
              </w:rPr>
              <w:t>Risk-based testing confirms whether records policies, classification schemes, retention schedules and evidence indexes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business systems, workflows, information access and audit response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Evidence management is integrated, automated and user-centred. Metadata, workflow capture and analytics support reliable retrieval, legal compliance and efficient audit response across the information lifecycle.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missing records, unauthorised storage, retrieval delays and disposal breaches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records policies, classification schemes, retention schedules and evidence indexes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records managers, system owners, business units and all staff,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complete records, metadata, retention and disposal logs and access trails,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Identify audit-critical records for priority programs, decisions, controls, transactions and performance results.</w:t>
      </w:r>
    </w:p>
    <w:p>
      <w:pPr>
        <w:pStyle w:val="ListBullet"/>
        <w:spacing w:before="0" w:after="60" w:line="240" w:lineRule="auto"/>
        <w:ind w:left="397" w:hanging="198"/>
      </w:pPr>
      <w:r>
        <w:rPr>
          <w:rFonts w:ascii="Calibri Light" w:hAnsi="Calibri Light"/>
          <w:color w:val="000000"/>
          <w:sz w:val="20"/>
        </w:rPr>
        <w:t>Locate records held in uncontrolled repositories and transfer priority evidence to approved systems.</w:t>
      </w:r>
    </w:p>
    <w:p>
      <w:pPr>
        <w:pStyle w:val="ListBullet"/>
        <w:spacing w:before="0" w:after="60" w:line="240" w:lineRule="auto"/>
        <w:ind w:left="397" w:hanging="198"/>
      </w:pPr>
      <w:r>
        <w:rPr>
          <w:rFonts w:ascii="Calibri Light" w:hAnsi="Calibri Light"/>
          <w:color w:val="000000"/>
          <w:sz w:val="20"/>
        </w:rPr>
        <w:t>Assign recordkeeping responsibilities and introduce simple naming, classification and retention rules.</w:t>
      </w:r>
    </w:p>
    <w:p>
      <w:pPr>
        <w:pStyle w:val="ListBullet"/>
        <w:spacing w:before="0" w:after="60" w:line="240" w:lineRule="auto"/>
        <w:ind w:left="397" w:hanging="198"/>
      </w:pPr>
      <w:r>
        <w:rPr>
          <w:rFonts w:ascii="Calibri Light" w:hAnsi="Calibri Light"/>
          <w:color w:val="000000"/>
          <w:sz w:val="20"/>
        </w:rPr>
        <w:t>Test retrieval of a sample of material records and address immediate gaps.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process-specific records schedules and evidence requirements.</w:t>
      </w:r>
    </w:p>
    <w:p>
      <w:pPr>
        <w:pStyle w:val="ListBullet"/>
        <w:spacing w:before="0" w:after="60" w:line="240" w:lineRule="auto"/>
        <w:ind w:left="397" w:hanging="198"/>
      </w:pPr>
      <w:r>
        <w:rPr>
          <w:rFonts w:ascii="Calibri Light" w:hAnsi="Calibri Light"/>
          <w:color w:val="000000"/>
          <w:sz w:val="20"/>
        </w:rPr>
        <w:t>Embed record creation and capture into workflows rather than relying on end-of-process filing.</w:t>
      </w:r>
    </w:p>
    <w:p>
      <w:pPr>
        <w:pStyle w:val="ListBullet"/>
        <w:spacing w:before="0" w:after="60" w:line="240" w:lineRule="auto"/>
        <w:ind w:left="397" w:hanging="198"/>
      </w:pPr>
      <w:r>
        <w:rPr>
          <w:rFonts w:ascii="Calibri Light" w:hAnsi="Calibri Light"/>
          <w:color w:val="000000"/>
          <w:sz w:val="20"/>
        </w:rPr>
        <w:t>Train staff and contractors in approved systems, security classifications and disposal obligations.</w:t>
      </w:r>
    </w:p>
    <w:p>
      <w:pPr>
        <w:pStyle w:val="ListBullet"/>
        <w:spacing w:before="0" w:after="60" w:line="240" w:lineRule="auto"/>
        <w:ind w:left="397" w:hanging="198"/>
      </w:pPr>
      <w:r>
        <w:rPr>
          <w:rFonts w:ascii="Calibri Light" w:hAnsi="Calibri Light"/>
          <w:color w:val="000000"/>
          <w:sz w:val="20"/>
        </w:rPr>
        <w:t>Establish controlled links between records, decisions, transactions, performance results and action registers.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Measure filing timeliness, retrieval success, missing evidence, duplicate repositories and access breaches.</w:t>
      </w:r>
    </w:p>
    <w:p>
      <w:pPr>
        <w:pStyle w:val="ListBullet"/>
        <w:spacing w:before="0" w:after="60" w:line="240" w:lineRule="auto"/>
        <w:ind w:left="397" w:hanging="198"/>
      </w:pPr>
      <w:r>
        <w:rPr>
          <w:rFonts w:ascii="Calibri Light" w:hAnsi="Calibri Light"/>
          <w:color w:val="000000"/>
          <w:sz w:val="20"/>
        </w:rPr>
        <w:t>Conduct risk-based recordkeeping audits and remediate systemic weaknesses.</w:t>
      </w:r>
    </w:p>
    <w:p>
      <w:pPr>
        <w:pStyle w:val="ListBullet"/>
        <w:spacing w:before="0" w:after="60" w:line="240" w:lineRule="auto"/>
        <w:ind w:left="397" w:hanging="198"/>
      </w:pPr>
      <w:r>
        <w:rPr>
          <w:rFonts w:ascii="Calibri Light" w:hAnsi="Calibri Light"/>
          <w:color w:val="000000"/>
          <w:sz w:val="20"/>
        </w:rPr>
        <w:t>Strengthen controls for sensitive, high-value and long-lived program records.</w:t>
      </w:r>
    </w:p>
    <w:p>
      <w:pPr>
        <w:pStyle w:val="ListBullet"/>
        <w:spacing w:before="0" w:after="60" w:line="240" w:lineRule="auto"/>
        <w:ind w:left="397" w:hanging="198"/>
      </w:pPr>
      <w:r>
        <w:rPr>
          <w:rFonts w:ascii="Calibri Light" w:hAnsi="Calibri Light"/>
          <w:color w:val="000000"/>
          <w:sz w:val="20"/>
        </w:rPr>
        <w:t>Report material evidence gaps and accepted risks to executive governance.</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Automate metadata, retention, workflow capture and audit trails where feasible.</w:t>
      </w:r>
    </w:p>
    <w:p>
      <w:pPr>
        <w:pStyle w:val="ListBullet"/>
        <w:spacing w:before="0" w:after="60" w:line="240" w:lineRule="auto"/>
        <w:ind w:left="397" w:hanging="198"/>
      </w:pPr>
      <w:r>
        <w:rPr>
          <w:rFonts w:ascii="Calibri Light" w:hAnsi="Calibri Light"/>
          <w:color w:val="000000"/>
          <w:sz w:val="20"/>
        </w:rPr>
        <w:t>Use analytics to detect unfiled records, unusual deletion, duplicate stores and access anomalies.</w:t>
      </w:r>
    </w:p>
    <w:p>
      <w:pPr>
        <w:pStyle w:val="ListBullet"/>
        <w:spacing w:before="0" w:after="60" w:line="240" w:lineRule="auto"/>
        <w:ind w:left="397" w:hanging="198"/>
      </w:pPr>
      <w:r>
        <w:rPr>
          <w:rFonts w:ascii="Calibri Light" w:hAnsi="Calibri Light"/>
          <w:color w:val="000000"/>
          <w:sz w:val="20"/>
        </w:rPr>
        <w:t>Benchmark retrieval and information lifecycle performance against leading practice.</w:t>
      </w:r>
    </w:p>
    <w:p>
      <w:pPr>
        <w:pStyle w:val="ListBullet"/>
        <w:spacing w:before="0" w:after="60" w:line="240" w:lineRule="auto"/>
        <w:ind w:left="397" w:hanging="198"/>
      </w:pPr>
      <w:r>
        <w:rPr>
          <w:rFonts w:ascii="Calibri Light" w:hAnsi="Calibri Light"/>
          <w:color w:val="000000"/>
          <w:sz w:val="20"/>
        </w:rPr>
        <w:t>Integrate records architecture with audit readiness, data governance and knowledge management.</w:t>
      </w:r>
    </w:p>
    <w:p>
      <w:pPr>
        <w:spacing w:after="60"/>
      </w:pPr>
    </w:p>
    <w:p>
      <w:pPr>
        <w:pStyle w:val="Heading2"/>
        <w:keepNext/>
      </w:pPr>
      <w:r>
        <w:rPr>
          <w:rFonts w:ascii="Calibri Light" w:hAnsi="Calibri Light"/>
          <w:color w:val="000000"/>
        </w:rPr>
        <w:t>Element 22: Decision Documentation and Traceability</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Material decisions record the issue, evidence, options, risks, authority, conflicts, reasons, approval and implementation.</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Decisions are conveyed through email or verbal direction with limited explanation. The agency cannot consistently reconstruct what was decided, by whom, under what authority or on what evidence.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decision templates, decision registers, approval workflows and traceability maps; staff depend on local files, memory or informal advice.</w:t>
            </w:r>
          </w:p>
          <w:p>
            <w:pPr>
              <w:pStyle w:val="ListBullet"/>
              <w:keepNext/>
              <w:keepLines/>
              <w:spacing w:before="0" w:after="120"/>
            </w:pPr>
            <w:r>
              <w:rPr>
                <w:rFonts w:ascii="Calibri Light" w:hAnsi="Calibri Light"/>
                <w:b w:val="0"/>
                <w:color w:val="000000"/>
                <w:sz w:val="20"/>
              </w:rPr>
              <w:t>The treatment of material policy, program, financial and operational decisions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decision-makers, advisers, delegates and committee secretariats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options analyses, risk advice, authority checks, reasons, approvals and implementation records, is incomplete, difficult to retrieve or created retrospectively, while monitoring of undocumented decisions, retrospective approvals, incomplete rationales and unmanaged conflicts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Templates and approval processes exist for some decisions. Documentation quality varies and options, conflicts, risks or reasons may be omitted.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decision templates, decision registers, approval workflows and traceability maps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decision-makers, advisers, delegates and committee secretariats,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material policy, program, financial and operational decisions,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options analyses, risk advice, authority checks, reasons, approvals and implementation records, is usually retained for significant matters, but routine monitoring of undocumented decisions, retrospective approvals, incomplete rationales and unmanaged conflicts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Material decisions use approved documentation standards. Records identify the decision-maker, authority, issue, evidence, options, consultation, risks, conflicts, reasons, conditions and required follow-up.</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decision templates, decision registers, approval workflows and traceability maps cover material policy, program, financial and operational decisions and are maintained through defined review, approval and change-control processes.</w:t>
            </w:r>
          </w:p>
          <w:p>
            <w:pPr>
              <w:pStyle w:val="ListBullet"/>
              <w:keepNext/>
              <w:keepLines/>
              <w:spacing w:before="0" w:after="120"/>
            </w:pPr>
            <w:r>
              <w:rPr>
                <w:rFonts w:ascii="Calibri Light" w:hAnsi="Calibri Light"/>
                <w:b w:val="0"/>
                <w:color w:val="000000"/>
                <w:sz w:val="20"/>
              </w:rPr>
              <w:t>Decision-makers, advisers, delegates and committee secretariats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options analyses, risk advice, authority checks, reasons, approvals and implementation records,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undocumented decisions, retrospective approvals, incomplete rationales and unmanaged conflicts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Decision quality and implementation are periodically reviewed. Management tests whether advice was balanced, authority correct, reasons defensible and actions completed. Recurring weaknesses are addressed.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undocumented decisions, retrospective approvals, incomplete rationales and unmanaged conflicts, with named owners and timely escalation.</w:t>
            </w:r>
          </w:p>
          <w:p>
            <w:pPr>
              <w:pStyle w:val="ListBullet"/>
              <w:keepNext/>
              <w:keepLines/>
              <w:spacing w:before="0" w:after="120"/>
            </w:pPr>
            <w:r>
              <w:rPr>
                <w:rFonts w:ascii="Calibri Light" w:hAnsi="Calibri Light"/>
                <w:b w:val="0"/>
                <w:color w:val="000000"/>
                <w:sz w:val="20"/>
              </w:rPr>
              <w:t>Risk-based testing confirms whether decision templates, decision registers, approval workflows and traceability maps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records management, delegations, risk assessment and implementation tracking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Decision-making is transparent, proportionate and analytically mature. Digital traceability, independent challenge and outcome review allow the agency to learn from decisions and demonstrate fairness and public value.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undocumented decisions, retrospective approvals, incomplete rationales and unmanaged conflicts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decision templates, decision registers, approval workflows and traceability maps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decision-makers, advisers, delegates and committee secretariats,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options analyses, risk advice, authority checks, reasons, approvals and implementation records,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Identify decision types that create significant financial, service, legal, integrity or reputational risk.</w:t>
      </w:r>
    </w:p>
    <w:p>
      <w:pPr>
        <w:pStyle w:val="ListBullet"/>
        <w:spacing w:before="0" w:after="60" w:line="240" w:lineRule="auto"/>
        <w:ind w:left="397" w:hanging="198"/>
      </w:pPr>
      <w:r>
        <w:rPr>
          <w:rFonts w:ascii="Calibri Light" w:hAnsi="Calibri Light"/>
          <w:color w:val="000000"/>
          <w:sz w:val="20"/>
        </w:rPr>
        <w:t>Introduce an interim decision record covering authority, evidence, options, risks, conflicts and reasons.</w:t>
      </w:r>
    </w:p>
    <w:p>
      <w:pPr>
        <w:pStyle w:val="ListBullet"/>
        <w:spacing w:before="0" w:after="60" w:line="240" w:lineRule="auto"/>
        <w:ind w:left="397" w:hanging="198"/>
      </w:pPr>
      <w:r>
        <w:rPr>
          <w:rFonts w:ascii="Calibri Light" w:hAnsi="Calibri Light"/>
          <w:color w:val="000000"/>
          <w:sz w:val="20"/>
        </w:rPr>
        <w:t>Require formal records for material verbal or email decisions.</w:t>
      </w:r>
    </w:p>
    <w:p>
      <w:pPr>
        <w:pStyle w:val="ListBullet"/>
        <w:spacing w:before="0" w:after="60" w:line="240" w:lineRule="auto"/>
        <w:ind w:left="397" w:hanging="198"/>
      </w:pPr>
      <w:r>
        <w:rPr>
          <w:rFonts w:ascii="Calibri Light" w:hAnsi="Calibri Light"/>
          <w:color w:val="000000"/>
          <w:sz w:val="20"/>
        </w:rPr>
        <w:t>Create a decision register for high-risk and precedent-setting matters.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decision-documentation standards and proportionate templates.</w:t>
      </w:r>
    </w:p>
    <w:p>
      <w:pPr>
        <w:pStyle w:val="ListBullet"/>
        <w:spacing w:before="0" w:after="60" w:line="240" w:lineRule="auto"/>
        <w:ind w:left="397" w:hanging="198"/>
      </w:pPr>
      <w:r>
        <w:rPr>
          <w:rFonts w:ascii="Calibri Light" w:hAnsi="Calibri Light"/>
          <w:color w:val="000000"/>
          <w:sz w:val="20"/>
        </w:rPr>
        <w:t>Embed authority, conflict, consultation, privacy and recordkeeping checks in approval workflows.</w:t>
      </w:r>
    </w:p>
    <w:p>
      <w:pPr>
        <w:pStyle w:val="ListBullet"/>
        <w:spacing w:before="0" w:after="60" w:line="240" w:lineRule="auto"/>
        <w:ind w:left="397" w:hanging="198"/>
      </w:pPr>
      <w:r>
        <w:rPr>
          <w:rFonts w:ascii="Calibri Light" w:hAnsi="Calibri Light"/>
          <w:color w:val="000000"/>
          <w:sz w:val="20"/>
        </w:rPr>
        <w:t>Train advisers and delegates in options analysis, procedural fairness and statement of reasons.</w:t>
      </w:r>
    </w:p>
    <w:p>
      <w:pPr>
        <w:pStyle w:val="ListBullet"/>
        <w:spacing w:before="0" w:after="60" w:line="240" w:lineRule="auto"/>
        <w:ind w:left="397" w:hanging="198"/>
      </w:pPr>
      <w:r>
        <w:rPr>
          <w:rFonts w:ascii="Calibri Light" w:hAnsi="Calibri Light"/>
          <w:color w:val="000000"/>
          <w:sz w:val="20"/>
        </w:rPr>
        <w:t>Link decisions to implementation actions, conditions and review dates.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Review a risk-based sample of decisions for authority, evidence quality, balance, reasons and implementation.</w:t>
      </w:r>
    </w:p>
    <w:p>
      <w:pPr>
        <w:pStyle w:val="ListBullet"/>
        <w:spacing w:before="0" w:after="60" w:line="240" w:lineRule="auto"/>
        <w:ind w:left="397" w:hanging="198"/>
      </w:pPr>
      <w:r>
        <w:rPr>
          <w:rFonts w:ascii="Calibri Light" w:hAnsi="Calibri Light"/>
          <w:color w:val="000000"/>
          <w:sz w:val="20"/>
        </w:rPr>
        <w:t>Analyse recurring deficiencies in briefs and approvals and strengthen templates or training.</w:t>
      </w:r>
    </w:p>
    <w:p>
      <w:pPr>
        <w:pStyle w:val="ListBullet"/>
        <w:spacing w:before="0" w:after="60" w:line="240" w:lineRule="auto"/>
        <w:ind w:left="397" w:hanging="198"/>
      </w:pPr>
      <w:r>
        <w:rPr>
          <w:rFonts w:ascii="Calibri Light" w:hAnsi="Calibri Light"/>
          <w:color w:val="000000"/>
          <w:sz w:val="20"/>
        </w:rPr>
        <w:t>Escalate material decisions made outside authority or without adequate evidence.</w:t>
      </w:r>
    </w:p>
    <w:p>
      <w:pPr>
        <w:pStyle w:val="ListBullet"/>
        <w:spacing w:before="0" w:after="60" w:line="240" w:lineRule="auto"/>
        <w:ind w:left="397" w:hanging="198"/>
      </w:pPr>
      <w:r>
        <w:rPr>
          <w:rFonts w:ascii="Calibri Light" w:hAnsi="Calibri Light"/>
          <w:color w:val="000000"/>
          <w:sz w:val="20"/>
        </w:rPr>
        <w:t>Report decision-quality trends to executive governance and relevant assurance bodies.</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Digitise decision trails from advice and evidence through approval, action and outcome review.</w:t>
      </w:r>
    </w:p>
    <w:p>
      <w:pPr>
        <w:pStyle w:val="ListBullet"/>
        <w:spacing w:before="0" w:after="60" w:line="240" w:lineRule="auto"/>
        <w:ind w:left="397" w:hanging="198"/>
      </w:pPr>
      <w:r>
        <w:rPr>
          <w:rFonts w:ascii="Calibri Light" w:hAnsi="Calibri Light"/>
          <w:color w:val="000000"/>
          <w:sz w:val="20"/>
        </w:rPr>
        <w:t>Use independent challenge for highly contested, novel or high-impact decisions.</w:t>
      </w:r>
    </w:p>
    <w:p>
      <w:pPr>
        <w:pStyle w:val="ListBullet"/>
        <w:spacing w:before="0" w:after="60" w:line="240" w:lineRule="auto"/>
        <w:ind w:left="397" w:hanging="198"/>
      </w:pPr>
      <w:r>
        <w:rPr>
          <w:rFonts w:ascii="Calibri Light" w:hAnsi="Calibri Light"/>
          <w:color w:val="000000"/>
          <w:sz w:val="20"/>
        </w:rPr>
        <w:t>Benchmark decision timeliness and quality against comparable functions.</w:t>
      </w:r>
    </w:p>
    <w:p>
      <w:pPr>
        <w:pStyle w:val="ListBullet"/>
        <w:spacing w:before="0" w:after="60" w:line="240" w:lineRule="auto"/>
        <w:ind w:left="397" w:hanging="198"/>
      </w:pPr>
      <w:r>
        <w:rPr>
          <w:rFonts w:ascii="Calibri Light" w:hAnsi="Calibri Light"/>
          <w:color w:val="000000"/>
          <w:sz w:val="20"/>
        </w:rPr>
        <w:t>Evaluate significant decisions after implementation and feed lessons into future advice.</w:t>
      </w:r>
    </w:p>
    <w:p>
      <w:pPr>
        <w:spacing w:after="60"/>
      </w:pPr>
    </w:p>
    <w:p>
      <w:pPr>
        <w:pStyle w:val="Heading2"/>
        <w:keepNext/>
      </w:pPr>
      <w:r>
        <w:rPr>
          <w:rFonts w:ascii="Calibri Light" w:hAnsi="Calibri Light"/>
          <w:color w:val="000000"/>
        </w:rPr>
        <w:t>Element 23: Data Governance and Information Integrity</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Data ownership, definitions, access, quality, lineage and change are governed so information can be trusted and reproduced.</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Data is managed within separate systems and teams. Ownership and definitions are unclear, access is broad and reported figures may differ depending on the source used.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data-governance frameworks, data catalogues, ownership matrices and lineage maps; staff depend on local files, memory or informal advice.</w:t>
            </w:r>
          </w:p>
          <w:p>
            <w:pPr>
              <w:pStyle w:val="ListBullet"/>
              <w:keepNext/>
              <w:keepLines/>
              <w:spacing w:before="0" w:after="120"/>
            </w:pPr>
            <w:r>
              <w:rPr>
                <w:rFonts w:ascii="Calibri Light" w:hAnsi="Calibri Light"/>
                <w:b w:val="0"/>
                <w:color w:val="000000"/>
                <w:sz w:val="20"/>
              </w:rPr>
              <w:t>The treatment of critical data assets and information flows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the chief data function, data owners, data stewards, system owners and users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data definitions, access approvals, quality results, lineage records and change logs, is incomplete, difficult to retrieve or created retrospectively, while monitoring of data-quality failures, unauthorised access, duplicate sources and broken lineage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The agency has begun identifying key data sets and owners. Some dictionaries, access controls and quality checks exist, but enterprise consistency and lineage remain limited.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data-governance frameworks, data catalogues, ownership matrices and lineage maps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the chief data function, data owners, data stewards, system owners and users,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critical data assets and information flows,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data definitions, access approvals, quality results, lineage records and change logs, is usually retained for significant matters, but routine monitoring of data-quality failures, unauthorised access, duplicate sources and broken lineage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Critical data assets have approved owners, definitions, classifications, quality standards, access rules, lineage and change controls. Authoritative sources are identified and data issues are managed through defined governance.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data-governance frameworks, data catalogues, ownership matrices and lineage maps cover critical data assets and information flows and are maintained through defined review, approval and change-control processes.</w:t>
            </w:r>
          </w:p>
          <w:p>
            <w:pPr>
              <w:pStyle w:val="ListBullet"/>
              <w:keepNext/>
              <w:keepLines/>
              <w:spacing w:before="0" w:after="120"/>
            </w:pPr>
            <w:r>
              <w:rPr>
                <w:rFonts w:ascii="Calibri Light" w:hAnsi="Calibri Light"/>
                <w:b w:val="0"/>
                <w:color w:val="000000"/>
                <w:sz w:val="20"/>
              </w:rPr>
              <w:t>The chief data function, data owners, data stewards, system owners and users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data definitions, access approvals, quality results, lineage records and change logs,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data-quality failures, unauthorised access, duplicate sources and broken lineage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Data quality, access and integrity risks are monitored using metrics, incidents, reconciliation and assurance. Governance forums resolve cross-system definitions, prioritise remediation and manage ethical and privacy implications.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data-quality failures, unauthorised access, duplicate sources and broken lineage, with named owners and timely escalation.</w:t>
            </w:r>
          </w:p>
          <w:p>
            <w:pPr>
              <w:pStyle w:val="ListBullet"/>
              <w:keepNext/>
              <w:keepLines/>
              <w:spacing w:before="0" w:after="120"/>
            </w:pPr>
            <w:r>
              <w:rPr>
                <w:rFonts w:ascii="Calibri Light" w:hAnsi="Calibri Light"/>
                <w:b w:val="0"/>
                <w:color w:val="000000"/>
                <w:sz w:val="20"/>
              </w:rPr>
              <w:t>Risk-based testing confirms whether data-governance frameworks, data catalogues, ownership matrices and lineage maps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business systems, cybersecurity, privacy, reporting and analytics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Data is treated as a strategic public asset. Integrated architecture, automation and advanced governance support trusted analysis, responsible sharing and rapid evidence production while protecting security, privacy and fairness.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data-quality failures, unauthorised access, duplicate sources and broken lineage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data-governance frameworks, data catalogues, ownership matrices and lineage maps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the chief data function, data owners, data stewards, system owners and users,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data definitions, access approvals, quality results, lineage records and change logs,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Identify critical data sets used for decisions, payments, eligibility, performance and public reporting.</w:t>
      </w:r>
    </w:p>
    <w:p>
      <w:pPr>
        <w:pStyle w:val="ListBullet"/>
        <w:spacing w:before="0" w:after="60" w:line="240" w:lineRule="auto"/>
        <w:ind w:left="397" w:hanging="198"/>
      </w:pPr>
      <w:r>
        <w:rPr>
          <w:rFonts w:ascii="Calibri Light" w:hAnsi="Calibri Light"/>
          <w:color w:val="000000"/>
          <w:sz w:val="20"/>
        </w:rPr>
        <w:t>Assign interim data owners and identify authoritative source systems.</w:t>
      </w:r>
    </w:p>
    <w:p>
      <w:pPr>
        <w:pStyle w:val="ListBullet"/>
        <w:spacing w:before="0" w:after="60" w:line="240" w:lineRule="auto"/>
        <w:ind w:left="397" w:hanging="198"/>
      </w:pPr>
      <w:r>
        <w:rPr>
          <w:rFonts w:ascii="Calibri Light" w:hAnsi="Calibri Light"/>
          <w:color w:val="000000"/>
          <w:sz w:val="20"/>
        </w:rPr>
        <w:t>Document major definition conflicts, manual transformations and uncontrolled access.</w:t>
      </w:r>
    </w:p>
    <w:p>
      <w:pPr>
        <w:pStyle w:val="ListBullet"/>
        <w:spacing w:before="0" w:after="60" w:line="240" w:lineRule="auto"/>
        <w:ind w:left="397" w:hanging="198"/>
      </w:pPr>
      <w:r>
        <w:rPr>
          <w:rFonts w:ascii="Calibri Light" w:hAnsi="Calibri Light"/>
          <w:color w:val="000000"/>
          <w:sz w:val="20"/>
        </w:rPr>
        <w:t>Address immediate security, privacy and integrity risks in critical data.</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 data governance framework and establish a data governance forum.</w:t>
      </w:r>
    </w:p>
    <w:p>
      <w:pPr>
        <w:pStyle w:val="ListBullet"/>
        <w:spacing w:before="0" w:after="60" w:line="240" w:lineRule="auto"/>
        <w:ind w:left="397" w:hanging="198"/>
      </w:pPr>
      <w:r>
        <w:rPr>
          <w:rFonts w:ascii="Calibri Light" w:hAnsi="Calibri Light"/>
          <w:color w:val="000000"/>
          <w:sz w:val="20"/>
        </w:rPr>
        <w:t>Create controlled data dictionaries, classifications, lineage maps and access rules for critical data.</w:t>
      </w:r>
    </w:p>
    <w:p>
      <w:pPr>
        <w:pStyle w:val="ListBullet"/>
        <w:spacing w:before="0" w:after="60" w:line="240" w:lineRule="auto"/>
        <w:ind w:left="397" w:hanging="198"/>
      </w:pPr>
      <w:r>
        <w:rPr>
          <w:rFonts w:ascii="Calibri Light" w:hAnsi="Calibri Light"/>
          <w:color w:val="000000"/>
          <w:sz w:val="20"/>
        </w:rPr>
        <w:t>Define data-quality standards, issue management and change control.</w:t>
      </w:r>
    </w:p>
    <w:p>
      <w:pPr>
        <w:pStyle w:val="ListBullet"/>
        <w:spacing w:before="0" w:after="60" w:line="240" w:lineRule="auto"/>
        <w:ind w:left="397" w:hanging="198"/>
      </w:pPr>
      <w:r>
        <w:rPr>
          <w:rFonts w:ascii="Calibri Light" w:hAnsi="Calibri Light"/>
          <w:color w:val="000000"/>
          <w:sz w:val="20"/>
        </w:rPr>
        <w:t>Align data governance with records, privacy, cyber, performance and system governance.</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Monitor quality, access, reconciliation, change and incident metrics for critical data.</w:t>
      </w:r>
    </w:p>
    <w:p>
      <w:pPr>
        <w:pStyle w:val="ListBullet"/>
        <w:spacing w:before="0" w:after="60" w:line="240" w:lineRule="auto"/>
        <w:ind w:left="397" w:hanging="198"/>
      </w:pPr>
      <w:r>
        <w:rPr>
          <w:rFonts w:ascii="Calibri Light" w:hAnsi="Calibri Light"/>
          <w:color w:val="000000"/>
          <w:sz w:val="20"/>
        </w:rPr>
        <w:t>Resolve cross-system definition and ownership disputes through formal governance.</w:t>
      </w:r>
    </w:p>
    <w:p>
      <w:pPr>
        <w:pStyle w:val="ListBullet"/>
        <w:spacing w:before="0" w:after="60" w:line="240" w:lineRule="auto"/>
        <w:ind w:left="397" w:hanging="198"/>
      </w:pPr>
      <w:r>
        <w:rPr>
          <w:rFonts w:ascii="Calibri Light" w:hAnsi="Calibri Light"/>
          <w:color w:val="000000"/>
          <w:sz w:val="20"/>
        </w:rPr>
        <w:t>Test data lineage from source to major internal and external reports.</w:t>
      </w:r>
    </w:p>
    <w:p>
      <w:pPr>
        <w:pStyle w:val="ListBullet"/>
        <w:spacing w:before="0" w:after="60" w:line="240" w:lineRule="auto"/>
        <w:ind w:left="397" w:hanging="198"/>
      </w:pPr>
      <w:r>
        <w:rPr>
          <w:rFonts w:ascii="Calibri Light" w:hAnsi="Calibri Light"/>
          <w:color w:val="000000"/>
          <w:sz w:val="20"/>
        </w:rPr>
        <w:t>Use assurance findings to prioritise remediation of high-impact data risks.</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Automate lineage, quality monitoring and access certification where feasible.</w:t>
      </w:r>
    </w:p>
    <w:p>
      <w:pPr>
        <w:pStyle w:val="ListBullet"/>
        <w:spacing w:before="0" w:after="60" w:line="240" w:lineRule="auto"/>
        <w:ind w:left="397" w:hanging="198"/>
      </w:pPr>
      <w:r>
        <w:rPr>
          <w:rFonts w:ascii="Calibri Light" w:hAnsi="Calibri Light"/>
          <w:color w:val="000000"/>
          <w:sz w:val="20"/>
        </w:rPr>
        <w:t>Apply privacy, ethics and bias assessment to advanced analytics and data sharing.</w:t>
      </w:r>
    </w:p>
    <w:p>
      <w:pPr>
        <w:pStyle w:val="ListBullet"/>
        <w:spacing w:before="0" w:after="60" w:line="240" w:lineRule="auto"/>
        <w:ind w:left="397" w:hanging="198"/>
      </w:pPr>
      <w:r>
        <w:rPr>
          <w:rFonts w:ascii="Calibri Light" w:hAnsi="Calibri Light"/>
          <w:color w:val="000000"/>
          <w:sz w:val="20"/>
        </w:rPr>
        <w:t>Benchmark data governance maturity and architecture against comparable agencies.</w:t>
      </w:r>
    </w:p>
    <w:p>
      <w:pPr>
        <w:pStyle w:val="ListBullet"/>
        <w:spacing w:before="0" w:after="60" w:line="240" w:lineRule="auto"/>
        <w:ind w:left="397" w:hanging="198"/>
      </w:pPr>
      <w:r>
        <w:rPr>
          <w:rFonts w:ascii="Calibri Light" w:hAnsi="Calibri Light"/>
          <w:color w:val="000000"/>
          <w:sz w:val="20"/>
        </w:rPr>
        <w:t>Develop trusted data products that can support rapid analysis, evaluation and audit evidence.</w:t>
      </w:r>
    </w:p>
    <w:p>
      <w:pPr>
        <w:spacing w:after="60"/>
      </w:pPr>
    </w:p>
    <w:p>
      <w:pPr>
        <w:pStyle w:val="Heading2"/>
        <w:keepNext/>
      </w:pPr>
      <w:r>
        <w:rPr>
          <w:rFonts w:ascii="Calibri Light" w:hAnsi="Calibri Light"/>
          <w:color w:val="000000"/>
        </w:rPr>
        <w:t>Element 24: Stakeholder Engagement and Procedural Fairness</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Relevant stakeholders are identified, heard and treated fairly, and their input is transparently considered in decisions and delivery.</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Engagement is ad hoc, late or focused on communicating decisions already made. Affected groups may be overlooked and records of feedback or agency responses are incomplete. Procedural fairness risks are addressed only after complaints or challenge.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stakeholder maps, engagement plans, consultation records and procedural-fairness protocols; staff depend on local files, memory or informal advice.</w:t>
            </w:r>
          </w:p>
          <w:p>
            <w:pPr>
              <w:pStyle w:val="ListBullet"/>
              <w:keepNext/>
              <w:keepLines/>
              <w:spacing w:before="0" w:after="120"/>
            </w:pPr>
            <w:r>
              <w:rPr>
                <w:rFonts w:ascii="Calibri Light" w:hAnsi="Calibri Light"/>
                <w:b w:val="0"/>
                <w:color w:val="000000"/>
                <w:sz w:val="20"/>
              </w:rPr>
              <w:t>The treatment of affected and interested stakeholders, decisions and service-delivery activities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policy, program, engagement, complaints and legal owners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notices, submissions, meeting records, response matrices and documented reasons, is incomplete, difficult to retrieve or created retrospectively, while monitoring of excluded groups, complaints, delays, inconsistent treatment and consultation fatigue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Consultation plans and channels exist for major initiatives. Quality varies, representation may be narrow and engagement records do not always show how views influenced decisions. Fairness checks depend on individual judgement.</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stakeholder maps, engagement plans, consultation records and procedural-fairness protocols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policy, program, engagement, complaints and legal owners,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affected and interested stakeholders, decisions and service-delivery activities,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notices, submissions, meeting records, response matrices and documented reasons, is usually retained for significant matters, but routine monitoring of excluded groups, complaints, delays, inconsistent treatment and consultation fatigue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uses approved stakeholder mapping, engagement and procedural fairness methods. Plans address affected groups, accessibility, cultural safety, notice, opportunity to respond, impartiality, reasons and records. Decision-makers document how material views were considered.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stakeholder maps, engagement plans, consultation records and procedural-fairness protocols cover affected and interested stakeholders, decisions and service-delivery activities and are maintained through defined review, approval and change-control processes.</w:t>
            </w:r>
          </w:p>
          <w:p>
            <w:pPr>
              <w:pStyle w:val="ListBullet"/>
              <w:keepNext/>
              <w:keepLines/>
              <w:spacing w:before="0" w:after="120"/>
            </w:pPr>
            <w:r>
              <w:rPr>
                <w:rFonts w:ascii="Calibri Light" w:hAnsi="Calibri Light"/>
                <w:b w:val="0"/>
                <w:color w:val="000000"/>
                <w:sz w:val="20"/>
              </w:rPr>
              <w:t>Policy, program, engagement, complaints and legal owners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notices, submissions, meeting records, response matrices and documented reasons,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excluded groups, complaints, delays, inconsistent treatment and consultation fatigue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Engagement quality and fairness are monitored through participation data, complaints, review outcomes and stakeholder feedback. The agency identifies under-represented groups, tests whether processes are genuinely accessible and corrects recurring fairness weaknesses.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excluded groups, complaints, delays, inconsistent treatment and consultation fatigue, with named owners and timely escalation.</w:t>
            </w:r>
          </w:p>
          <w:p>
            <w:pPr>
              <w:pStyle w:val="ListBullet"/>
              <w:keepNext/>
              <w:keepLines/>
              <w:spacing w:before="0" w:after="120"/>
            </w:pPr>
            <w:r>
              <w:rPr>
                <w:rFonts w:ascii="Calibri Light" w:hAnsi="Calibri Light"/>
                <w:b w:val="0"/>
                <w:color w:val="000000"/>
                <w:sz w:val="20"/>
              </w:rPr>
              <w:t>Risk-based testing confirms whether stakeholder maps, engagement plans, consultation records and procedural-fairness protocols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policy design, service delivery, complaints handling and decision-making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Engagement is continuous, inclusive and integrated with policy, service design and evaluation. Co-design, trusted partnerships and transparent feedback loops improve decisions and public outcomes. Independent evidence confirms that affected people experience processes as fair.</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excluded groups, complaints, delays, inconsistent treatment and consultation fatigue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stakeholder maps, engagement plans, consultation records and procedural-fairness protocols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policy, program, engagement, complaints and legal owners,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notices, submissions, meeting records, response matrices and documented reasons,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Identify the stakeholder groups materially affected by priority programs and decisions, including people who may be difficult to reach.</w:t>
      </w:r>
    </w:p>
    <w:p>
      <w:pPr>
        <w:pStyle w:val="ListBullet"/>
        <w:spacing w:before="0" w:after="60" w:line="240" w:lineRule="auto"/>
        <w:ind w:left="397" w:hanging="198"/>
      </w:pPr>
      <w:r>
        <w:rPr>
          <w:rFonts w:ascii="Calibri Light" w:hAnsi="Calibri Light"/>
          <w:color w:val="000000"/>
          <w:sz w:val="20"/>
        </w:rPr>
        <w:t>Introduce minimum consultation records showing who was engaged, what was raised and how the agency responded.</w:t>
      </w:r>
    </w:p>
    <w:p>
      <w:pPr>
        <w:pStyle w:val="ListBullet"/>
        <w:spacing w:before="0" w:after="60" w:line="240" w:lineRule="auto"/>
        <w:ind w:left="397" w:hanging="198"/>
      </w:pPr>
      <w:r>
        <w:rPr>
          <w:rFonts w:ascii="Calibri Light" w:hAnsi="Calibri Light"/>
          <w:color w:val="000000"/>
          <w:sz w:val="20"/>
        </w:rPr>
        <w:t>Require basic procedural fairness checks for adverse, discretionary or contested decisions.</w:t>
      </w:r>
    </w:p>
    <w:p>
      <w:pPr>
        <w:pStyle w:val="ListBullet"/>
        <w:spacing w:before="0" w:after="60" w:line="240" w:lineRule="auto"/>
        <w:ind w:left="397" w:hanging="198"/>
      </w:pPr>
      <w:r>
        <w:rPr>
          <w:rFonts w:ascii="Calibri Light" w:hAnsi="Calibri Light"/>
          <w:color w:val="000000"/>
          <w:sz w:val="20"/>
        </w:rPr>
        <w:t>Review recent complaints and review decisions for recurring engagement or fairness failures.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stakeholder engagement and procedural fairness standards with proportionate requirements.</w:t>
      </w:r>
    </w:p>
    <w:p>
      <w:pPr>
        <w:pStyle w:val="ListBullet"/>
        <w:spacing w:before="0" w:after="60" w:line="240" w:lineRule="auto"/>
        <w:ind w:left="397" w:hanging="198"/>
      </w:pPr>
      <w:r>
        <w:rPr>
          <w:rFonts w:ascii="Calibri Light" w:hAnsi="Calibri Light"/>
          <w:color w:val="000000"/>
          <w:sz w:val="20"/>
        </w:rPr>
        <w:t>Embed accessibility, cultural safety, privacy, conflict and recordkeeping requirements in engagement plans.</w:t>
      </w:r>
    </w:p>
    <w:p>
      <w:pPr>
        <w:pStyle w:val="ListBullet"/>
        <w:spacing w:before="0" w:after="60" w:line="240" w:lineRule="auto"/>
        <w:ind w:left="397" w:hanging="198"/>
      </w:pPr>
      <w:r>
        <w:rPr>
          <w:rFonts w:ascii="Calibri Light" w:hAnsi="Calibri Light"/>
          <w:color w:val="000000"/>
          <w:sz w:val="20"/>
        </w:rPr>
        <w:t>Train policy, program and decision staff in consultation design, bias, impartiality and statements of reasons.</w:t>
      </w:r>
    </w:p>
    <w:p>
      <w:pPr>
        <w:pStyle w:val="ListBullet"/>
        <w:spacing w:before="0" w:after="60" w:line="240" w:lineRule="auto"/>
        <w:ind w:left="397" w:hanging="198"/>
      </w:pPr>
      <w:r>
        <w:rPr>
          <w:rFonts w:ascii="Calibri Light" w:hAnsi="Calibri Light"/>
          <w:color w:val="000000"/>
          <w:sz w:val="20"/>
        </w:rPr>
        <w:t>Create controlled registers for commitments, submissions, complaints and responses.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Measure participation, representativeness, accessibility, response timeliness and stakeholder confidence.</w:t>
      </w:r>
    </w:p>
    <w:p>
      <w:pPr>
        <w:pStyle w:val="ListBullet"/>
        <w:spacing w:before="0" w:after="60" w:line="240" w:lineRule="auto"/>
        <w:ind w:left="397" w:hanging="198"/>
      </w:pPr>
      <w:r>
        <w:rPr>
          <w:rFonts w:ascii="Calibri Light" w:hAnsi="Calibri Light"/>
          <w:color w:val="000000"/>
          <w:sz w:val="20"/>
        </w:rPr>
        <w:t>Analyse complaints, appeals and external review outcomes for systemic causes.</w:t>
      </w:r>
    </w:p>
    <w:p>
      <w:pPr>
        <w:pStyle w:val="ListBullet"/>
        <w:spacing w:before="0" w:after="60" w:line="240" w:lineRule="auto"/>
        <w:ind w:left="397" w:hanging="198"/>
      </w:pPr>
      <w:r>
        <w:rPr>
          <w:rFonts w:ascii="Calibri Light" w:hAnsi="Calibri Light"/>
          <w:color w:val="000000"/>
          <w:sz w:val="20"/>
        </w:rPr>
        <w:t>Independently review high-impact consultations and contested decision processes.</w:t>
      </w:r>
    </w:p>
    <w:p>
      <w:pPr>
        <w:pStyle w:val="ListBullet"/>
        <w:spacing w:before="0" w:after="60" w:line="240" w:lineRule="auto"/>
        <w:ind w:left="397" w:hanging="198"/>
      </w:pPr>
      <w:r>
        <w:rPr>
          <w:rFonts w:ascii="Calibri Light" w:hAnsi="Calibri Light"/>
          <w:color w:val="000000"/>
          <w:sz w:val="20"/>
        </w:rPr>
        <w:t>Track whether engagement commitments and fairness improvements are implemented and effective.</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Establish standing advisory and co-design arrangements for major user and community groups.</w:t>
      </w:r>
    </w:p>
    <w:p>
      <w:pPr>
        <w:pStyle w:val="ListBullet"/>
        <w:spacing w:before="0" w:after="60" w:line="240" w:lineRule="auto"/>
        <w:ind w:left="397" w:hanging="198"/>
      </w:pPr>
      <w:r>
        <w:rPr>
          <w:rFonts w:ascii="Calibri Light" w:hAnsi="Calibri Light"/>
          <w:color w:val="000000"/>
          <w:sz w:val="20"/>
        </w:rPr>
        <w:t>Use behavioural, demographic and service data to identify voices missing from conventional consultation.</w:t>
      </w:r>
    </w:p>
    <w:p>
      <w:pPr>
        <w:pStyle w:val="ListBullet"/>
        <w:spacing w:before="0" w:after="60" w:line="240" w:lineRule="auto"/>
        <w:ind w:left="397" w:hanging="198"/>
      </w:pPr>
      <w:r>
        <w:rPr>
          <w:rFonts w:ascii="Calibri Light" w:hAnsi="Calibri Light"/>
          <w:color w:val="000000"/>
          <w:sz w:val="20"/>
        </w:rPr>
        <w:t>Publish clear feedback reports explaining what changed, what did not change and why.</w:t>
      </w:r>
    </w:p>
    <w:p>
      <w:pPr>
        <w:pStyle w:val="ListBullet"/>
        <w:spacing w:before="0" w:after="60" w:line="240" w:lineRule="auto"/>
        <w:ind w:left="397" w:hanging="198"/>
      </w:pPr>
      <w:r>
        <w:rPr>
          <w:rFonts w:ascii="Calibri Light" w:hAnsi="Calibri Light"/>
          <w:color w:val="000000"/>
          <w:sz w:val="20"/>
        </w:rPr>
        <w:t>Benchmark stakeholder trust and fairness outcomes and use findings to redesign services and decision processes.</w:t>
      </w:r>
    </w:p>
    <w:p>
      <w:pPr>
        <w:spacing w:after="60"/>
      </w:pPr>
    </w:p>
    <w:p>
      <w:pPr>
        <w:pStyle w:val="Heading2"/>
        <w:keepNext/>
      </w:pPr>
      <w:r>
        <w:rPr>
          <w:rFonts w:ascii="Calibri Light" w:hAnsi="Calibri Light"/>
          <w:color w:val="000000"/>
        </w:rPr>
        <w:t>Element 25: External Reporting and Parliamentary Accountability</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Reports to ministers, parliaments, central agencies, regulators and the public are accurate, timely, balanced and supported by evidence.</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External reporting is reactive, fragmented and dependent on individual knowledge. Deadlines, definitions and evidence requirements are not centrally controlled. Errors, omissions or inconsistent messages may arise.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reporting-obligation calendars, certification checklists, disclosure protocols and evidence packs; staff depend on local files, memory or informal advice.</w:t>
            </w:r>
          </w:p>
          <w:p>
            <w:pPr>
              <w:pStyle w:val="ListBullet"/>
              <w:keepNext/>
              <w:keepLines/>
              <w:spacing w:before="0" w:after="120"/>
            </w:pPr>
            <w:r>
              <w:rPr>
                <w:rFonts w:ascii="Calibri Light" w:hAnsi="Calibri Light"/>
                <w:b w:val="0"/>
                <w:color w:val="000000"/>
                <w:sz w:val="20"/>
              </w:rPr>
              <w:t>The treatment of ministerial, parliamentary, central-agency, regulatory and public reports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the accountable authority, executives, reporting staff, finance and program owners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source records, reconciliations, certifications, approvals and correction records, is incomplete, difficult to retrieve or created retrospectively, while monitoring of late reports, unsupported claims, inconsistent disclosures and qualifications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The agency maintains reporting calendars and templates for major obligations. Quality assurance and reconciliation vary, and reports may focus on favourable information or omit material limitations.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reporting-obligation calendars, certification checklists, disclosure protocols and evidence packs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the accountable authority, executives, reporting staff, finance and program owners,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ministerial, parliamentary, central-agency, regulatory and public reports,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source records, reconciliations, certifications, approvals and correction records, is usually retained for significant matters, but routine monitoring of late reports, unsupported claims, inconsistent disclosures and qualifications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External reporting obligations are mapped to accountable owners, due dates, definitions, source evidence, approvals and retention requirements. Reports are reconciled, balanced and certified before issue. Material limitations and adverse results are disclosed.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reporting-obligation calendars, certification checklists, disclosure protocols and evidence packs cover ministerial, parliamentary, central-agency, regulatory and public reports and are maintained through defined review, approval and change-control processes.</w:t>
            </w:r>
          </w:p>
          <w:p>
            <w:pPr>
              <w:pStyle w:val="ListBullet"/>
              <w:keepNext/>
              <w:keepLines/>
              <w:spacing w:before="0" w:after="120"/>
            </w:pPr>
            <w:r>
              <w:rPr>
                <w:rFonts w:ascii="Calibri Light" w:hAnsi="Calibri Light"/>
                <w:b w:val="0"/>
                <w:color w:val="000000"/>
                <w:sz w:val="20"/>
              </w:rPr>
              <w:t>The accountable authority, executives, reporting staff, finance and program owners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source records, reconciliations, certifications, approvals and correction records,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late reports, unsupported claims, inconsistent disclosures and qualifications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The agency monitors reporting accuracy, timeliness, corrections, parliamentary questions and recurring information requests. Independent assurance is applied to high-risk disclosures. Executives and the audit and risk committee oversee material reporting risks.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late reports, unsupported claims, inconsistent disclosures and qualifications, with named owners and timely escalation.</w:t>
            </w:r>
          </w:p>
          <w:p>
            <w:pPr>
              <w:pStyle w:val="ListBullet"/>
              <w:keepNext/>
              <w:keepLines/>
              <w:spacing w:before="0" w:after="120"/>
            </w:pPr>
            <w:r>
              <w:rPr>
                <w:rFonts w:ascii="Calibri Light" w:hAnsi="Calibri Light"/>
                <w:b w:val="0"/>
                <w:color w:val="000000"/>
                <w:sz w:val="20"/>
              </w:rPr>
              <w:t>Risk-based testing confirms whether reporting-obligation calendars, certification checklists, disclosure protocols and evidence packs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performance, finance, risk, records and communications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External accountability is proactive and transparent. Integrated reporting systems provide consistent information across channels, likely parliamentary scrutiny is anticipated and the agency communicates performance, uncertainty and corrective action in a form accessible to public users.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late reports, unsupported claims, inconsistent disclosures and qualifications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reporting-obligation calendars, certification checklists, disclosure protocols and evidence packs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the accountable authority, executives, reporting staff, finance and program owners,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source records, reconciliations, certifications, approvals and correction records,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Create a single register of external reporting and parliamentary obligations, deadlines and responsible officers.</w:t>
      </w:r>
    </w:p>
    <w:p>
      <w:pPr>
        <w:pStyle w:val="ListBullet"/>
        <w:spacing w:before="0" w:after="60" w:line="240" w:lineRule="auto"/>
        <w:ind w:left="397" w:hanging="198"/>
      </w:pPr>
      <w:r>
        <w:rPr>
          <w:rFonts w:ascii="Calibri Light" w:hAnsi="Calibri Light"/>
          <w:color w:val="000000"/>
          <w:sz w:val="20"/>
        </w:rPr>
        <w:t>Reconcile key figures and claims across annual reports, budget papers, ministerial briefs, regulator returns and public dashboards.</w:t>
      </w:r>
    </w:p>
    <w:p>
      <w:pPr>
        <w:pStyle w:val="ListBullet"/>
        <w:spacing w:before="0" w:after="60" w:line="240" w:lineRule="auto"/>
        <w:ind w:left="397" w:hanging="198"/>
      </w:pPr>
      <w:r>
        <w:rPr>
          <w:rFonts w:ascii="Calibri Light" w:hAnsi="Calibri Light"/>
          <w:color w:val="000000"/>
          <w:sz w:val="20"/>
        </w:rPr>
        <w:t>Introduce an interim certification process for material external reports.</w:t>
      </w:r>
    </w:p>
    <w:p>
      <w:pPr>
        <w:pStyle w:val="ListBullet"/>
        <w:spacing w:before="0" w:after="60" w:line="240" w:lineRule="auto"/>
        <w:ind w:left="397" w:hanging="198"/>
      </w:pPr>
      <w:r>
        <w:rPr>
          <w:rFonts w:ascii="Calibri Light" w:hAnsi="Calibri Light"/>
          <w:color w:val="000000"/>
          <w:sz w:val="20"/>
        </w:rPr>
        <w:t>Identify late, corrected or disputed reports and address immediate evidence gaps.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external reporting standards covering evidence, balance, quality assurance, approval and retention.</w:t>
      </w:r>
    </w:p>
    <w:p>
      <w:pPr>
        <w:pStyle w:val="ListBullet"/>
        <w:spacing w:before="0" w:after="60" w:line="240" w:lineRule="auto"/>
        <w:ind w:left="397" w:hanging="198"/>
      </w:pPr>
      <w:r>
        <w:rPr>
          <w:rFonts w:ascii="Calibri Light" w:hAnsi="Calibri Light"/>
          <w:color w:val="000000"/>
          <w:sz w:val="20"/>
        </w:rPr>
        <w:t>Define authoritative data sources and common definitions for repeated public and parliamentary information.</w:t>
      </w:r>
    </w:p>
    <w:p>
      <w:pPr>
        <w:pStyle w:val="ListBullet"/>
        <w:spacing w:before="0" w:after="60" w:line="240" w:lineRule="auto"/>
        <w:ind w:left="397" w:hanging="198"/>
      </w:pPr>
      <w:r>
        <w:rPr>
          <w:rFonts w:ascii="Calibri Light" w:hAnsi="Calibri Light"/>
          <w:color w:val="000000"/>
          <w:sz w:val="20"/>
        </w:rPr>
        <w:t>Establish a reporting calendar integrated with executive and audit committee oversight.</w:t>
      </w:r>
    </w:p>
    <w:p>
      <w:pPr>
        <w:pStyle w:val="ListBullet"/>
        <w:spacing w:before="0" w:after="60" w:line="240" w:lineRule="auto"/>
        <w:ind w:left="397" w:hanging="198"/>
      </w:pPr>
      <w:r>
        <w:rPr>
          <w:rFonts w:ascii="Calibri Light" w:hAnsi="Calibri Light"/>
          <w:color w:val="000000"/>
          <w:sz w:val="20"/>
        </w:rPr>
        <w:t>Train report owners in accountability, materiality, disclosure of limitations and parliamentary conventions.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Monitor timeliness, corrections, inconsistencies, repeated questions and assurance findings.</w:t>
      </w:r>
    </w:p>
    <w:p>
      <w:pPr>
        <w:pStyle w:val="ListBullet"/>
        <w:spacing w:before="0" w:after="60" w:line="240" w:lineRule="auto"/>
        <w:ind w:left="397" w:hanging="198"/>
      </w:pPr>
      <w:r>
        <w:rPr>
          <w:rFonts w:ascii="Calibri Light" w:hAnsi="Calibri Light"/>
          <w:color w:val="000000"/>
          <w:sz w:val="20"/>
        </w:rPr>
        <w:t>Apply independent review to high-risk, contested or politically sensitive disclosures.</w:t>
      </w:r>
    </w:p>
    <w:p>
      <w:pPr>
        <w:pStyle w:val="ListBullet"/>
        <w:spacing w:before="0" w:after="60" w:line="240" w:lineRule="auto"/>
        <w:ind w:left="397" w:hanging="198"/>
      </w:pPr>
      <w:r>
        <w:rPr>
          <w:rFonts w:ascii="Calibri Light" w:hAnsi="Calibri Light"/>
          <w:color w:val="000000"/>
          <w:sz w:val="20"/>
        </w:rPr>
        <w:t>Analyse recurring parliamentary and public requests to identify weaknesses in routine reporting.</w:t>
      </w:r>
    </w:p>
    <w:p>
      <w:pPr>
        <w:pStyle w:val="ListBullet"/>
        <w:spacing w:before="0" w:after="60" w:line="240" w:lineRule="auto"/>
        <w:ind w:left="397" w:hanging="198"/>
      </w:pPr>
      <w:r>
        <w:rPr>
          <w:rFonts w:ascii="Calibri Light" w:hAnsi="Calibri Light"/>
          <w:color w:val="000000"/>
          <w:sz w:val="20"/>
        </w:rPr>
        <w:t>Track and disclose corrective action where previous reports contained material errors or omissions.</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Integrate external reporting through controlled data and content workflows.</w:t>
      </w:r>
    </w:p>
    <w:p>
      <w:pPr>
        <w:pStyle w:val="ListBullet"/>
        <w:spacing w:before="0" w:after="60" w:line="240" w:lineRule="auto"/>
        <w:ind w:left="397" w:hanging="198"/>
      </w:pPr>
      <w:r>
        <w:rPr>
          <w:rFonts w:ascii="Calibri Light" w:hAnsi="Calibri Light"/>
          <w:color w:val="000000"/>
          <w:sz w:val="20"/>
        </w:rPr>
        <w:t>Develop scenario briefs and evidence packs for foreseeable parliamentary and public scrutiny.</w:t>
      </w:r>
    </w:p>
    <w:p>
      <w:pPr>
        <w:pStyle w:val="ListBullet"/>
        <w:spacing w:before="0" w:after="60" w:line="240" w:lineRule="auto"/>
        <w:ind w:left="397" w:hanging="198"/>
      </w:pPr>
      <w:r>
        <w:rPr>
          <w:rFonts w:ascii="Calibri Light" w:hAnsi="Calibri Light"/>
          <w:color w:val="000000"/>
          <w:sz w:val="20"/>
        </w:rPr>
        <w:t>Test public comprehension and accessibility of major performance reports.</w:t>
      </w:r>
    </w:p>
    <w:p>
      <w:pPr>
        <w:pStyle w:val="ListBullet"/>
        <w:spacing w:before="0" w:after="60" w:line="240" w:lineRule="auto"/>
        <w:ind w:left="397" w:hanging="198"/>
      </w:pPr>
      <w:r>
        <w:rPr>
          <w:rFonts w:ascii="Calibri Light" w:hAnsi="Calibri Light"/>
          <w:color w:val="000000"/>
          <w:sz w:val="20"/>
        </w:rPr>
        <w:t>Benchmark transparency and reporting quality against leading Australian public sector practice.</w:t>
      </w:r>
    </w:p>
    <w:p>
      <w:pPr>
        <w:spacing w:after="60"/>
      </w:pPr>
    </w:p>
    <w:p>
      <w:pPr>
        <w:pStyle w:val="Heading1"/>
        <w:keepNext/>
      </w:pPr>
      <w:r>
        <w:rPr>
          <w:rFonts w:ascii="Calibri Light" w:hAnsi="Calibri Light"/>
          <w:color w:val="000000"/>
        </w:rPr>
        <w:t>Topic 6: Continuous Improvement and Organisational Learning</w:t>
      </w:r>
    </w:p>
    <w:p>
      <w:pPr>
        <w:spacing w:before="0" w:after="120" w:line="240" w:lineRule="auto"/>
      </w:pPr>
      <w:r>
        <w:rPr>
          <w:rFonts w:ascii="Calibri Light" w:hAnsi="Calibri Light"/>
          <w:color w:val="000000"/>
          <w:sz w:val="20"/>
        </w:rPr>
        <w:t>Continuous Improvement and Organisational Learning assesses whether the agency responds to identified weaknesses and uses evidence to improve performance. It tests whether audit findings, evaluations, complaints and operational experience lead to sustained change.</w:t>
      </w:r>
    </w:p>
    <w:p>
      <w:pPr>
        <w:pStyle w:val="Heading2"/>
        <w:keepNext/>
      </w:pPr>
      <w:r>
        <w:rPr>
          <w:rFonts w:ascii="Calibri Light" w:hAnsi="Calibri Light"/>
          <w:color w:val="000000"/>
        </w:rPr>
        <w:t>Element 26: Audit and Review Recommendation Management</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Recommendations from audits, inquiries, evaluations and reviews are recorded, risk-rated, implemented and independently verified before closure.</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Recommendations are managed in separate spreadsheets or correspondence. Owners and due dates are unclear, actions become overdue and closure may rely on management assertion without evidence.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central recommendation registers, action plans, closure criteria and verification protocols; staff depend on local files, memory or informal advice.</w:t>
            </w:r>
          </w:p>
          <w:p>
            <w:pPr>
              <w:pStyle w:val="ListBullet"/>
              <w:keepNext/>
              <w:keepLines/>
              <w:spacing w:before="0" w:after="120"/>
            </w:pPr>
            <w:r>
              <w:rPr>
                <w:rFonts w:ascii="Calibri Light" w:hAnsi="Calibri Light"/>
                <w:b w:val="0"/>
                <w:color w:val="000000"/>
                <w:sz w:val="20"/>
              </w:rPr>
              <w:t>The treatment of recommendations from audits, reviews, inquiries and evaluations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executive sponsors, action owners, assurance staff and the audit and risk committee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completed actions, implementation records, testing results and closure approvals, is incomplete, difficult to retrieve or created retrospectively, while monitoring of overdue actions, repeated extensions, weak closure evidence and recurring findings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A central register exists for major recommendations. Basic ownership and status reporting occur, but risk prioritisation, extension approval, evidence standards and closure validation are inconsistent.</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central recommendation registers, action plans, closure criteria and verification protocols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executive sponsors, action owners, assurance staff and the audit and risk committee,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recommendations from audits, reviews, inquiries and evaluations,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completed actions, implementation records, testing results and closure approvals, is usually retained for significant matters, but routine monitoring of overdue actions, repeated extensions, weak closure evidence and recurring findings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uses a controlled recommendation framework. Findings are risk-rated, assigned, translated into clear actions and monitored against approved due dates. Closure requires evidence and independent validation proportionate to risk.</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central recommendation registers, action plans, closure criteria and verification protocols cover recommendations from audits, reviews, inquiries and evaluations and are maintained through defined review, approval and change-control processes.</w:t>
            </w:r>
          </w:p>
          <w:p>
            <w:pPr>
              <w:pStyle w:val="ListBullet"/>
              <w:keepNext/>
              <w:keepLines/>
              <w:spacing w:before="0" w:after="120"/>
            </w:pPr>
            <w:r>
              <w:rPr>
                <w:rFonts w:ascii="Calibri Light" w:hAnsi="Calibri Light"/>
                <w:b w:val="0"/>
                <w:color w:val="000000"/>
                <w:sz w:val="20"/>
              </w:rPr>
              <w:t>Executive sponsors, action owners, assurance staff and the audit and risk committee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completed actions, implementation records, testing results and closure approvals,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overdue actions, repeated extensions, weak closure evidence and recurring findings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Executives and the audit and risk committee monitor overdue actions, recurring findings, extension patterns and implementation effectiveness. The agency verifies that completed actions address root causes and produce the intended control or performance improvement.</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overdue actions, repeated extensions, weak closure evidence and recurring findings, with named owners and timely escalation.</w:t>
            </w:r>
          </w:p>
          <w:p>
            <w:pPr>
              <w:pStyle w:val="ListBullet"/>
              <w:keepNext/>
              <w:keepLines/>
              <w:spacing w:before="0" w:after="120"/>
            </w:pPr>
            <w:r>
              <w:rPr>
                <w:rFonts w:ascii="Calibri Light" w:hAnsi="Calibri Light"/>
                <w:b w:val="0"/>
                <w:color w:val="000000"/>
                <w:sz w:val="20"/>
              </w:rPr>
              <w:t>Risk-based testing confirms whether central recommendation registers, action plans, closure criteria and verification protocols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issue management, risk, planning, assurance and executive reporting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Recommendation management is integrated with enterprise learning, risk and investment. The agency identifies themes across reviews, anticipates recurring issues and uses verified outcomes to strengthen systems before similar findings arise elsewhere.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overdue actions, repeated extensions, weak closure evidence and recurring findings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central recommendation registers, action plans, closure criteria and verification protocols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executive sponsors, action owners, assurance staff and the audit and risk committee,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completed actions, implementation records, testing results and closure approvals,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Consolidate all open audit, inquiry, evaluation and review recommendations into one controlled register.</w:t>
      </w:r>
    </w:p>
    <w:p>
      <w:pPr>
        <w:pStyle w:val="ListBullet"/>
        <w:spacing w:before="0" w:after="60" w:line="240" w:lineRule="auto"/>
        <w:ind w:left="397" w:hanging="198"/>
      </w:pPr>
      <w:r>
        <w:rPr>
          <w:rFonts w:ascii="Calibri Light" w:hAnsi="Calibri Light"/>
          <w:color w:val="000000"/>
          <w:sz w:val="20"/>
        </w:rPr>
        <w:t>Assign an accountable executive, action owner, due date and current risk rating to each recommendation.</w:t>
      </w:r>
    </w:p>
    <w:p>
      <w:pPr>
        <w:pStyle w:val="ListBullet"/>
        <w:spacing w:before="0" w:after="60" w:line="240" w:lineRule="auto"/>
        <w:ind w:left="397" w:hanging="198"/>
      </w:pPr>
      <w:r>
        <w:rPr>
          <w:rFonts w:ascii="Calibri Light" w:hAnsi="Calibri Light"/>
          <w:color w:val="000000"/>
          <w:sz w:val="20"/>
        </w:rPr>
        <w:t>Define minimum closure evidence and prohibit self-approved closure for high-risk actions.</w:t>
      </w:r>
    </w:p>
    <w:p>
      <w:pPr>
        <w:pStyle w:val="ListBullet"/>
        <w:spacing w:before="0" w:after="60" w:line="240" w:lineRule="auto"/>
        <w:ind w:left="397" w:hanging="198"/>
      </w:pPr>
      <w:r>
        <w:rPr>
          <w:rFonts w:ascii="Calibri Light" w:hAnsi="Calibri Light"/>
          <w:color w:val="000000"/>
          <w:sz w:val="20"/>
        </w:rPr>
        <w:t>Escalate materially overdue or unowned recommendations to executive governance.</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 recommendation management standard covering action design, extensions, evidence, validation and closure.</w:t>
      </w:r>
    </w:p>
    <w:p>
      <w:pPr>
        <w:pStyle w:val="ListBullet"/>
        <w:spacing w:before="0" w:after="60" w:line="240" w:lineRule="auto"/>
        <w:ind w:left="397" w:hanging="198"/>
      </w:pPr>
      <w:r>
        <w:rPr>
          <w:rFonts w:ascii="Calibri Light" w:hAnsi="Calibri Light"/>
          <w:color w:val="000000"/>
          <w:sz w:val="20"/>
        </w:rPr>
        <w:t>Translate broad recommendations into specific, measurable and time-bound actions that address the underlying cause.</w:t>
      </w:r>
    </w:p>
    <w:p>
      <w:pPr>
        <w:pStyle w:val="ListBullet"/>
        <w:spacing w:before="0" w:after="60" w:line="240" w:lineRule="auto"/>
        <w:ind w:left="397" w:hanging="198"/>
      </w:pPr>
      <w:r>
        <w:rPr>
          <w:rFonts w:ascii="Calibri Light" w:hAnsi="Calibri Light"/>
          <w:color w:val="000000"/>
          <w:sz w:val="20"/>
        </w:rPr>
        <w:t>Establish regular executive and audit committee reporting with ageing and risk analysis.</w:t>
      </w:r>
    </w:p>
    <w:p>
      <w:pPr>
        <w:pStyle w:val="ListBullet"/>
        <w:spacing w:before="0" w:after="60" w:line="240" w:lineRule="auto"/>
        <w:ind w:left="397" w:hanging="198"/>
      </w:pPr>
      <w:r>
        <w:rPr>
          <w:rFonts w:ascii="Calibri Light" w:hAnsi="Calibri Light"/>
          <w:color w:val="000000"/>
          <w:sz w:val="20"/>
        </w:rPr>
        <w:t>Assign independent validators based on recommendation significance and subject matter.</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Analyse overdue, extended, reopened and recurring recommendations for systemic causes.</w:t>
      </w:r>
    </w:p>
    <w:p>
      <w:pPr>
        <w:pStyle w:val="ListBullet"/>
        <w:spacing w:before="0" w:after="60" w:line="240" w:lineRule="auto"/>
        <w:ind w:left="397" w:hanging="198"/>
      </w:pPr>
      <w:r>
        <w:rPr>
          <w:rFonts w:ascii="Calibri Light" w:hAnsi="Calibri Light"/>
          <w:color w:val="000000"/>
          <w:sz w:val="20"/>
        </w:rPr>
        <w:t>Test a sample of closed actions to confirm sustained operation and intended improvement.</w:t>
      </w:r>
    </w:p>
    <w:p>
      <w:pPr>
        <w:pStyle w:val="ListBullet"/>
        <w:spacing w:before="0" w:after="60" w:line="240" w:lineRule="auto"/>
        <w:ind w:left="397" w:hanging="198"/>
      </w:pPr>
      <w:r>
        <w:rPr>
          <w:rFonts w:ascii="Calibri Light" w:hAnsi="Calibri Light"/>
          <w:color w:val="000000"/>
          <w:sz w:val="20"/>
        </w:rPr>
        <w:t>Link unresolved findings to enterprise risks, assurance plans and executive performance.</w:t>
      </w:r>
    </w:p>
    <w:p>
      <w:pPr>
        <w:pStyle w:val="ListBullet"/>
        <w:spacing w:before="0" w:after="60" w:line="240" w:lineRule="auto"/>
        <w:ind w:left="397" w:hanging="198"/>
      </w:pPr>
      <w:r>
        <w:rPr>
          <w:rFonts w:ascii="Calibri Light" w:hAnsi="Calibri Light"/>
          <w:color w:val="000000"/>
          <w:sz w:val="20"/>
        </w:rPr>
        <w:t>Publish or report implementation status where required for public accountability.</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Integrate recommendation themes with policy, process, capability and investment planning.</w:t>
      </w:r>
    </w:p>
    <w:p>
      <w:pPr>
        <w:pStyle w:val="ListBullet"/>
        <w:spacing w:before="0" w:after="60" w:line="240" w:lineRule="auto"/>
        <w:ind w:left="397" w:hanging="198"/>
      </w:pPr>
      <w:r>
        <w:rPr>
          <w:rFonts w:ascii="Calibri Light" w:hAnsi="Calibri Light"/>
          <w:color w:val="000000"/>
          <w:sz w:val="20"/>
        </w:rPr>
        <w:t>Use predictive analysis to identify functions likely to repeat known weaknesses.</w:t>
      </w:r>
    </w:p>
    <w:p>
      <w:pPr>
        <w:pStyle w:val="ListBullet"/>
        <w:spacing w:before="0" w:after="60" w:line="240" w:lineRule="auto"/>
        <w:ind w:left="397" w:hanging="198"/>
      </w:pPr>
      <w:r>
        <w:rPr>
          <w:rFonts w:ascii="Calibri Light" w:hAnsi="Calibri Light"/>
          <w:color w:val="000000"/>
          <w:sz w:val="20"/>
        </w:rPr>
        <w:t>Share lessons and proven remedies across business units and relevant agencies.</w:t>
      </w:r>
    </w:p>
    <w:p>
      <w:pPr>
        <w:pStyle w:val="ListBullet"/>
        <w:spacing w:before="0" w:after="60" w:line="240" w:lineRule="auto"/>
        <w:ind w:left="397" w:hanging="198"/>
      </w:pPr>
      <w:r>
        <w:rPr>
          <w:rFonts w:ascii="Calibri Light" w:hAnsi="Calibri Light"/>
          <w:color w:val="000000"/>
          <w:sz w:val="20"/>
        </w:rPr>
        <w:t>Benchmark implementation timeliness and effectiveness against comparable public sector entities.</w:t>
      </w:r>
    </w:p>
    <w:p>
      <w:pPr>
        <w:spacing w:after="60"/>
      </w:pPr>
    </w:p>
    <w:p>
      <w:pPr>
        <w:pStyle w:val="Heading2"/>
        <w:keepNext/>
      </w:pPr>
      <w:r>
        <w:rPr>
          <w:rFonts w:ascii="Calibri Light" w:hAnsi="Calibri Light"/>
          <w:color w:val="000000"/>
        </w:rPr>
        <w:t>Element 27: Evaluation and Periodic Review</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Programs, policies, controls and delivery models are periodically evaluated using credible methods and findings inform continuation, redesign or cessation.</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Evaluation is sporadic, late or commissioned mainly to meet an external requirement. Programs may continue without evidence of effectiveness, efficiency or ongoing need.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evaluation strategies, evaluation schedules, terms of reference and methodology standards; staff depend on local files, memory or informal advice.</w:t>
            </w:r>
          </w:p>
          <w:p>
            <w:pPr>
              <w:pStyle w:val="ListBullet"/>
              <w:keepNext/>
              <w:keepLines/>
              <w:spacing w:before="0" w:after="120"/>
            </w:pPr>
            <w:r>
              <w:rPr>
                <w:rFonts w:ascii="Calibri Light" w:hAnsi="Calibri Light"/>
                <w:b w:val="0"/>
                <w:color w:val="000000"/>
                <w:sz w:val="20"/>
              </w:rPr>
              <w:t>The treatment of programs, policies, controls and delivery models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evaluation, program, policy, data and executive owners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evaluation plans, data, findings, management responses and resulting decisions, is incomplete, difficult to retrieve or created retrospectively, while monitoring of overdue evaluations, weak methods, unused findings and evidence gaps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Some major programs have evaluation plans or reviews. Scope, methods, independence and data quality vary, and findings are not consistently linked to funding or design decisions.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evaluation strategies, evaluation schedules, terms of reference and methodology standards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evaluation, program, policy, data and executive owners,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programs, policies, controls and delivery models,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evaluation plans, data, findings, management responses and resulting decisions, is usually retained for significant matters, but routine monitoring of overdue evaluations, weak methods, unused findings and evidence gaps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maintains an approved evaluation framework and forward plan based on significance, risk and evidence need. Evaluations define questions, methods, data, independence, stakeholder input, quality assurance, publication and management response.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evaluation strategies, evaluation schedules, terms of reference and methodology standards cover programs, policies, controls and delivery models and are maintained through defined review, approval and change-control processes.</w:t>
            </w:r>
          </w:p>
          <w:p>
            <w:pPr>
              <w:pStyle w:val="ListBullet"/>
              <w:keepNext/>
              <w:keepLines/>
              <w:spacing w:before="0" w:after="120"/>
            </w:pPr>
            <w:r>
              <w:rPr>
                <w:rFonts w:ascii="Calibri Light" w:hAnsi="Calibri Light"/>
                <w:b w:val="0"/>
                <w:color w:val="000000"/>
                <w:sz w:val="20"/>
              </w:rPr>
              <w:t>Evaluation, program, policy, data and executive owners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evaluation plans, data, findings, management responses and resulting decisions,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overdue evaluations, weak methods, unused findings and evidence gaps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Evaluation quality, coverage and use are monitored at portfolio level. Findings are synthesised with performance, cost and risk information and directly inform funding, policy, service design and accountability decisions.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overdue evaluations, weak methods, unused findings and evidence gaps, with named owners and timely escalation.</w:t>
            </w:r>
          </w:p>
          <w:p>
            <w:pPr>
              <w:pStyle w:val="ListBullet"/>
              <w:keepNext/>
              <w:keepLines/>
              <w:spacing w:before="0" w:after="120"/>
            </w:pPr>
            <w:r>
              <w:rPr>
                <w:rFonts w:ascii="Calibri Light" w:hAnsi="Calibri Light"/>
                <w:b w:val="0"/>
                <w:color w:val="000000"/>
                <w:sz w:val="20"/>
              </w:rPr>
              <w:t>Risk-based testing confirms whether evaluation strategies, evaluation schedules, terms of reference and methodology standards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program logic, performance, budgeting and program redesign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Evaluation is embedded in program lifecycles and strategic learning. The agency uses experimentation, rapid evaluation, evidence synthesis and cross-jurisdictional comparison to test what works and redirect resources towards higher public value.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overdue evaluations, weak methods, unused findings and evidence gaps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evaluation strategies, evaluation schedules, terms of reference and methodology standards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evaluation, program, policy, data and executive owners,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evaluation plans, data, findings, management responses and resulting decisions,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Inventory material programs and identify when each was last independently evaluated.</w:t>
      </w:r>
    </w:p>
    <w:p>
      <w:pPr>
        <w:pStyle w:val="ListBullet"/>
        <w:spacing w:before="0" w:after="60" w:line="240" w:lineRule="auto"/>
        <w:ind w:left="397" w:hanging="198"/>
      </w:pPr>
      <w:r>
        <w:rPr>
          <w:rFonts w:ascii="Calibri Light" w:hAnsi="Calibri Light"/>
          <w:color w:val="000000"/>
          <w:sz w:val="20"/>
        </w:rPr>
        <w:t>Prioritise high-value, high-risk or long-running programs that lack credible effectiveness evidence.</w:t>
      </w:r>
    </w:p>
    <w:p>
      <w:pPr>
        <w:pStyle w:val="ListBullet"/>
        <w:spacing w:before="0" w:after="60" w:line="240" w:lineRule="auto"/>
        <w:ind w:left="397" w:hanging="198"/>
      </w:pPr>
      <w:r>
        <w:rPr>
          <w:rFonts w:ascii="Calibri Light" w:hAnsi="Calibri Light"/>
          <w:color w:val="000000"/>
          <w:sz w:val="20"/>
        </w:rPr>
        <w:t>Define immediate evaluation questions and preserve data needed for future analysis.</w:t>
      </w:r>
    </w:p>
    <w:p>
      <w:pPr>
        <w:pStyle w:val="ListBullet"/>
        <w:spacing w:before="0" w:after="60" w:line="240" w:lineRule="auto"/>
        <w:ind w:left="397" w:hanging="198"/>
      </w:pPr>
      <w:r>
        <w:rPr>
          <w:rFonts w:ascii="Calibri Light" w:hAnsi="Calibri Light"/>
          <w:color w:val="000000"/>
          <w:sz w:val="20"/>
        </w:rPr>
        <w:t>Require management responses to existing evaluation findings and assign outstanding actions.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an evaluation policy, governance model and multi-year evaluation plan.</w:t>
      </w:r>
    </w:p>
    <w:p>
      <w:pPr>
        <w:pStyle w:val="ListBullet"/>
        <w:spacing w:before="0" w:after="60" w:line="240" w:lineRule="auto"/>
        <w:ind w:left="397" w:hanging="198"/>
      </w:pPr>
      <w:r>
        <w:rPr>
          <w:rFonts w:ascii="Calibri Light" w:hAnsi="Calibri Light"/>
          <w:color w:val="000000"/>
          <w:sz w:val="20"/>
        </w:rPr>
        <w:t>Set proportionate standards for methods, independence, ethics, data quality, peer review and publication.</w:t>
      </w:r>
    </w:p>
    <w:p>
      <w:pPr>
        <w:pStyle w:val="ListBullet"/>
        <w:spacing w:before="0" w:after="60" w:line="240" w:lineRule="auto"/>
        <w:ind w:left="397" w:hanging="198"/>
      </w:pPr>
      <w:r>
        <w:rPr>
          <w:rFonts w:ascii="Calibri Light" w:hAnsi="Calibri Light"/>
          <w:color w:val="000000"/>
          <w:sz w:val="20"/>
        </w:rPr>
        <w:t>Link evaluation plans to program logic, measures, budgets and decision points.</w:t>
      </w:r>
    </w:p>
    <w:p>
      <w:pPr>
        <w:pStyle w:val="ListBullet"/>
        <w:spacing w:before="0" w:after="60" w:line="240" w:lineRule="auto"/>
        <w:ind w:left="397" w:hanging="198"/>
      </w:pPr>
      <w:r>
        <w:rPr>
          <w:rFonts w:ascii="Calibri Light" w:hAnsi="Calibri Light"/>
          <w:color w:val="000000"/>
          <w:sz w:val="20"/>
        </w:rPr>
        <w:t>Build evaluation capability among program, data, policy and commissioning staff.</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Monitor evaluation coverage, quality, timeliness, findings and management use.</w:t>
      </w:r>
    </w:p>
    <w:p>
      <w:pPr>
        <w:pStyle w:val="ListBullet"/>
        <w:spacing w:before="0" w:after="60" w:line="240" w:lineRule="auto"/>
        <w:ind w:left="397" w:hanging="198"/>
      </w:pPr>
      <w:r>
        <w:rPr>
          <w:rFonts w:ascii="Calibri Light" w:hAnsi="Calibri Light"/>
          <w:color w:val="000000"/>
          <w:sz w:val="20"/>
        </w:rPr>
        <w:t>Require investment, continuation and redesign proposals to address relevant evaluation evidence.</w:t>
      </w:r>
    </w:p>
    <w:p>
      <w:pPr>
        <w:pStyle w:val="ListBullet"/>
        <w:spacing w:before="0" w:after="60" w:line="240" w:lineRule="auto"/>
        <w:ind w:left="397" w:hanging="198"/>
      </w:pPr>
      <w:r>
        <w:rPr>
          <w:rFonts w:ascii="Calibri Light" w:hAnsi="Calibri Light"/>
          <w:color w:val="000000"/>
          <w:sz w:val="20"/>
        </w:rPr>
        <w:t>Synthesize findings across programs to identify system-wide effectiveness and implementation lessons.</w:t>
      </w:r>
    </w:p>
    <w:p>
      <w:pPr>
        <w:pStyle w:val="ListBullet"/>
        <w:spacing w:before="0" w:after="60" w:line="240" w:lineRule="auto"/>
        <w:ind w:left="397" w:hanging="198"/>
      </w:pPr>
      <w:r>
        <w:rPr>
          <w:rFonts w:ascii="Calibri Light" w:hAnsi="Calibri Light"/>
          <w:color w:val="000000"/>
          <w:sz w:val="20"/>
        </w:rPr>
        <w:t>Independently review evaluation quality in high-impact or contested policy areas.</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Use trials, pilots and rapid-cycle evaluation where uncertainty is high and reversible learning is possible.</w:t>
      </w:r>
    </w:p>
    <w:p>
      <w:pPr>
        <w:pStyle w:val="ListBullet"/>
        <w:spacing w:before="0" w:after="60" w:line="240" w:lineRule="auto"/>
        <w:ind w:left="397" w:hanging="198"/>
      </w:pPr>
      <w:r>
        <w:rPr>
          <w:rFonts w:ascii="Calibri Light" w:hAnsi="Calibri Light"/>
          <w:color w:val="000000"/>
          <w:sz w:val="20"/>
        </w:rPr>
        <w:t>Establish evidence clearinghouses or synthesis processes for recurring policy questions.</w:t>
      </w:r>
    </w:p>
    <w:p>
      <w:pPr>
        <w:pStyle w:val="ListBullet"/>
        <w:spacing w:before="0" w:after="60" w:line="240" w:lineRule="auto"/>
        <w:ind w:left="397" w:hanging="198"/>
      </w:pPr>
      <w:r>
        <w:rPr>
          <w:rFonts w:ascii="Calibri Light" w:hAnsi="Calibri Light"/>
          <w:color w:val="000000"/>
          <w:sz w:val="20"/>
        </w:rPr>
        <w:t>Benchmark outcomes and intervention effectiveness across jurisdictions.</w:t>
      </w:r>
    </w:p>
    <w:p>
      <w:pPr>
        <w:pStyle w:val="ListBullet"/>
        <w:spacing w:before="0" w:after="60" w:line="240" w:lineRule="auto"/>
        <w:ind w:left="397" w:hanging="198"/>
      </w:pPr>
      <w:r>
        <w:rPr>
          <w:rFonts w:ascii="Calibri Light" w:hAnsi="Calibri Light"/>
          <w:color w:val="000000"/>
          <w:sz w:val="20"/>
        </w:rPr>
        <w:t>Use evaluation evidence to stop, scale or redesign programs and publicly explain major decisions where appropriate.</w:t>
      </w:r>
    </w:p>
    <w:p>
      <w:pPr>
        <w:spacing w:after="60"/>
      </w:pPr>
    </w:p>
    <w:p>
      <w:pPr>
        <w:pStyle w:val="Heading2"/>
        <w:keepNext/>
      </w:pPr>
      <w:r>
        <w:rPr>
          <w:rFonts w:ascii="Calibri Light" w:hAnsi="Calibri Light"/>
          <w:color w:val="000000"/>
        </w:rPr>
        <w:t>Element 28: Lessons Learned and Knowledge Transfer</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Lessons from audits, incidents, complaints, projects and delivery are captured, shared and converted into sustained organisational knowledge.</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Lessons remain with individuals and are shared informally. Staff departures, restructures or contractor turnover result in repeated mistakes and loss of critical knowledge.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lessons registers, structured debrief processes, knowledge repositories and handover standards; staff depend on local files, memory or informal advice.</w:t>
            </w:r>
          </w:p>
          <w:p>
            <w:pPr>
              <w:pStyle w:val="ListBullet"/>
              <w:keepNext/>
              <w:keepLines/>
              <w:spacing w:before="0" w:after="120"/>
            </w:pPr>
            <w:r>
              <w:rPr>
                <w:rFonts w:ascii="Calibri Light" w:hAnsi="Calibri Light"/>
                <w:b w:val="0"/>
                <w:color w:val="000000"/>
                <w:sz w:val="20"/>
              </w:rPr>
              <w:t>The treatment of audits, incidents, complaints, projects and service-delivery experience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knowledge owners, managers, project and program teams and workforce specialists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recorded lessons, debriefs, updated procedures, training and handover records, is incomplete, difficult to retrieve or created retrospectively, while monitoring of repeated errors, inaccessible knowledge, poor handovers and key-person dependency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After-action reviews and lessons logs are used in some projects or incidents. Quality and follow-through vary, and lessons are difficult to find or apply beyond the originating team.</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lessons registers, structured debrief processes, knowledge repositories and handover standards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knowledge owners, managers, project and program teams and workforce specialists,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audits, incidents, complaints, projects and service-delivery experience,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recorded lessons, debriefs, updated procedures, training and handover records, is usually retained for significant matters, but routine monitoring of repeated errors, inaccessible knowledge, poor handovers and key-person dependency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uses a standard lessons and knowledge-transfer process. Material events trigger structured review, lessons are validated and stored in a searchable repository, and role handovers, succession and onboarding include critical knowledge requirements.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lessons registers, structured debrief processes, knowledge repositories and handover standards cover audits, incidents, complaints, projects and service-delivery experience and are maintained through defined review, approval and change-control processes.</w:t>
            </w:r>
          </w:p>
          <w:p>
            <w:pPr>
              <w:pStyle w:val="ListBullet"/>
              <w:keepNext/>
              <w:keepLines/>
              <w:spacing w:before="0" w:after="120"/>
            </w:pPr>
            <w:r>
              <w:rPr>
                <w:rFonts w:ascii="Calibri Light" w:hAnsi="Calibri Light"/>
                <w:b w:val="0"/>
                <w:color w:val="000000"/>
                <w:sz w:val="20"/>
              </w:rPr>
              <w:t>Knowledge owners, managers, project and program teams and workforce specialists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recorded lessons, debriefs, updated procedures, training and handover records,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repeated errors, inaccessible knowledge, poor handovers and key-person dependency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The agency tracks whether lessons produce policy, process, control, training or system changes. Recurring incidents and findings are analysed to determine why previous learning did not transfer or remain effective.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repeated errors, inaccessible knowledge, poor handovers and key-person dependency, with named owners and timely escalation.</w:t>
            </w:r>
          </w:p>
          <w:p>
            <w:pPr>
              <w:pStyle w:val="ListBullet"/>
              <w:keepNext/>
              <w:keepLines/>
              <w:spacing w:before="0" w:after="120"/>
            </w:pPr>
            <w:r>
              <w:rPr>
                <w:rFonts w:ascii="Calibri Light" w:hAnsi="Calibri Light"/>
                <w:b w:val="0"/>
                <w:color w:val="000000"/>
                <w:sz w:val="20"/>
              </w:rPr>
              <w:t>Risk-based testing confirms whether lessons registers, structured debrief processes, knowledge repositories and handover standards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continuous improvement, risk, training, records and workforce management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Organisational learning is continuous and networked. Communities of practice, knowledge analytics and cross-agency collaboration rapidly spread validated lessons. Knowledge is designed into systems and workflows rather than depending on memory.</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repeated errors, inaccessible knowledge, poor handovers and key-person dependency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lessons registers, structured debrief processes, knowledge repositories and handover standards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knowledge owners, managers, project and program teams and workforce specialists,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recorded lessons, debriefs, updated procedures, training and handover records,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Identify critical knowledge held by single individuals, contractors or temporary teams.</w:t>
      </w:r>
    </w:p>
    <w:p>
      <w:pPr>
        <w:pStyle w:val="ListBullet"/>
        <w:spacing w:before="0" w:after="60" w:line="240" w:lineRule="auto"/>
        <w:ind w:left="397" w:hanging="198"/>
      </w:pPr>
      <w:r>
        <w:rPr>
          <w:rFonts w:ascii="Calibri Light" w:hAnsi="Calibri Light"/>
          <w:color w:val="000000"/>
          <w:sz w:val="20"/>
        </w:rPr>
        <w:t>Introduce structured handover and after-action review templates for priority activities.</w:t>
      </w:r>
    </w:p>
    <w:p>
      <w:pPr>
        <w:pStyle w:val="ListBullet"/>
        <w:spacing w:before="0" w:after="60" w:line="240" w:lineRule="auto"/>
        <w:ind w:left="397" w:hanging="198"/>
      </w:pPr>
      <w:r>
        <w:rPr>
          <w:rFonts w:ascii="Calibri Light" w:hAnsi="Calibri Light"/>
          <w:color w:val="000000"/>
          <w:sz w:val="20"/>
        </w:rPr>
        <w:t>Create a central repository for material lessons, decisions, procedures and contacts.</w:t>
      </w:r>
    </w:p>
    <w:p>
      <w:pPr>
        <w:pStyle w:val="ListBullet"/>
        <w:spacing w:before="0" w:after="60" w:line="240" w:lineRule="auto"/>
        <w:ind w:left="397" w:hanging="198"/>
      </w:pPr>
      <w:r>
        <w:rPr>
          <w:rFonts w:ascii="Calibri Light" w:hAnsi="Calibri Light"/>
          <w:color w:val="000000"/>
          <w:sz w:val="20"/>
        </w:rPr>
        <w:t>Capture lessons from recent audits, incidents and failed or delayed projects.</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 lessons learned and knowledge-transfer standard with clear triggers and responsibilities.</w:t>
      </w:r>
    </w:p>
    <w:p>
      <w:pPr>
        <w:pStyle w:val="ListBullet"/>
        <w:spacing w:before="0" w:after="60" w:line="240" w:lineRule="auto"/>
        <w:ind w:left="397" w:hanging="198"/>
      </w:pPr>
      <w:r>
        <w:rPr>
          <w:rFonts w:ascii="Calibri Light" w:hAnsi="Calibri Light"/>
          <w:color w:val="000000"/>
          <w:sz w:val="20"/>
        </w:rPr>
        <w:t>Embed knowledge capture in project closure, staff exit, incident review and audit response processes.</w:t>
      </w:r>
    </w:p>
    <w:p>
      <w:pPr>
        <w:pStyle w:val="ListBullet"/>
        <w:spacing w:before="0" w:after="60" w:line="240" w:lineRule="auto"/>
        <w:ind w:left="397" w:hanging="198"/>
      </w:pPr>
      <w:r>
        <w:rPr>
          <w:rFonts w:ascii="Calibri Light" w:hAnsi="Calibri Light"/>
          <w:color w:val="000000"/>
          <w:sz w:val="20"/>
        </w:rPr>
        <w:t>Establish role-based onboarding and succession packs for critical functions.</w:t>
      </w:r>
    </w:p>
    <w:p>
      <w:pPr>
        <w:pStyle w:val="ListBullet"/>
        <w:spacing w:before="0" w:after="60" w:line="240" w:lineRule="auto"/>
        <w:ind w:left="397" w:hanging="198"/>
      </w:pPr>
      <w:r>
        <w:rPr>
          <w:rFonts w:ascii="Calibri Light" w:hAnsi="Calibri Light"/>
          <w:color w:val="000000"/>
          <w:sz w:val="20"/>
        </w:rPr>
        <w:t>Create a taxonomy and search method so lessons can be found across organisational boundaries.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Track each accepted lesson to a specific change, owner and completion date.</w:t>
      </w:r>
    </w:p>
    <w:p>
      <w:pPr>
        <w:pStyle w:val="ListBullet"/>
        <w:spacing w:before="0" w:after="60" w:line="240" w:lineRule="auto"/>
        <w:ind w:left="397" w:hanging="198"/>
      </w:pPr>
      <w:r>
        <w:rPr>
          <w:rFonts w:ascii="Calibri Light" w:hAnsi="Calibri Light"/>
          <w:color w:val="000000"/>
          <w:sz w:val="20"/>
        </w:rPr>
        <w:t>Test whether changes arising from lessons have reduced recurrence or improved performance.</w:t>
      </w:r>
    </w:p>
    <w:p>
      <w:pPr>
        <w:pStyle w:val="ListBullet"/>
        <w:spacing w:before="0" w:after="60" w:line="240" w:lineRule="auto"/>
        <w:ind w:left="397" w:hanging="198"/>
      </w:pPr>
      <w:r>
        <w:rPr>
          <w:rFonts w:ascii="Calibri Light" w:hAnsi="Calibri Light"/>
          <w:color w:val="000000"/>
          <w:sz w:val="20"/>
        </w:rPr>
        <w:t>Analyse repeated findings to identify failures in communication, ownership, design or reinforcement.</w:t>
      </w:r>
    </w:p>
    <w:p>
      <w:pPr>
        <w:pStyle w:val="ListBullet"/>
        <w:spacing w:before="0" w:after="60" w:line="240" w:lineRule="auto"/>
        <w:ind w:left="397" w:hanging="198"/>
      </w:pPr>
      <w:r>
        <w:rPr>
          <w:rFonts w:ascii="Calibri Light" w:hAnsi="Calibri Light"/>
          <w:color w:val="000000"/>
          <w:sz w:val="20"/>
        </w:rPr>
        <w:t>Report material learning themes and unresolved knowledge risks to executive governance.</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Develop active communities of practice for high-risk and specialist disciplines.</w:t>
      </w:r>
    </w:p>
    <w:p>
      <w:pPr>
        <w:pStyle w:val="ListBullet"/>
        <w:spacing w:before="0" w:after="60" w:line="240" w:lineRule="auto"/>
        <w:ind w:left="397" w:hanging="198"/>
      </w:pPr>
      <w:r>
        <w:rPr>
          <w:rFonts w:ascii="Calibri Light" w:hAnsi="Calibri Light"/>
          <w:color w:val="000000"/>
          <w:sz w:val="20"/>
        </w:rPr>
        <w:t>Use digital tools and analytics to surface relevant lessons within operational workflows.</w:t>
      </w:r>
    </w:p>
    <w:p>
      <w:pPr>
        <w:pStyle w:val="ListBullet"/>
        <w:spacing w:before="0" w:after="60" w:line="240" w:lineRule="auto"/>
        <w:ind w:left="397" w:hanging="198"/>
      </w:pPr>
      <w:r>
        <w:rPr>
          <w:rFonts w:ascii="Calibri Light" w:hAnsi="Calibri Light"/>
          <w:color w:val="000000"/>
          <w:sz w:val="20"/>
        </w:rPr>
        <w:t>Share validated lessons with partner agencies and incorporate external learning.</w:t>
      </w:r>
    </w:p>
    <w:p>
      <w:pPr>
        <w:pStyle w:val="ListBullet"/>
        <w:spacing w:before="0" w:after="60" w:line="240" w:lineRule="auto"/>
        <w:ind w:left="397" w:hanging="198"/>
      </w:pPr>
      <w:r>
        <w:rPr>
          <w:rFonts w:ascii="Calibri Light" w:hAnsi="Calibri Light"/>
          <w:color w:val="000000"/>
          <w:sz w:val="20"/>
        </w:rPr>
        <w:t>Design processes and systems so critical knowledge is retained independently of individual tenure.</w:t>
      </w:r>
    </w:p>
    <w:p>
      <w:pPr>
        <w:spacing w:after="60"/>
      </w:pPr>
    </w:p>
    <w:p>
      <w:pPr>
        <w:pStyle w:val="Heading2"/>
        <w:keepNext/>
      </w:pPr>
      <w:r>
        <w:rPr>
          <w:rFonts w:ascii="Calibri Light" w:hAnsi="Calibri Light"/>
          <w:color w:val="000000"/>
        </w:rPr>
        <w:t>Element 29: Continuous Improvement and Innovation</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Improvement opportunities are prioritised, governed, tested and evaluated against measurable public value, risk and benefit.</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Improvement is reactive and focused on fixing immediate problems. Initiatives are informal, benefits are unclear and successful changes may not be sustained or replicated.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improvement pipelines, prioritisation criteria, experiment plans and benefits-tracking records; staff depend on local files, memory or informal advice.</w:t>
            </w:r>
          </w:p>
          <w:p>
            <w:pPr>
              <w:pStyle w:val="ListBullet"/>
              <w:keepNext/>
              <w:keepLines/>
              <w:spacing w:before="0" w:after="120"/>
            </w:pPr>
            <w:r>
              <w:rPr>
                <w:rFonts w:ascii="Calibri Light" w:hAnsi="Calibri Light"/>
                <w:b w:val="0"/>
                <w:color w:val="000000"/>
                <w:sz w:val="20"/>
              </w:rPr>
              <w:t>The treatment of improvement and innovation initiatives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improvement sponsors, process owners, staff and governance forums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business cases, test results, implementation decisions and benefit measures, is incomplete, difficult to retrieve or created retrospectively, while monitoring of stalled actions, uncontrolled pilots, benefit shortfalls and unintended effects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Business areas maintain improvement projects and suggestion processes. Priorities, methods and evidence vary, and initiatives may compete for resources without portfolio oversight.</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improvement pipelines, prioritisation criteria, experiment plans and benefits-tracking records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improvement sponsors, process owners, staff and governance forums,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improvement and innovation initiatives,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business cases, test results, implementation decisions and benefit measures, is usually retained for significant matters, but routine monitoring of stalled actions, uncontrolled pilots, benefit shortfalls and unintended effects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operates a controlled improvement pipeline. Opportunities are assessed against strategy, user need, risk, cost and expected benefit. Owners, measures, governance, implementation and review requirements are defined.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improvement pipelines, prioritisation criteria, experiment plans and benefits-tracking records cover improvement and innovation initiatives and are maintained through defined review, approval and change-control processes.</w:t>
            </w:r>
          </w:p>
          <w:p>
            <w:pPr>
              <w:pStyle w:val="ListBullet"/>
              <w:keepNext/>
              <w:keepLines/>
              <w:spacing w:before="0" w:after="120"/>
            </w:pPr>
            <w:r>
              <w:rPr>
                <w:rFonts w:ascii="Calibri Light" w:hAnsi="Calibri Light"/>
                <w:b w:val="0"/>
                <w:color w:val="000000"/>
                <w:sz w:val="20"/>
              </w:rPr>
              <w:t>Improvement sponsors, process owners, staff and governance forums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business cases, test results, implementation decisions and benefit measures,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stalled actions, uncontrolled pilots, benefit shortfalls and unintended effects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Improvement performance is monitored through verified benefits, adoption, service quality and risk outcomes. The agency uses experimentation, root-cause analysis and comparative evidence to scale successful changes and stop ineffective initiatives.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stalled actions, uncontrolled pilots, benefit shortfalls and unintended effects, with named owners and timely escalation.</w:t>
            </w:r>
          </w:p>
          <w:p>
            <w:pPr>
              <w:pStyle w:val="ListBullet"/>
              <w:keepNext/>
              <w:keepLines/>
              <w:spacing w:before="0" w:after="120"/>
            </w:pPr>
            <w:r>
              <w:rPr>
                <w:rFonts w:ascii="Calibri Light" w:hAnsi="Calibri Light"/>
                <w:b w:val="0"/>
                <w:color w:val="000000"/>
                <w:sz w:val="20"/>
              </w:rPr>
              <w:t>Risk-based testing confirms whether improvement pipelines, prioritisation criteria, experiment plans and benefits-tracking records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strategy, risk, performance, budgeting and change management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Continuous improvement and responsible innovation are embedded in culture and portfolio management. Staff, users and partners co-create solutions, emerging technology is governed, and resources move rapidly to initiatives that demonstrate superior public value.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stalled actions, uncontrolled pilots, benefit shortfalls and unintended effects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improvement pipelines, prioritisation criteria, experiment plans and benefits-tracking records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improvement sponsors, process owners, staff and governance forums,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business cases, test results, implementation decisions and benefit measures,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Create a register of current improvement initiatives, owners, costs and intended results.</w:t>
      </w:r>
    </w:p>
    <w:p>
      <w:pPr>
        <w:pStyle w:val="ListBullet"/>
        <w:spacing w:before="0" w:after="60" w:line="240" w:lineRule="auto"/>
        <w:ind w:left="397" w:hanging="198"/>
      </w:pPr>
      <w:r>
        <w:rPr>
          <w:rFonts w:ascii="Calibri Light" w:hAnsi="Calibri Light"/>
          <w:color w:val="000000"/>
          <w:sz w:val="20"/>
        </w:rPr>
        <w:t>Prioritise immediate issues using service impact, risk, recurrence and audit significance.</w:t>
      </w:r>
    </w:p>
    <w:p>
      <w:pPr>
        <w:pStyle w:val="ListBullet"/>
        <w:spacing w:before="0" w:after="60" w:line="240" w:lineRule="auto"/>
        <w:ind w:left="397" w:hanging="198"/>
      </w:pPr>
      <w:r>
        <w:rPr>
          <w:rFonts w:ascii="Calibri Light" w:hAnsi="Calibri Light"/>
          <w:color w:val="000000"/>
          <w:sz w:val="20"/>
        </w:rPr>
        <w:t>Require each initiative to define the problem, baseline, expected benefit and measure of success.</w:t>
      </w:r>
    </w:p>
    <w:p>
      <w:pPr>
        <w:pStyle w:val="ListBullet"/>
        <w:spacing w:before="0" w:after="60" w:line="240" w:lineRule="auto"/>
        <w:ind w:left="397" w:hanging="198"/>
      </w:pPr>
      <w:r>
        <w:rPr>
          <w:rFonts w:ascii="Calibri Light" w:hAnsi="Calibri Light"/>
          <w:color w:val="000000"/>
          <w:sz w:val="20"/>
        </w:rPr>
        <w:t>Stop or consolidate duplicate initiatives that lack clear ownership or purpose.</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Approve an improvement methodology and portfolio governance process.</w:t>
      </w:r>
    </w:p>
    <w:p>
      <w:pPr>
        <w:pStyle w:val="ListBullet"/>
        <w:spacing w:before="0" w:after="60" w:line="240" w:lineRule="auto"/>
        <w:ind w:left="397" w:hanging="198"/>
      </w:pPr>
      <w:r>
        <w:rPr>
          <w:rFonts w:ascii="Calibri Light" w:hAnsi="Calibri Light"/>
          <w:color w:val="000000"/>
          <w:sz w:val="20"/>
        </w:rPr>
        <w:t>Use root-cause analysis, stakeholder input and options assessment before selecting solutions.</w:t>
      </w:r>
    </w:p>
    <w:p>
      <w:pPr>
        <w:pStyle w:val="ListBullet"/>
        <w:spacing w:before="0" w:after="60" w:line="240" w:lineRule="auto"/>
        <w:ind w:left="397" w:hanging="198"/>
      </w:pPr>
      <w:r>
        <w:rPr>
          <w:rFonts w:ascii="Calibri Light" w:hAnsi="Calibri Light"/>
          <w:color w:val="000000"/>
          <w:sz w:val="20"/>
        </w:rPr>
        <w:t>Set stage gates, resource approval, change management and benefits tracking requirements.</w:t>
      </w:r>
    </w:p>
    <w:p>
      <w:pPr>
        <w:pStyle w:val="ListBullet"/>
        <w:spacing w:before="0" w:after="60" w:line="240" w:lineRule="auto"/>
        <w:ind w:left="397" w:hanging="198"/>
      </w:pPr>
      <w:r>
        <w:rPr>
          <w:rFonts w:ascii="Calibri Light" w:hAnsi="Calibri Light"/>
          <w:color w:val="000000"/>
          <w:sz w:val="20"/>
        </w:rPr>
        <w:t>Train managers and staff in practical improvement and problem-solving methods.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Monitor delivery, adoption, benefit, cost and unintended consequences across the improvement portfolio.</w:t>
      </w:r>
    </w:p>
    <w:p>
      <w:pPr>
        <w:pStyle w:val="ListBullet"/>
        <w:spacing w:before="0" w:after="60" w:line="240" w:lineRule="auto"/>
        <w:ind w:left="397" w:hanging="198"/>
      </w:pPr>
      <w:r>
        <w:rPr>
          <w:rFonts w:ascii="Calibri Light" w:hAnsi="Calibri Light"/>
          <w:color w:val="000000"/>
          <w:sz w:val="20"/>
        </w:rPr>
        <w:t>Use pilots and controlled trials before broad implementation where uncertainty is material.</w:t>
      </w:r>
    </w:p>
    <w:p>
      <w:pPr>
        <w:pStyle w:val="ListBullet"/>
        <w:spacing w:before="0" w:after="60" w:line="240" w:lineRule="auto"/>
        <w:ind w:left="397" w:hanging="198"/>
      </w:pPr>
      <w:r>
        <w:rPr>
          <w:rFonts w:ascii="Calibri Light" w:hAnsi="Calibri Light"/>
          <w:color w:val="000000"/>
          <w:sz w:val="20"/>
        </w:rPr>
        <w:t>Scale proven changes and close initiatives that do not produce sufficient benefit.</w:t>
      </w:r>
    </w:p>
    <w:p>
      <w:pPr>
        <w:pStyle w:val="ListBullet"/>
        <w:spacing w:before="0" w:after="60" w:line="240" w:lineRule="auto"/>
        <w:ind w:left="397" w:hanging="198"/>
      </w:pPr>
      <w:r>
        <w:rPr>
          <w:rFonts w:ascii="Calibri Light" w:hAnsi="Calibri Light"/>
          <w:color w:val="000000"/>
          <w:sz w:val="20"/>
        </w:rPr>
        <w:t>Report portfolio performance and systemic barriers to executive governance.</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Integrate innovation, service design, digital, data and policy improvement into one public-value portfolio.</w:t>
      </w:r>
    </w:p>
    <w:p>
      <w:pPr>
        <w:pStyle w:val="ListBullet"/>
        <w:spacing w:before="0" w:after="60" w:line="240" w:lineRule="auto"/>
        <w:ind w:left="397" w:hanging="198"/>
      </w:pPr>
      <w:r>
        <w:rPr>
          <w:rFonts w:ascii="Calibri Light" w:hAnsi="Calibri Light"/>
          <w:color w:val="000000"/>
          <w:sz w:val="20"/>
        </w:rPr>
        <w:t>Create safe mechanisms for staff and users to test ideas within ethical, legal and risk boundaries.</w:t>
      </w:r>
    </w:p>
    <w:p>
      <w:pPr>
        <w:pStyle w:val="ListBullet"/>
        <w:spacing w:before="0" w:after="60" w:line="240" w:lineRule="auto"/>
        <w:ind w:left="397" w:hanging="198"/>
      </w:pPr>
      <w:r>
        <w:rPr>
          <w:rFonts w:ascii="Calibri Light" w:hAnsi="Calibri Light"/>
          <w:color w:val="000000"/>
          <w:sz w:val="20"/>
        </w:rPr>
        <w:t>Benchmark improvement capability and outcomes against leading agencies and sectors.</w:t>
      </w:r>
    </w:p>
    <w:p>
      <w:pPr>
        <w:pStyle w:val="ListBullet"/>
        <w:spacing w:before="0" w:after="60" w:line="240" w:lineRule="auto"/>
        <w:ind w:left="397" w:hanging="198"/>
      </w:pPr>
      <w:r>
        <w:rPr>
          <w:rFonts w:ascii="Calibri Light" w:hAnsi="Calibri Light"/>
          <w:color w:val="000000"/>
          <w:sz w:val="20"/>
        </w:rPr>
        <w:t>Use benefits evidence to dynamically redirect investment towards the most effective innovations.</w:t>
      </w:r>
    </w:p>
    <w:p>
      <w:pPr>
        <w:spacing w:after="60"/>
      </w:pPr>
    </w:p>
    <w:p>
      <w:pPr>
        <w:pStyle w:val="Heading2"/>
        <w:keepNext/>
      </w:pPr>
      <w:r>
        <w:rPr>
          <w:rFonts w:ascii="Calibri Light" w:hAnsi="Calibri Light"/>
          <w:color w:val="000000"/>
        </w:rPr>
        <w:t>Element 30: Sustained Audit Response Capability</w:t>
      </w:r>
    </w:p>
    <w:p>
      <w:pPr>
        <w:spacing w:before="0" w:after="120" w:line="240" w:lineRule="auto"/>
      </w:pPr>
      <w:r>
        <w:rPr>
          <w:rFonts w:ascii="Calibri Light" w:hAnsi="Calibri Light"/>
          <w:b/>
          <w:color w:val="000000"/>
          <w:sz w:val="20"/>
        </w:rPr>
        <w:t xml:space="preserve">Assessment focus: </w:t>
      </w:r>
      <w:r>
        <w:rPr>
          <w:rFonts w:ascii="Calibri Light" w:hAnsi="Calibri Light"/>
          <w:color w:val="000000"/>
          <w:sz w:val="20"/>
        </w:rPr>
        <w:t>The agency maintains trained people, evidence, systems and resilience to support external scrutiny without excessive operational disruption.</w:t>
      </w:r>
    </w:p>
    <w:tbl>
      <w:tblPr>
        <w:tblW w:type="auto" w:w="0"/>
        <w:jc w:val="center"/>
        <w:tblLayout w:type="fixed"/>
        <w:tblLook w:firstColumn="1" w:firstRow="1" w:lastColumn="0" w:lastRow="0" w:noHBand="0" w:noVBand="1" w:val="04A0"/>
      </w:tblPr>
      <w:tblGrid>
        <w:gridCol w:w="2154"/>
        <w:gridCol w:w="7370"/>
      </w:tblGrid>
      <w:tr>
        <w:trPr>
          <w:tblHeader w:val="true"/>
        </w:trPr>
        <w:tc>
          <w:tcPr>
            <w:tcW w:type="dxa" w:w="4819"/>
            <w:shd w:fill="D9E2F3"/>
            <w:tcMar>
              <w:top w:w="80" w:type="dxa"/>
              <w:start w:w="100" w:type="dxa"/>
              <w:bottom w:w="80" w:type="dxa"/>
              <w:end w:w="100" w:type="dxa"/>
            </w:tcMar>
          </w:tcPr>
          <w:p>
            <w:r>
              <w:rPr>
                <w:b/>
              </w:rPr>
              <w:t>Maturity level</w:t>
            </w:r>
          </w:p>
        </w:tc>
        <w:tc>
          <w:tcPr>
            <w:tcW w:type="dxa" w:w="4819"/>
            <w:shd w:fill="D9E2F3"/>
            <w:tcMar>
              <w:top w:w="80" w:type="dxa"/>
              <w:start w:w="100" w:type="dxa"/>
              <w:bottom w:w="80" w:type="dxa"/>
              <w:end w:w="100" w:type="dxa"/>
            </w:tcMar>
          </w:tcPr>
          <w:p>
            <w:pPr>
              <w:keepNext w:val="0"/>
              <w:keepLines/>
              <w:spacing w:before="0" w:after="0"/>
            </w:pPr>
            <w:r>
              <w:rPr>
                <w:rFonts w:ascii="Calibri Light" w:hAnsi="Calibri Light"/>
                <w:b/>
                <w:color w:val="000000"/>
                <w:sz w:val="20"/>
              </w:rPr>
              <w:t>Specific maturity description and organisational indicators</w:t>
            </w:r>
          </w:p>
        </w:tc>
      </w:tr>
      <w:tr>
        <w:tc>
          <w:tcPr>
            <w:tcW w:type="dxa" w:w="2154"/>
            <w:tcMar>
              <w:top w:w="80" w:type="dxa"/>
              <w:start w:w="100" w:type="dxa"/>
              <w:bottom w:w="80" w:type="dxa"/>
              <w:end w:w="100" w:type="dxa"/>
            </w:tcMar>
            <w:vAlign w:val="top"/>
          </w:tcPr>
          <w:p>
            <w:r>
              <w:rPr>
                <w:b/>
              </w:rPr>
              <w:t>Level 1 - Initial</w:t>
            </w:r>
          </w:p>
        </w:tc>
        <w:tc>
          <w:tcPr>
            <w:tcW w:type="dxa" w:w="7370"/>
            <w:tcMar>
              <w:top w:w="80" w:type="dxa"/>
              <w:start w:w="100" w:type="dxa"/>
              <w:bottom w:w="80" w:type="dxa"/>
              <w:end w:w="100" w:type="dxa"/>
            </w:tcMar>
            <w:vAlign w:val="top"/>
          </w:tcPr>
          <w:p>
            <w:pPr>
              <w:keepNext/>
              <w:keepLines/>
              <w:spacing w:before="0" w:after="120"/>
            </w:pPr>
            <w:r>
              <w:t>Audit response capability is assembled after an audit is announced. Key staff are diverted from normal work, knowledge is fragmented and the agency struggles to provide timely, consistent evidence.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lacks complete and current audit-capability plans, trained responder rosters, evidence catalogues and continuity arrangements; staff depend on local files, memory or informal advice.</w:t>
            </w:r>
          </w:p>
          <w:p>
            <w:pPr>
              <w:pStyle w:val="ListBullet"/>
              <w:keepNext/>
              <w:keepLines/>
              <w:spacing w:before="0" w:after="120"/>
            </w:pPr>
            <w:r>
              <w:rPr>
                <w:rFonts w:ascii="Calibri Light" w:hAnsi="Calibri Light"/>
                <w:b w:val="0"/>
                <w:color w:val="000000"/>
                <w:sz w:val="20"/>
              </w:rPr>
              <w:t>The treatment of external audit and scrutiny activity under normal and peak workload conditions varies between business units, with material gaps, conflicting practices or undocumented exceptions.</w:t>
            </w:r>
          </w:p>
          <w:p>
            <w:pPr>
              <w:pStyle w:val="ListBullet"/>
              <w:keepNext/>
              <w:keepLines/>
              <w:spacing w:before="0" w:after="120"/>
            </w:pPr>
            <w:r>
              <w:rPr>
                <w:rFonts w:ascii="Calibri Light" w:hAnsi="Calibri Light"/>
                <w:b w:val="0"/>
                <w:color w:val="000000"/>
                <w:sz w:val="20"/>
              </w:rPr>
              <w:t>Accountability between the audit coordinator, executives, subject-matter experts, records, data and legal staff is unclear, and issues are escalated only after a failure, complaint or audit request.</w:t>
            </w:r>
          </w:p>
          <w:p>
            <w:pPr>
              <w:pStyle w:val="ListBullet"/>
              <w:keepNext w:val="0"/>
              <w:keepLines/>
              <w:spacing w:before="0" w:after="120"/>
            </w:pPr>
            <w:r>
              <w:rPr>
                <w:rFonts w:ascii="Calibri Light" w:hAnsi="Calibri Light"/>
                <w:b w:val="0"/>
                <w:color w:val="000000"/>
                <w:sz w:val="20"/>
              </w:rPr>
              <w:t>The supporting evidence, including training records, simulations, readiness tests, response logs and continuity plans, is incomplete, difficult to retrieve or created retrospectively, while monitoring of staff availability, evidence-retrieval times, response bottlenecks, fatigue and operational disruption is largely reactive.</w:t>
            </w:r>
          </w:p>
        </w:tc>
      </w:tr>
      <w:tr>
        <w:tc>
          <w:tcPr>
            <w:tcW w:type="dxa" w:w="2154"/>
            <w:tcMar>
              <w:top w:w="80" w:type="dxa"/>
              <w:start w:w="100" w:type="dxa"/>
              <w:bottom w:w="80" w:type="dxa"/>
              <w:end w:w="100" w:type="dxa"/>
            </w:tcMar>
            <w:vAlign w:val="top"/>
          </w:tcPr>
          <w:p>
            <w:r>
              <w:rPr>
                <w:b/>
              </w:rPr>
              <w:t>Level 2 - Developing</w:t>
            </w:r>
          </w:p>
        </w:tc>
        <w:tc>
          <w:tcPr>
            <w:tcW w:type="dxa" w:w="7370"/>
            <w:tcMar>
              <w:top w:w="80" w:type="dxa"/>
              <w:start w:w="100" w:type="dxa"/>
              <w:bottom w:w="80" w:type="dxa"/>
              <w:end w:w="100" w:type="dxa"/>
            </w:tcMar>
            <w:vAlign w:val="top"/>
          </w:tcPr>
          <w:p>
            <w:pPr>
              <w:keepNext/>
              <w:keepLines/>
              <w:spacing w:before="0" w:after="120"/>
            </w:pPr>
            <w:r>
              <w:t>The agency knows likely audit contacts and retains some prior audit materials. Basic coordination is possible, but capability depends on a small number of experienced people and is not routinely tested.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Basic audit-capability plans, trained responder rosters, evidence catalogues and continuity arrangements exist for major or high-risk areas, but coverage, currency and quality vary.</w:t>
            </w:r>
          </w:p>
          <w:p>
            <w:pPr>
              <w:pStyle w:val="ListBullet"/>
              <w:keepNext/>
              <w:keepLines/>
              <w:spacing w:before="0" w:after="120"/>
            </w:pPr>
            <w:r>
              <w:rPr>
                <w:rFonts w:ascii="Calibri Light" w:hAnsi="Calibri Light"/>
                <w:b w:val="0"/>
                <w:color w:val="000000"/>
                <w:sz w:val="20"/>
              </w:rPr>
              <w:t>Named responsibilities have been assigned to the audit coordinator, executives, subject-matter experts, records, data and legal staff, although hand-offs and escalation pathways are not consistently understood.</w:t>
            </w:r>
          </w:p>
          <w:p>
            <w:pPr>
              <w:pStyle w:val="ListBullet"/>
              <w:keepNext/>
              <w:keepLines/>
              <w:spacing w:before="0" w:after="120"/>
            </w:pPr>
            <w:r>
              <w:rPr>
                <w:rFonts w:ascii="Calibri Light" w:hAnsi="Calibri Light"/>
                <w:b w:val="0"/>
                <w:color w:val="000000"/>
                <w:sz w:val="20"/>
              </w:rPr>
              <w:t>Standard templates or checks are used for some external audit and scrutiny activity under normal and peak workload conditions, while local workarounds and undocumented exceptions remain common.</w:t>
            </w:r>
          </w:p>
          <w:p>
            <w:pPr>
              <w:pStyle w:val="ListBullet"/>
              <w:keepNext w:val="0"/>
              <w:keepLines/>
              <w:spacing w:before="0" w:after="120"/>
            </w:pPr>
            <w:r>
              <w:rPr>
                <w:rFonts w:ascii="Calibri Light" w:hAnsi="Calibri Light"/>
                <w:b w:val="0"/>
                <w:color w:val="000000"/>
                <w:sz w:val="20"/>
              </w:rPr>
              <w:t>The supporting evidence, including training records, simulations, readiness tests, response logs and continuity plans, is usually retained for significant matters, but routine monitoring of staff availability, evidence-retrieval times, response bottlenecks, fatigue and operational disruption is irregular or manual.</w:t>
            </w:r>
          </w:p>
        </w:tc>
      </w:tr>
      <w:tr>
        <w:tc>
          <w:tcPr>
            <w:tcW w:type="dxa" w:w="2154"/>
            <w:tcMar>
              <w:top w:w="80" w:type="dxa"/>
              <w:start w:w="100" w:type="dxa"/>
              <w:bottom w:w="80" w:type="dxa"/>
              <w:end w:w="100" w:type="dxa"/>
            </w:tcMar>
            <w:vAlign w:val="top"/>
          </w:tcPr>
          <w:p>
            <w:r>
              <w:rPr>
                <w:b/>
              </w:rPr>
              <w:t>Level 3 - Established</w:t>
            </w:r>
          </w:p>
        </w:tc>
        <w:tc>
          <w:tcPr>
            <w:tcW w:type="dxa" w:w="7370"/>
            <w:tcMar>
              <w:top w:w="80" w:type="dxa"/>
              <w:start w:w="100" w:type="dxa"/>
              <w:bottom w:w="80" w:type="dxa"/>
              <w:end w:w="100" w:type="dxa"/>
            </w:tcMar>
            <w:vAlign w:val="top"/>
          </w:tcPr>
          <w:p>
            <w:pPr>
              <w:keepNext/>
              <w:keepLines/>
              <w:spacing w:before="0" w:after="120"/>
            </w:pPr>
            <w:r>
              <w:t>The agency maintains trained audit liaison and business teams, current protocols, evidence indexes, briefing templates, workload arrangements and handover materials. Critical programs can identify likely evidence owners and repositories.</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Approved audit-capability plans, trained responder rosters, evidence catalogues and continuity arrangements cover external audit and scrutiny activity under normal and peak workload conditions and are maintained through defined review, approval and change-control processes.</w:t>
            </w:r>
          </w:p>
          <w:p>
            <w:pPr>
              <w:pStyle w:val="ListBullet"/>
              <w:keepNext/>
              <w:keepLines/>
              <w:spacing w:before="0" w:after="120"/>
            </w:pPr>
            <w:r>
              <w:rPr>
                <w:rFonts w:ascii="Calibri Light" w:hAnsi="Calibri Light"/>
                <w:b w:val="0"/>
                <w:color w:val="000000"/>
                <w:sz w:val="20"/>
              </w:rPr>
              <w:t>The audit coordinator, executives, subject-matter experts, records, data and legal staff operate under documented responsibilities, standard workflows and clear escalation requirements.</w:t>
            </w:r>
          </w:p>
          <w:p>
            <w:pPr>
              <w:pStyle w:val="ListBullet"/>
              <w:keepNext/>
              <w:keepLines/>
              <w:spacing w:before="0" w:after="120"/>
            </w:pPr>
            <w:r>
              <w:rPr>
                <w:rFonts w:ascii="Calibri Light" w:hAnsi="Calibri Light"/>
                <w:b w:val="0"/>
                <w:color w:val="000000"/>
                <w:sz w:val="20"/>
              </w:rPr>
              <w:t>The supporting evidence, including training records, simulations, readiness tests, response logs and continuity plans, is retained in designated systems and can be traced to decisions, controls and reported results.</w:t>
            </w:r>
          </w:p>
          <w:p>
            <w:pPr>
              <w:pStyle w:val="ListBullet"/>
              <w:keepNext w:val="0"/>
              <w:keepLines/>
              <w:spacing w:before="0" w:after="120"/>
            </w:pPr>
            <w:r>
              <w:rPr>
                <w:rFonts w:ascii="Calibri Light" w:hAnsi="Calibri Light"/>
                <w:b w:val="0"/>
                <w:color w:val="000000"/>
                <w:sz w:val="20"/>
              </w:rPr>
              <w:t>Scheduled monitoring of staff availability, evidence-retrieval times, response bottlenecks, fatigue and operational disruption produces regular management reports, identified exceptions and documented corrective action.</w:t>
            </w:r>
          </w:p>
        </w:tc>
      </w:tr>
      <w:tr>
        <w:tc>
          <w:tcPr>
            <w:tcW w:type="dxa" w:w="2154"/>
            <w:tcMar>
              <w:top w:w="80" w:type="dxa"/>
              <w:start w:w="100" w:type="dxa"/>
              <w:bottom w:w="80" w:type="dxa"/>
              <w:end w:w="100" w:type="dxa"/>
            </w:tcMar>
            <w:vAlign w:val="top"/>
          </w:tcPr>
          <w:p>
            <w:r>
              <w:rPr>
                <w:b/>
              </w:rPr>
              <w:t>Level 4 - Managed</w:t>
            </w:r>
          </w:p>
        </w:tc>
        <w:tc>
          <w:tcPr>
            <w:tcW w:type="dxa" w:w="7370"/>
            <w:tcMar>
              <w:top w:w="80" w:type="dxa"/>
              <w:start w:w="100" w:type="dxa"/>
              <w:bottom w:w="80" w:type="dxa"/>
              <w:end w:w="100" w:type="dxa"/>
            </w:tcMar>
            <w:vAlign w:val="top"/>
          </w:tcPr>
          <w:p>
            <w:pPr>
              <w:keepNext/>
              <w:keepLines/>
              <w:spacing w:before="0" w:after="120"/>
            </w:pPr>
            <w:r>
              <w:t>Capability is tested through simulations and actual audit metrics. The agency manages concurrent information requests, staff availability, executive briefings and evidence quality while sustaining core services. Weaknesses are remediated and retested.</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Performance measures and exception thresholds are tracked for staff availability, evidence-retrieval times, response bottlenecks, fatigue and operational disruption, with named owners and timely escalation.</w:t>
            </w:r>
          </w:p>
          <w:p>
            <w:pPr>
              <w:pStyle w:val="ListBullet"/>
              <w:keepNext/>
              <w:keepLines/>
              <w:spacing w:before="0" w:after="120"/>
            </w:pPr>
            <w:r>
              <w:rPr>
                <w:rFonts w:ascii="Calibri Light" w:hAnsi="Calibri Light"/>
                <w:b w:val="0"/>
                <w:color w:val="000000"/>
                <w:sz w:val="20"/>
              </w:rPr>
              <w:t>Risk-based testing confirms whether audit-capability plans, trained responder rosters, evidence catalogues and continuity arrangements and associated controls operate consistently across business units.</w:t>
            </w:r>
          </w:p>
          <w:p>
            <w:pPr>
              <w:pStyle w:val="ListBullet"/>
              <w:keepNext/>
              <w:keepLines/>
              <w:spacing w:before="0" w:after="120"/>
            </w:pPr>
            <w:r>
              <w:rPr>
                <w:rFonts w:ascii="Calibri Light" w:hAnsi="Calibri Light"/>
                <w:b w:val="0"/>
                <w:color w:val="000000"/>
                <w:sz w:val="20"/>
              </w:rPr>
              <w:t>Recurring weaknesses are subject to root-cause analysis, and remedial actions are monitored until operating effectiveness is verified.</w:t>
            </w:r>
          </w:p>
          <w:p>
            <w:pPr>
              <w:pStyle w:val="ListBullet"/>
              <w:keepNext w:val="0"/>
              <w:keepLines/>
              <w:spacing w:before="0" w:after="120"/>
            </w:pPr>
            <w:r>
              <w:rPr>
                <w:rFonts w:ascii="Calibri Light" w:hAnsi="Calibri Light"/>
                <w:b w:val="0"/>
                <w:color w:val="000000"/>
                <w:sz w:val="20"/>
              </w:rPr>
              <w:t>Processes for workforce, records, data, business continuity and governance are integrated so changes, exceptions or deteriorating results trigger coordinated review and management action.</w:t>
            </w:r>
          </w:p>
        </w:tc>
      </w:tr>
      <w:tr>
        <w:tc>
          <w:tcPr>
            <w:tcW w:type="dxa" w:w="2154"/>
            <w:tcMar>
              <w:top w:w="80" w:type="dxa"/>
              <w:start w:w="100" w:type="dxa"/>
              <w:bottom w:w="80" w:type="dxa"/>
              <w:end w:w="100" w:type="dxa"/>
            </w:tcMar>
            <w:vAlign w:val="top"/>
          </w:tcPr>
          <w:p>
            <w:r>
              <w:rPr>
                <w:b/>
              </w:rPr>
              <w:t>Level 5 - Leading</w:t>
            </w:r>
          </w:p>
        </w:tc>
        <w:tc>
          <w:tcPr>
            <w:tcW w:type="dxa" w:w="7370"/>
            <w:tcMar>
              <w:top w:w="80" w:type="dxa"/>
              <w:start w:w="100" w:type="dxa"/>
              <w:bottom w:w="80" w:type="dxa"/>
              <w:end w:w="100" w:type="dxa"/>
            </w:tcMar>
            <w:vAlign w:val="top"/>
          </w:tcPr>
          <w:p>
            <w:pPr>
              <w:keepNext/>
              <w:keepLines/>
              <w:spacing w:before="0" w:after="120"/>
            </w:pPr>
            <w:r>
              <w:t>Audit response is an institutional capability supported by digital evidence, standing program packs, succession and horizon scanning. The agency can respond rapidly to multiple forms of scrutiny and uses the experience to improve governance and public performance.</w:t>
            </w:r>
          </w:p>
          <w:p>
            <w:pPr>
              <w:keepNext/>
              <w:keepLines/>
              <w:spacing w:before="0" w:after="60"/>
            </w:pPr>
            <w:r>
              <w:rPr>
                <w:rFonts w:ascii="Calibri Light" w:hAnsi="Calibri Light"/>
                <w:b/>
                <w:color w:val="000000"/>
                <w:sz w:val="20"/>
              </w:rPr>
              <w:t>Organisational indicators:</w:t>
            </w:r>
          </w:p>
          <w:p>
            <w:pPr>
              <w:pStyle w:val="ListBullet"/>
              <w:keepNext/>
              <w:keepLines/>
              <w:spacing w:before="0" w:after="120"/>
            </w:pPr>
            <w:r>
              <w:rPr>
                <w:rFonts w:ascii="Calibri Light" w:hAnsi="Calibri Light"/>
                <w:b w:val="0"/>
                <w:color w:val="000000"/>
                <w:sz w:val="20"/>
              </w:rPr>
              <w:t>The agency uses predictive, comparative or near-real-time information to anticipate or detect staff availability, evidence-retrieval times, response bottlenecks, fatigue and operational disruption before control or performance failure.</w:t>
            </w:r>
          </w:p>
          <w:p>
            <w:pPr>
              <w:pStyle w:val="ListBullet"/>
              <w:keepNext/>
              <w:keepLines/>
              <w:spacing w:before="0" w:after="120"/>
            </w:pPr>
            <w:r>
              <w:rPr>
                <w:rFonts w:ascii="Calibri Light" w:hAnsi="Calibri Light"/>
                <w:b w:val="0"/>
                <w:color w:val="000000"/>
                <w:sz w:val="20"/>
              </w:rPr>
              <w:t>Independent assurance and external benchmarking confirm that audit-capability plans, trained responder rosters, evidence catalogues and continuity arrangements remain effective, proportionate and aligned with leading public sector practice.</w:t>
            </w:r>
          </w:p>
          <w:p>
            <w:pPr>
              <w:pStyle w:val="ListBullet"/>
              <w:keepNext/>
              <w:keepLines/>
              <w:spacing w:before="0" w:after="120"/>
            </w:pPr>
            <w:r>
              <w:rPr>
                <w:rFonts w:ascii="Calibri Light" w:hAnsi="Calibri Light"/>
                <w:b w:val="0"/>
                <w:color w:val="000000"/>
                <w:sz w:val="20"/>
              </w:rPr>
              <w:t>Lessons, data and innovations are shared across the audit coordinator, executives, subject-matter experts, records, data and legal staff, producing measurable improvements in quality, timeliness, efficiency or public value.</w:t>
            </w:r>
          </w:p>
          <w:p>
            <w:pPr>
              <w:pStyle w:val="ListBullet"/>
              <w:keepNext w:val="0"/>
              <w:keepLines/>
              <w:spacing w:before="0" w:after="120"/>
            </w:pPr>
            <w:r>
              <w:rPr>
                <w:rFonts w:ascii="Calibri Light" w:hAnsi="Calibri Light"/>
                <w:b w:val="0"/>
                <w:color w:val="000000"/>
                <w:sz w:val="20"/>
              </w:rPr>
              <w:t>Complete and reliable supporting evidence, including training records, simulations, readiness tests, response logs and continuity plans, is readily retrievable and consistently demonstrates sustained effectiveness under external scrutiny.</w:t>
            </w:r>
          </w:p>
        </w:tc>
      </w:tr>
    </w:tbl>
    <w:p/>
    <w:p>
      <w:pPr>
        <w:pStyle w:val="Heading3"/>
        <w:keepNext/>
      </w:pPr>
      <w:r>
        <w:rPr>
          <w:rFonts w:ascii="Calibri Light" w:hAnsi="Calibri Light"/>
          <w:color w:val="000000"/>
          <w:sz w:val="20"/>
        </w:rPr>
        <w:t>Improvement actions</w:t>
      </w:r>
    </w:p>
    <w:p>
      <w:pPr>
        <w:spacing w:before="60" w:after="60"/>
        <w:keepNext/>
      </w:pPr>
      <w:r>
        <w:rPr>
          <w:rFonts w:ascii="Calibri Light" w:hAnsi="Calibri Light"/>
          <w:b/>
          <w:color w:val="000000"/>
          <w:sz w:val="20"/>
        </w:rPr>
        <w:t>Initial to Developing</w:t>
      </w:r>
    </w:p>
    <w:p>
      <w:pPr>
        <w:pStyle w:val="ListBullet"/>
        <w:spacing w:before="0" w:after="60" w:line="240" w:lineRule="auto"/>
        <w:ind w:left="397" w:hanging="198"/>
      </w:pPr>
      <w:r>
        <w:rPr>
          <w:rFonts w:ascii="Calibri Light" w:hAnsi="Calibri Light"/>
          <w:color w:val="000000"/>
          <w:sz w:val="20"/>
        </w:rPr>
        <w:t>Identify staff with prior audit experience and nominate backups for key liaison, evidence and executive briefing roles.</w:t>
      </w:r>
    </w:p>
    <w:p>
      <w:pPr>
        <w:pStyle w:val="ListBullet"/>
        <w:spacing w:before="0" w:after="60" w:line="240" w:lineRule="auto"/>
        <w:ind w:left="397" w:hanging="198"/>
      </w:pPr>
      <w:r>
        <w:rPr>
          <w:rFonts w:ascii="Calibri Light" w:hAnsi="Calibri Light"/>
          <w:color w:val="000000"/>
          <w:sz w:val="20"/>
        </w:rPr>
        <w:t>Create a basic directory of program owners, systems, records locations and likely audit evidence.</w:t>
      </w:r>
    </w:p>
    <w:p>
      <w:pPr>
        <w:pStyle w:val="ListBullet"/>
        <w:spacing w:before="0" w:after="60" w:line="240" w:lineRule="auto"/>
        <w:ind w:left="397" w:hanging="198"/>
      </w:pPr>
      <w:r>
        <w:rPr>
          <w:rFonts w:ascii="Calibri Light" w:hAnsi="Calibri Light"/>
          <w:color w:val="000000"/>
          <w:sz w:val="20"/>
        </w:rPr>
        <w:t>Preserve prior audit requests, responses, findings and lessons in a controlled repository.</w:t>
      </w:r>
    </w:p>
    <w:p>
      <w:pPr>
        <w:pStyle w:val="ListBullet"/>
        <w:spacing w:before="0" w:after="60" w:line="240" w:lineRule="auto"/>
        <w:ind w:left="397" w:hanging="198"/>
      </w:pPr>
      <w:r>
        <w:rPr>
          <w:rFonts w:ascii="Calibri Light" w:hAnsi="Calibri Light"/>
          <w:color w:val="000000"/>
          <w:sz w:val="20"/>
        </w:rPr>
        <w:t>Establish workload and escalation arrangements for an announced audit.</w:t>
      </w:r>
    </w:p>
    <w:p>
      <w:pPr>
        <w:spacing w:before="60" w:after="60"/>
        <w:keepNext/>
      </w:pPr>
      <w:r>
        <w:rPr>
          <w:rFonts w:ascii="Calibri Light" w:hAnsi="Calibri Light"/>
          <w:b/>
          <w:color w:val="000000"/>
          <w:sz w:val="20"/>
        </w:rPr>
        <w:t>Developing to Established</w:t>
      </w:r>
    </w:p>
    <w:p>
      <w:pPr>
        <w:pStyle w:val="ListBullet"/>
        <w:spacing w:before="0" w:after="60" w:line="240" w:lineRule="auto"/>
        <w:ind w:left="397" w:hanging="198"/>
      </w:pPr>
      <w:r>
        <w:rPr>
          <w:rFonts w:ascii="Calibri Light" w:hAnsi="Calibri Light"/>
          <w:color w:val="000000"/>
          <w:sz w:val="20"/>
        </w:rPr>
        <w:t>Develop role-based training, handover packs and standard operating procedures for audit response.</w:t>
      </w:r>
    </w:p>
    <w:p>
      <w:pPr>
        <w:pStyle w:val="ListBullet"/>
        <w:spacing w:before="0" w:after="60" w:line="240" w:lineRule="auto"/>
        <w:ind w:left="397" w:hanging="198"/>
      </w:pPr>
      <w:r>
        <w:rPr>
          <w:rFonts w:ascii="Calibri Light" w:hAnsi="Calibri Light"/>
          <w:color w:val="000000"/>
          <w:sz w:val="20"/>
        </w:rPr>
        <w:t>Create evidence indexes and readiness files for high-risk programs and major public commitments.</w:t>
      </w:r>
    </w:p>
    <w:p>
      <w:pPr>
        <w:pStyle w:val="ListBullet"/>
        <w:spacing w:before="0" w:after="60" w:line="240" w:lineRule="auto"/>
        <w:ind w:left="397" w:hanging="198"/>
      </w:pPr>
      <w:r>
        <w:rPr>
          <w:rFonts w:ascii="Calibri Light" w:hAnsi="Calibri Light"/>
          <w:color w:val="000000"/>
          <w:sz w:val="20"/>
        </w:rPr>
        <w:t>Establish contingency arrangements for staff absence, concurrent audits and urgent information requests.</w:t>
      </w:r>
    </w:p>
    <w:p>
      <w:pPr>
        <w:pStyle w:val="ListBullet"/>
        <w:spacing w:before="0" w:after="60" w:line="240" w:lineRule="auto"/>
        <w:ind w:left="397" w:hanging="198"/>
      </w:pPr>
      <w:r>
        <w:rPr>
          <w:rFonts w:ascii="Calibri Light" w:hAnsi="Calibri Light"/>
          <w:color w:val="000000"/>
          <w:sz w:val="20"/>
        </w:rPr>
        <w:t>Integrate audit responsibilities into relevant role descriptions and business continuity plans.</w:t>
      </w:r>
    </w:p>
    <w:p>
      <w:pPr>
        <w:spacing w:before="60" w:after="60"/>
        <w:keepNext/>
      </w:pPr>
      <w:r>
        <w:rPr>
          <w:rFonts w:ascii="Calibri Light" w:hAnsi="Calibri Light"/>
          <w:b/>
          <w:color w:val="000000"/>
          <w:sz w:val="20"/>
        </w:rPr>
        <w:t>Established to Managed</w:t>
      </w:r>
    </w:p>
    <w:p>
      <w:pPr>
        <w:pStyle w:val="ListBullet"/>
        <w:spacing w:before="0" w:after="60" w:line="240" w:lineRule="auto"/>
        <w:ind w:left="397" w:hanging="198"/>
      </w:pPr>
      <w:r>
        <w:rPr>
          <w:rFonts w:ascii="Calibri Light" w:hAnsi="Calibri Light"/>
          <w:color w:val="000000"/>
          <w:sz w:val="20"/>
        </w:rPr>
        <w:t>Run periodic simulations covering request intake, evidence retrieval, interviews, emerging findings and formal responses.</w:t>
      </w:r>
    </w:p>
    <w:p>
      <w:pPr>
        <w:pStyle w:val="ListBullet"/>
        <w:spacing w:before="0" w:after="60" w:line="240" w:lineRule="auto"/>
        <w:ind w:left="397" w:hanging="198"/>
      </w:pPr>
      <w:r>
        <w:rPr>
          <w:rFonts w:ascii="Calibri Light" w:hAnsi="Calibri Light"/>
          <w:color w:val="000000"/>
          <w:sz w:val="20"/>
        </w:rPr>
        <w:t>Measure response time, evidence acceptance, rework, staff effort and service disruption.</w:t>
      </w:r>
    </w:p>
    <w:p>
      <w:pPr>
        <w:pStyle w:val="ListBullet"/>
        <w:spacing w:before="0" w:after="60" w:line="240" w:lineRule="auto"/>
        <w:ind w:left="397" w:hanging="198"/>
      </w:pPr>
      <w:r>
        <w:rPr>
          <w:rFonts w:ascii="Calibri Light" w:hAnsi="Calibri Light"/>
          <w:color w:val="000000"/>
          <w:sz w:val="20"/>
        </w:rPr>
        <w:t>Test succession and backup arrangements and remediate single-person dependencies.</w:t>
      </w:r>
    </w:p>
    <w:p>
      <w:pPr>
        <w:pStyle w:val="ListBullet"/>
        <w:spacing w:before="0" w:after="60" w:line="240" w:lineRule="auto"/>
        <w:ind w:left="397" w:hanging="198"/>
      </w:pPr>
      <w:r>
        <w:rPr>
          <w:rFonts w:ascii="Calibri Light" w:hAnsi="Calibri Light"/>
          <w:color w:val="000000"/>
          <w:sz w:val="20"/>
        </w:rPr>
        <w:t>Report readiness results and unresolved capability risks to executive governance and the audit and risk committee.</w:t>
      </w:r>
    </w:p>
    <w:p>
      <w:pPr>
        <w:spacing w:before="60" w:after="60"/>
        <w:keepNext/>
      </w:pPr>
      <w:r>
        <w:rPr>
          <w:rFonts w:ascii="Calibri Light" w:hAnsi="Calibri Light"/>
          <w:b/>
          <w:color w:val="000000"/>
          <w:sz w:val="20"/>
        </w:rPr>
        <w:t>Managed to Leading</w:t>
      </w:r>
    </w:p>
    <w:p>
      <w:pPr>
        <w:pStyle w:val="ListBullet"/>
        <w:spacing w:before="0" w:after="60" w:line="240" w:lineRule="auto"/>
        <w:ind w:left="397" w:hanging="198"/>
      </w:pPr>
      <w:r>
        <w:rPr>
          <w:rFonts w:ascii="Calibri Light" w:hAnsi="Calibri Light"/>
          <w:color w:val="000000"/>
          <w:sz w:val="20"/>
        </w:rPr>
        <w:t>Implement digital evidence portals and automated audit trails for priority programs.</w:t>
      </w:r>
    </w:p>
    <w:p>
      <w:pPr>
        <w:pStyle w:val="ListBullet"/>
        <w:spacing w:before="0" w:after="60" w:line="240" w:lineRule="auto"/>
        <w:ind w:left="397" w:hanging="198"/>
      </w:pPr>
      <w:r>
        <w:rPr>
          <w:rFonts w:ascii="Calibri Light" w:hAnsi="Calibri Light"/>
          <w:color w:val="000000"/>
          <w:sz w:val="20"/>
        </w:rPr>
        <w:t>Use external audit work programs, parliamentary trends and sector findings to anticipate likely scrutiny.</w:t>
      </w:r>
    </w:p>
    <w:p>
      <w:pPr>
        <w:pStyle w:val="ListBullet"/>
        <w:spacing w:before="0" w:after="60" w:line="240" w:lineRule="auto"/>
        <w:ind w:left="397" w:hanging="198"/>
      </w:pPr>
      <w:r>
        <w:rPr>
          <w:rFonts w:ascii="Calibri Light" w:hAnsi="Calibri Light"/>
          <w:color w:val="000000"/>
          <w:sz w:val="20"/>
        </w:rPr>
        <w:t>Conduct peer reviews and joint exercises with comparable agencies where appropriate.</w:t>
      </w:r>
    </w:p>
    <w:p>
      <w:pPr>
        <w:pStyle w:val="ListBullet"/>
        <w:spacing w:before="0" w:after="60" w:line="240" w:lineRule="auto"/>
        <w:ind w:left="397" w:hanging="198"/>
      </w:pPr>
      <w:r>
        <w:rPr>
          <w:rFonts w:ascii="Calibri Light" w:hAnsi="Calibri Light"/>
          <w:color w:val="000000"/>
          <w:sz w:val="20"/>
        </w:rPr>
        <w:t>Maintain standing assurance and evidence packs that are refreshed through business-as-usual governance cycles.</w:t>
      </w:r>
    </w:p>
    <w:p>
      <w:pPr>
        <w:spacing w:after="60"/>
      </w:pPr>
    </w:p>
    <w:p>
      <w:pPr>
        <w:pStyle w:val="Heading1"/>
      </w:pPr>
      <w:r>
        <w:rPr>
          <w:rFonts w:ascii="Calibri Light" w:hAnsi="Calibri Light"/>
          <w:color w:val="000000"/>
        </w:rPr>
        <w:t>Appendix A: Recommended assessment record</w:t>
      </w:r>
    </w:p>
    <w:p>
      <w:pPr>
        <w:spacing w:before="0" w:after="120" w:line="240" w:lineRule="auto"/>
      </w:pPr>
      <w:r>
        <w:rPr>
          <w:rFonts w:ascii="Calibri Light" w:hAnsi="Calibri Light"/>
          <w:color w:val="000000"/>
          <w:sz w:val="20"/>
        </w:rPr>
        <w:t>For each Element, record the following information in the assessment workpapers or Governance Manager system:</w:t>
      </w:r>
    </w:p>
    <w:p>
      <w:pPr>
        <w:pStyle w:val="ListBullet"/>
        <w:spacing w:before="0" w:after="60" w:line="240" w:lineRule="auto"/>
        <w:ind w:left="397" w:hanging="198"/>
      </w:pPr>
      <w:r>
        <w:rPr>
          <w:rFonts w:ascii="Calibri Light" w:hAnsi="Calibri Light"/>
          <w:color w:val="000000"/>
          <w:sz w:val="20"/>
        </w:rPr>
        <w:t>Current maturity level and Evidence Confidence rating.</w:t>
      </w:r>
    </w:p>
    <w:p>
      <w:pPr>
        <w:pStyle w:val="ListBullet"/>
        <w:spacing w:before="0" w:after="60" w:line="240" w:lineRule="auto"/>
        <w:ind w:left="397" w:hanging="198"/>
      </w:pPr>
      <w:r>
        <w:rPr>
          <w:rFonts w:ascii="Calibri Light" w:hAnsi="Calibri Light"/>
          <w:color w:val="000000"/>
          <w:sz w:val="20"/>
        </w:rPr>
        <w:t>Evidence reviewed, including source, owner, date and system or record location.</w:t>
      </w:r>
    </w:p>
    <w:p>
      <w:pPr>
        <w:pStyle w:val="ListBullet"/>
        <w:spacing w:before="0" w:after="60" w:line="240" w:lineRule="auto"/>
        <w:ind w:left="397" w:hanging="198"/>
      </w:pPr>
      <w:r>
        <w:rPr>
          <w:rFonts w:ascii="Calibri Light" w:hAnsi="Calibri Light"/>
          <w:color w:val="000000"/>
          <w:sz w:val="20"/>
        </w:rPr>
        <w:t>Observed operating strengths and control effectiveness.</w:t>
      </w:r>
    </w:p>
    <w:p>
      <w:pPr>
        <w:pStyle w:val="ListBullet"/>
        <w:spacing w:before="0" w:after="60" w:line="240" w:lineRule="auto"/>
        <w:ind w:left="397" w:hanging="198"/>
      </w:pPr>
      <w:r>
        <w:rPr>
          <w:rFonts w:ascii="Calibri Light" w:hAnsi="Calibri Light"/>
          <w:color w:val="000000"/>
          <w:sz w:val="20"/>
        </w:rPr>
        <w:t>Evidence gaps, weaknesses and contradictory information.</w:t>
      </w:r>
    </w:p>
    <w:p>
      <w:pPr>
        <w:pStyle w:val="ListBullet"/>
        <w:spacing w:before="0" w:after="60" w:line="240" w:lineRule="auto"/>
        <w:ind w:left="397" w:hanging="198"/>
      </w:pPr>
      <w:r>
        <w:rPr>
          <w:rFonts w:ascii="Calibri Light" w:hAnsi="Calibri Light"/>
          <w:color w:val="000000"/>
          <w:sz w:val="20"/>
        </w:rPr>
        <w:t>Performance audit exposure arising from the current state.</w:t>
      </w:r>
    </w:p>
    <w:p>
      <w:pPr>
        <w:pStyle w:val="ListBullet"/>
        <w:spacing w:before="0" w:after="60" w:line="240" w:lineRule="auto"/>
        <w:ind w:left="397" w:hanging="198"/>
      </w:pPr>
      <w:r>
        <w:rPr>
          <w:rFonts w:ascii="Calibri Light" w:hAnsi="Calibri Light"/>
          <w:color w:val="000000"/>
          <w:sz w:val="20"/>
        </w:rPr>
        <w:t>Agreed improvement actions, accountable owners and due dates.</w:t>
      </w:r>
    </w:p>
    <w:p>
      <w:pPr>
        <w:pStyle w:val="ListBullet"/>
        <w:spacing w:before="0" w:after="60" w:line="240" w:lineRule="auto"/>
        <w:ind w:left="397" w:hanging="198"/>
      </w:pPr>
      <w:r>
        <w:rPr>
          <w:rFonts w:ascii="Calibri Light" w:hAnsi="Calibri Light"/>
          <w:color w:val="000000"/>
          <w:sz w:val="20"/>
        </w:rPr>
        <w:t>Independent validation or assurance required before the action is closed.</w:t>
      </w:r>
    </w:p>
    <w:p>
      <w:pPr>
        <w:pStyle w:val="ListBullet"/>
        <w:spacing w:before="0" w:after="60" w:line="240" w:lineRule="auto"/>
        <w:ind w:left="397" w:hanging="198"/>
      </w:pPr>
      <w:r>
        <w:rPr>
          <w:rFonts w:ascii="Calibri Light" w:hAnsi="Calibri Light"/>
          <w:color w:val="000000"/>
          <w:sz w:val="20"/>
        </w:rPr>
        <w:t>Target maturity level and reassessment date.</w:t>
      </w:r>
    </w:p>
    <w:p>
      <w:pPr>
        <w:pStyle w:val="Heading1"/>
      </w:pPr>
      <w:r>
        <w:rPr>
          <w:rFonts w:ascii="Calibri Light" w:hAnsi="Calibri Light"/>
          <w:color w:val="000000"/>
        </w:rPr>
        <w:t>Appendix B: Rating discipline</w:t>
      </w:r>
    </w:p>
    <w:p>
      <w:pPr>
        <w:spacing w:before="0" w:after="120" w:line="240" w:lineRule="auto"/>
      </w:pPr>
      <w:r>
        <w:rPr>
          <w:rFonts w:ascii="Calibri Light" w:hAnsi="Calibri Light"/>
          <w:color w:val="000000"/>
          <w:sz w:val="20"/>
        </w:rPr>
        <w:t>A maturity level should only be awarded when the agency substantially meets the full description for that level. Isolated examples of stronger practice do not justify a higher rating when the broader process remains inconsistent. A lower rating may be appropriate where a significant control, evidence or accountability failure undermines the Element as a whole.</w:t>
      </w:r>
    </w:p>
    <w:p>
      <w:pPr>
        <w:spacing w:before="0" w:after="120" w:line="240" w:lineRule="auto"/>
      </w:pPr>
      <w:r>
        <w:rPr>
          <w:rFonts w:ascii="Calibri Light" w:hAnsi="Calibri Light"/>
          <w:color w:val="000000"/>
          <w:sz w:val="20"/>
        </w:rPr>
        <w:t>Improvement actions are intended as a structured pathway. Agencies should adapt sequencing and ownership according to risk, jurisdiction, statutory obligations, operating model and the likely scope of performance audit scrutiny.</w:t>
      </w:r>
    </w:p>
    <w:sectPr w:rsidR="00FC693F" w:rsidRPr="0006063C" w:rsidSect="00034616">
      <w:headerReference w:type="default" r:id="rId9"/>
      <w:footerReference w:type="default" r:id="rId10"/>
      <w:pgSz w:w="16838" w:h="11906" w:orient="landscape"/>
      <w:pgMar w:top="567" w:right="567" w:bottom="567"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Light" w:hAnsi="Calibri Light"/>
        <w:color w:val="000000"/>
        <w:sz w:val="16"/>
      </w:rPr>
      <w:t>Governance Manager Framework | Australian Public Sector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Light" w:hAnsi="Calibri Light"/>
        <w:color w:val="000000"/>
        <w:sz w:val="16"/>
      </w:rPr>
      <w:t>Public Sector Performance Audit Readiness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Calibri Light" w:hAnsi="Calibri Light" w:eastAsia="Calibri Light"/>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Light" w:hAnsi="Calibri Light" w:eastAsia="Calibri Light"/>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120"/>
      <w:outlineLvl w:val="1"/>
    </w:pPr>
    <w:rPr>
      <w:rFonts w:asciiTheme="majorHAnsi" w:eastAsiaTheme="majorEastAsia" w:hAnsiTheme="majorHAnsi" w:cstheme="majorBidi" w:ascii="Calibri Light" w:hAnsi="Calibri Light" w:eastAsia="Calibri Light"/>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20"/>
      <w:outlineLvl w:val="2"/>
    </w:pPr>
    <w:rPr>
      <w:rFonts w:asciiTheme="majorHAnsi" w:eastAsiaTheme="majorEastAsia" w:hAnsiTheme="majorHAnsi" w:cstheme="majorBidi" w:ascii="Calibri Light" w:hAnsi="Calibri Light" w:eastAsia="Calibri Light"/>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Light" w:hAnsi="Calibri Light" w:eastAsia="Calibri Light"/>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Light" w:hAnsi="Calibri Light" w:eastAsia="Calibri Light"/>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Sector Performance Audit Readiness Framework - Maturity Model and Organisational Indicators</dc:title>
  <dc:subject>Australian public sector performance audit readiness assessment framework</dc:subject>
  <dc:creator>Brainbox / Governance Manager</dc:creator>
  <cp:keywords>performance audit, public sector, maturity model, audit readiness, governance</cp:keywords>
  <dc:description>generated by python-docx</dc:description>
  <cp:lastModifiedBy/>
  <cp:revision>1</cp:revision>
  <dcterms:created xsi:type="dcterms:W3CDTF">2013-12-23T23:15:00Z</dcterms:created>
  <dcterms:modified xsi:type="dcterms:W3CDTF">2013-12-23T23:15:00Z</dcterms:modified>
  <cp:category/>
</cp:coreProperties>
</file>